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13</w:t>
      </w:r>
    </w:p>
    <w:p>
      <w:pPr>
        <w:spacing w:before="0" w:after="240" w:line="288" w:lineRule="auto"/>
        <w:ind w:left="0" w:right="0" w:firstLine="0"/>
        <w:jc w:val="left"/>
        <w:pBdr>
          <w:bottom w:val="single" w:sz="6" w:space="6" w:color="D0D5DD"/>
        </w:pBdr>
      </w:pPr>
      <w:r>
        <w:rPr>
          <w:rFonts w:ascii="Arial" w:hAnsi="Arial"/>
          <w:b/>
          <w:color w:val="111827"/>
          <w:sz w:val="23"/>
        </w:rPr>
        <w:t>Discuss the role of corporate philanthropy in CSR. How can philanthropic efforts be aligned with business objectives to create shared value?</w:t>
      </w:r>
    </w:p>
    <w:p>
      <w:pPr>
        <w:spacing w:before="40" w:after="120" w:line="276" w:lineRule="auto"/>
        <w:ind w:left="0" w:right="0" w:firstLine="0"/>
        <w:jc w:val="left"/>
      </w:pPr>
      <w:r>
        <w:rPr>
          <w:rFonts w:ascii="Arial" w:hAnsi="Arial"/>
          <w:color w:val="1E1E1E"/>
          <w:sz w:val="21"/>
        </w:rPr>
        <w:t>Corporate philanthropy represents the discretionary dimension of Corporate Social Responsibility (CSR), characterized by the voluntary allocation of organizational resources—including financial capital, employee time, and technical expertise—toward the resolution of societal challenges. Academically, it is defined as the "voluntary actions of a corporation to promote the welfare of others and the social environment, often manifested through charitable donations or community involvement that are not mandated by law or economic necessity" (Carroll, 1991). While early iterations of this practice were often criticized as "checkbook philanthropy"—peripheral, ad-hoc donations intended to burnish a firm’s reputation—modern scholarship emphasizes its role as a strategic instrument. Porter and Kramer (2002) argue that when philanthropy is applied to the "competitive context" of a firm, it can improve the social and economic environment in a way that benefits both the community and the long-term prospects of the business.</w:t>
      </w:r>
    </w:p>
    <w:p>
      <w:pPr>
        <w:spacing w:before="40" w:after="120" w:line="276" w:lineRule="auto"/>
        <w:ind w:left="0" w:right="0" w:firstLine="0"/>
        <w:jc w:val="left"/>
      </w:pPr>
      <w:r>
        <w:rPr>
          <w:rFonts w:ascii="Arial" w:hAnsi="Arial"/>
          <w:color w:val="1E1E1E"/>
          <w:sz w:val="21"/>
        </w:rPr>
        <w:t>In operational practice, corporate philanthropy functions as a bridge between a firm’s core competencies and the external socio-economic environment. This involves moving beyond passive giving toward a model where philanthropic investments are treated with the same rigor as R&amp;D or capital expenditures. Organizations now utilize specialized foundations or CSR departments to identify social "pain points" that intersect with their industry expertise, ensuring that their contributions yield measurable social returns. By aligning these efforts with the organization’s mission, firms can cultivate a "social license to operate," mitigate systemic risks in their supply chains, and foster a more stable, prosperous market environment. Consequently, philanthropy is no longer viewed as a cost center but as a sophisticated mechanism for building intangible assets such as brand equity and institutional trust.</w:t>
      </w:r>
    </w:p>
    <w:p>
      <w:pPr>
        <w:keepNext/>
        <w:spacing w:before="220" w:after="100" w:line="276" w:lineRule="auto"/>
        <w:ind w:left="0" w:right="0" w:firstLine="0"/>
        <w:jc w:val="left"/>
      </w:pPr>
      <w:r>
        <w:rPr>
          <w:rFonts w:ascii="Arial" w:hAnsi="Arial"/>
          <w:b/>
          <w:color w:val="111827"/>
          <w:sz w:val="25"/>
        </w:rPr>
        <w:t>Core Pillars of Corporate Philanthropy</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Strategic Contextual Alignment:</w:t>
      </w:r>
      <w:r>
        <w:rPr>
          <w:rFonts w:ascii="Arial" w:hAnsi="Arial"/>
          <w:color w:val="1E1E1E"/>
          <w:sz w:val="21"/>
        </w:rPr>
        <w:t xml:space="preserve"> This pillar posits that philanthropic efforts are most effective when they address social conditions that directly influence a company’s competitive environment. Rather than spreading resources across a wide array of unrelated causes, organizations focus on issues where they possess unique expertise or where the social problem creates a bottleneck for industry growth. For instance, a technology firm investing in STEM education does not merely perform a charitable act; it actively expands the future talent pool and increases the digital literacy of its potential consumer base. By focusing on the "convergence of interests," firms ensure that their social investments strengthen the local "clusters" of suppliers, infrastructure, and human capital upon which they depend, thereby creating a self-reinforcing cycle of social and economic progress.</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Impact Accountability and Measurement:</w:t>
      </w:r>
      <w:r>
        <w:rPr>
          <w:rFonts w:ascii="Arial" w:hAnsi="Arial"/>
          <w:color w:val="1E1E1E"/>
          <w:sz w:val="21"/>
        </w:rPr>
        <w:t xml:space="preserve"> The second pillar emphasizes the transition from "inputs" to "outcomes" in charitable activities. Modern corporate philanthropy rejects the notion that the success of a program is measured by the size of the donation; instead, it adopts rigorous performance metrics akin to traditional business KPIs. This involves the use of frameworks such as Social Return on Investment (SROI) or the Theory of Change to track how specific interventions lead to long-term societal shifts. By establishing clear benchmarks and reporting mechanisms, corporations can demonstrate the efficacy of their social programs to stakeholders, including investors who increasingly view social performance as a proxy for management quality. This pillar ensures that philanthropic resources are not wasted on symbolic gestures but are directed toward evidence-based solutions that provide sustainable benefits to the community.</w:t>
      </w:r>
    </w:p>
    <w:p>
      <w:pPr>
        <w:keepNext/>
        <w:spacing w:before="220" w:after="100" w:line="276" w:lineRule="auto"/>
        <w:ind w:left="0" w:right="0" w:firstLine="0"/>
        <w:jc w:val="left"/>
      </w:pPr>
      <w:r>
        <w:rPr>
          <w:rFonts w:ascii="Arial" w:hAnsi="Arial"/>
          <w:b/>
          <w:color w:val="111827"/>
          <w:sz w:val="25"/>
        </w:rPr>
        <w:t>Importance of Corporate Philanthropy in Contemporary Business</w:t>
      </w:r>
    </w:p>
    <w:p>
      <w:pPr>
        <w:spacing w:before="40" w:after="120" w:line="276" w:lineRule="auto"/>
        <w:ind w:left="0" w:right="0" w:firstLine="0"/>
        <w:jc w:val="left"/>
      </w:pPr>
      <w:r>
        <w:rPr>
          <w:rFonts w:ascii="Arial" w:hAnsi="Arial"/>
          <w:color w:val="1E1E1E"/>
          <w:sz w:val="21"/>
        </w:rPr>
        <w:t>The shift toward stakeholder capitalism has transformed philanthropy from a peripheral activity into a central mechanism for long-term value creation: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Enhancement of Brand Equity and Consumer Trust:</w:t>
      </w:r>
      <w:r>
        <w:rPr>
          <w:rFonts w:ascii="Arial" w:hAnsi="Arial"/>
          <w:color w:val="1E1E1E"/>
          <w:sz w:val="21"/>
        </w:rPr>
        <w:t xml:space="preserve"> Modern consumers, particularly Millennials and Gen Z, increasingly favor brands that demonstrate a genuine commitment to social progress. For example, Patagonia’s consistent philanthropic focus on environmental conservation has cultivated a fiercely loyal customer base that views their purchases as an extension of their personal values.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Attraction and Retention of High-Caliber Talent:</w:t>
      </w:r>
      <w:r>
        <w:rPr>
          <w:rFonts w:ascii="Arial" w:hAnsi="Arial"/>
          <w:color w:val="1E1E1E"/>
          <w:sz w:val="21"/>
        </w:rPr>
        <w:t xml:space="preserve"> Employees seek a sense of purpose in their professional lives, and robust philanthropic programs serve as a powerful recruitment tool. Salesforce’s "1-1-1 model," which pledges 1% of equity, 1% of product, and 1% of employee time to community causes, has become a benchmark for fostering a mission-driven corporate culture that reduces turnover.</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Securing the Social License to Operate:</w:t>
      </w:r>
      <w:r>
        <w:rPr>
          <w:rFonts w:ascii="Arial" w:hAnsi="Arial"/>
          <w:color w:val="1E1E1E"/>
          <w:sz w:val="21"/>
        </w:rPr>
        <w:t xml:space="preserve"> In industries with high environmental or social footprints, such as mining or energy, philanthropy is essential for maintaining community consent. Rio Tinto utilizes localized community investment funds to support infrastructure and health in operating regions, which helps prevent costly project delays caused by local opposition or regulatory friction.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Market Development and Ecosystem Stability:</w:t>
      </w:r>
      <w:r>
        <w:rPr>
          <w:rFonts w:ascii="Arial" w:hAnsi="Arial"/>
          <w:color w:val="1E1E1E"/>
          <w:sz w:val="21"/>
        </w:rPr>
        <w:t xml:space="preserve"> Philanthropy can be used to seed new markets or stabilize fragile supply chains by addressing systemic poverty or lack of infrastructure. Unilever’s "Project Shakti" in India provides micro-entrepreneurship opportunities for rural women, which simultaneously empowers the local community and builds a vast, resilient distribution network for the company’s products.</w:t>
      </w:r>
    </w:p>
    <w:p>
      <w:pPr>
        <w:keepNext/>
        <w:spacing w:before="220" w:after="100" w:line="276" w:lineRule="auto"/>
        <w:ind w:left="0" w:right="0" w:firstLine="0"/>
        <w:jc w:val="left"/>
      </w:pPr>
      <w:r>
        <w:rPr>
          <w:rFonts w:ascii="Arial" w:hAnsi="Arial"/>
          <w:b/>
          <w:color w:val="111827"/>
          <w:sz w:val="25"/>
        </w:rPr>
        <w:t>Comparative Analysis: Corporate Philanthropy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Corporate Philanthropy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Traditional CSR</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Shared Value (CSV)</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ESG Integration</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Primary Goal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Altruistic social impact</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Corporate citizenship</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Joint social-economic gain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Risk management and ROI</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Financial Link</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Discretionary spending</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Compliance and reputation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Integrated into profit model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Material financial factors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Strategic Scope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Community-focused</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Broad stakeholder focus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Value chain optimization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Investor-led reporting</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Impact Horizon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Long-term social change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Mid-term brand stability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Sustainable market growth</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Long-term asset resilience</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Corporate Philanthropy Within Organizations</w:t>
      </w:r>
    </w:p>
    <w:p>
      <w:pPr>
        <w:spacing w:before="40" w:after="120" w:line="276" w:lineRule="auto"/>
        <w:ind w:left="0" w:right="0" w:firstLine="0"/>
        <w:jc w:val="left"/>
      </w:pPr>
      <w:r>
        <w:rPr>
          <w:rFonts w:ascii="Arial" w:hAnsi="Arial"/>
          <w:color w:val="1E1E1E"/>
          <w:sz w:val="21"/>
        </w:rPr>
        <w:t>To transition from passive giving to strategic value creation, organizational leaders must adopt systemic approaches that integrate social goals with commercial logic:</w:t>
      </w:r>
    </w:p>
    <w:p>
      <w:pPr>
        <w:keepNext/>
        <w:spacing w:before="180" w:after="60" w:line="276" w:lineRule="auto"/>
        <w:ind w:left="0" w:right="0" w:firstLine="0"/>
        <w:jc w:val="left"/>
      </w:pPr>
      <w:r>
        <w:rPr>
          <w:rFonts w:ascii="Arial" w:hAnsi="Arial"/>
          <w:b/>
          <w:color w:val="111827"/>
          <w:sz w:val="22"/>
        </w:rPr>
        <w:t>1. Alignment with Core Competencies</w:t>
      </w:r>
    </w:p>
    <w:p>
      <w:pPr>
        <w:spacing w:before="40" w:after="120" w:line="276" w:lineRule="auto"/>
        <w:ind w:left="0" w:right="0" w:firstLine="0"/>
        <w:jc w:val="left"/>
      </w:pPr>
      <w:r>
        <w:rPr>
          <w:rFonts w:ascii="Arial" w:hAnsi="Arial"/>
          <w:color w:val="1E1E1E"/>
          <w:sz w:val="21"/>
        </w:rPr>
        <w:t>Leaders must identify the unique assets—beyond just cash—that the organization can deploy to solve social problems.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Resource Mapping:</w:t>
      </w:r>
      <w:r>
        <w:rPr>
          <w:rFonts w:ascii="Arial" w:hAnsi="Arial"/>
          <w:color w:val="1E1E1E"/>
          <w:sz w:val="21"/>
        </w:rPr>
        <w:t xml:space="preserve"> Conduct an internal audit to identify specialized skills, proprietary technology, or logistics networks that can be leveraged for social good.</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Knowledge Transfer:</w:t>
      </w:r>
      <w:r>
        <w:rPr>
          <w:rFonts w:ascii="Arial" w:hAnsi="Arial"/>
          <w:color w:val="1E1E1E"/>
          <w:sz w:val="21"/>
        </w:rPr>
        <w:t xml:space="preserve"> Utilize professional expertise, such as legal or accounting services, to build the capacity of non-profit partners rather than offering generic labor.</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Product Integration:</w:t>
      </w:r>
      <w:r>
        <w:rPr>
          <w:rFonts w:ascii="Arial" w:hAnsi="Arial"/>
          <w:color w:val="1E1E1E"/>
          <w:sz w:val="21"/>
        </w:rPr>
        <w:t xml:space="preserve"> Donate or subsidize core products for underserved populations to solve immediate needs while gathering data on new market segments.</w:t>
      </w:r>
    </w:p>
    <w:p>
      <w:pPr>
        <w:keepNext/>
        <w:spacing w:before="180" w:after="60" w:line="276" w:lineRule="auto"/>
        <w:ind w:left="0" w:right="0" w:firstLine="0"/>
        <w:jc w:val="left"/>
      </w:pPr>
      <w:r>
        <w:rPr>
          <w:rFonts w:ascii="Arial" w:hAnsi="Arial"/>
          <w:b/>
          <w:color w:val="111827"/>
          <w:sz w:val="22"/>
        </w:rPr>
        <w:t>2. Cultivating Employee-Led Initiatives</w:t>
      </w:r>
    </w:p>
    <w:p>
      <w:pPr>
        <w:spacing w:before="40" w:after="120" w:line="276" w:lineRule="auto"/>
        <w:ind w:left="0" w:right="0" w:firstLine="0"/>
        <w:jc w:val="left"/>
      </w:pPr>
      <w:r>
        <w:rPr>
          <w:rFonts w:ascii="Arial" w:hAnsi="Arial"/>
          <w:color w:val="1E1E1E"/>
          <w:sz w:val="21"/>
        </w:rPr>
        <w:t>Philanthropy should be democratized within the organization to maximize engagement and ensure that initiatives resonate with the workforce.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Matching Gift Programs:</w:t>
      </w:r>
      <w:r>
        <w:rPr>
          <w:rFonts w:ascii="Arial" w:hAnsi="Arial"/>
          <w:color w:val="1E1E1E"/>
          <w:sz w:val="21"/>
        </w:rPr>
        <w:t xml:space="preserve"> Implement systems where the company matches employee donations, effectively doubling the impact of individual contributions.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Skills-Based Volunteering:</w:t>
      </w:r>
      <w:r>
        <w:rPr>
          <w:rFonts w:ascii="Arial" w:hAnsi="Arial"/>
          <w:color w:val="1E1E1E"/>
          <w:sz w:val="21"/>
        </w:rPr>
        <w:t xml:space="preserve"> Encourage employees to use their professional training on company time to assist community organizations with technical challenges.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Grant Advisory Boards:</w:t>
      </w:r>
      <w:r>
        <w:rPr>
          <w:rFonts w:ascii="Arial" w:hAnsi="Arial"/>
          <w:color w:val="1E1E1E"/>
          <w:sz w:val="21"/>
        </w:rPr>
        <w:t xml:space="preserve"> Create committees of diverse employees to vet and select the non-profits that will receive corporate funding, ensuring broad internal buy-in.</w:t>
      </w:r>
    </w:p>
    <w:p>
      <w:pPr>
        <w:keepNext/>
        <w:spacing w:before="180" w:after="60" w:line="276" w:lineRule="auto"/>
        <w:ind w:left="0" w:right="0" w:firstLine="0"/>
        <w:jc w:val="left"/>
      </w:pPr>
      <w:r>
        <w:rPr>
          <w:rFonts w:ascii="Arial" w:hAnsi="Arial"/>
          <w:b/>
          <w:color w:val="111827"/>
          <w:sz w:val="22"/>
        </w:rPr>
        <w:t>3. Establishing Strategic NGO Alliances</w:t>
      </w:r>
    </w:p>
    <w:p>
      <w:pPr>
        <w:spacing w:before="40" w:after="120" w:line="276" w:lineRule="auto"/>
        <w:ind w:left="0" w:right="0" w:firstLine="0"/>
        <w:jc w:val="left"/>
      </w:pPr>
      <w:r>
        <w:rPr>
          <w:rFonts w:ascii="Arial" w:hAnsi="Arial"/>
          <w:color w:val="1E1E1E"/>
          <w:sz w:val="21"/>
        </w:rPr>
        <w:t>Effective philanthropy requires moving away from transactional relationships toward deep, multi-year partnerships with non-governmental organizations.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Co-Creation of Solutions:</w:t>
      </w:r>
      <w:r>
        <w:rPr>
          <w:rFonts w:ascii="Arial" w:hAnsi="Arial"/>
          <w:color w:val="1E1E1E"/>
          <w:sz w:val="21"/>
        </w:rPr>
        <w:t xml:space="preserve"> Work alongside NGOs to design programs from the ground up, ensuring that the intervention is culturally and logistically appropriate.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Capacity Building:</w:t>
      </w:r>
      <w:r>
        <w:rPr>
          <w:rFonts w:ascii="Arial" w:hAnsi="Arial"/>
          <w:color w:val="1E1E1E"/>
          <w:sz w:val="21"/>
        </w:rPr>
        <w:t xml:space="preserve"> Provide funding specifically for the operational overhead of non-profits to ensure they have the infrastructure to scale their impact.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Shared Governance:</w:t>
      </w:r>
      <w:r>
        <w:rPr>
          <w:rFonts w:ascii="Arial" w:hAnsi="Arial"/>
          <w:color w:val="1E1E1E"/>
          <w:sz w:val="21"/>
        </w:rPr>
        <w:t xml:space="preserve"> Establish joint steering committees to monitor progress and pivot strategies based on real-time feedback from the field.</w:t>
      </w:r>
    </w:p>
    <w:p>
      <w:pPr>
        <w:keepNext/>
        <w:spacing w:before="180" w:after="60" w:line="276" w:lineRule="auto"/>
        <w:ind w:left="0" w:right="0" w:firstLine="0"/>
        <w:jc w:val="left"/>
      </w:pPr>
      <w:r>
        <w:rPr>
          <w:rFonts w:ascii="Arial" w:hAnsi="Arial"/>
          <w:b/>
          <w:color w:val="111827"/>
          <w:sz w:val="22"/>
        </w:rPr>
        <w:t>4. Utilizing Rigorous Impact Metrics</w:t>
      </w:r>
    </w:p>
    <w:p>
      <w:pPr>
        <w:spacing w:before="40" w:after="120" w:line="276" w:lineRule="auto"/>
        <w:ind w:left="0" w:right="0" w:firstLine="0"/>
        <w:jc w:val="left"/>
      </w:pPr>
      <w:r>
        <w:rPr>
          <w:rFonts w:ascii="Arial" w:hAnsi="Arial"/>
          <w:color w:val="1E1E1E"/>
          <w:sz w:val="21"/>
        </w:rPr>
        <w:t>Leaders must apply the same analytical rigor to social investments as they do to financial investments to ensure transparency and efficacy.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Outcome Tracking:</w:t>
      </w:r>
      <w:r>
        <w:rPr>
          <w:rFonts w:ascii="Arial" w:hAnsi="Arial"/>
          <w:color w:val="1E1E1E"/>
          <w:sz w:val="21"/>
        </w:rPr>
        <w:t xml:space="preserve"> Move beyond "vanity metrics," such as the number of people reached, to "impact metrics," such as the reduction in local unemployment.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Third-Party Audits:</w:t>
      </w:r>
      <w:r>
        <w:rPr>
          <w:rFonts w:ascii="Arial" w:hAnsi="Arial"/>
          <w:color w:val="1E1E1E"/>
          <w:sz w:val="21"/>
        </w:rPr>
        <w:t xml:space="preserve"> Engage independent evaluators to assess the social return on investment, providing an objective view of the program’s success.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Integrated Reporting:</w:t>
      </w:r>
      <w:r>
        <w:rPr>
          <w:rFonts w:ascii="Arial" w:hAnsi="Arial"/>
          <w:color w:val="1E1E1E"/>
          <w:sz w:val="21"/>
        </w:rPr>
        <w:t xml:space="preserve"> Include philanthropic outcomes in the annual report alongside financial statements to signal the importance of social performance to investors.</w:t>
      </w:r>
    </w:p>
    <w:p>
      <w:pPr>
        <w:keepNext/>
        <w:spacing w:before="180" w:after="60" w:line="276" w:lineRule="auto"/>
        <w:ind w:left="0" w:right="0" w:firstLine="0"/>
        <w:jc w:val="left"/>
      </w:pPr>
      <w:r>
        <w:rPr>
          <w:rFonts w:ascii="Arial" w:hAnsi="Arial"/>
          <w:b/>
          <w:color w:val="111827"/>
          <w:sz w:val="22"/>
        </w:rPr>
        <w:t>5. Integrating Philanthropy into Brand Narrative</w:t>
      </w:r>
    </w:p>
    <w:p>
      <w:pPr>
        <w:spacing w:before="40" w:after="120" w:line="276" w:lineRule="auto"/>
        <w:ind w:left="0" w:right="0" w:firstLine="0"/>
        <w:jc w:val="left"/>
      </w:pPr>
      <w:r>
        <w:rPr>
          <w:rFonts w:ascii="Arial" w:hAnsi="Arial"/>
          <w:color w:val="1E1E1E"/>
          <w:sz w:val="21"/>
        </w:rPr>
        <w:t>Strategic philanthropy should be communicated authentically to build a cohesive brand identity that resonates with external stakeholders.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Authentic Storytelling:</w:t>
      </w:r>
      <w:r>
        <w:rPr>
          <w:rFonts w:ascii="Arial" w:hAnsi="Arial"/>
          <w:color w:val="1E1E1E"/>
          <w:sz w:val="21"/>
        </w:rPr>
        <w:t xml:space="preserve"> Use case studies and human-centric narratives to illustrate the real-world impact of philanthropic efforts rather than relying on dry statistics.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Transparent Communication:</w:t>
      </w:r>
      <w:r>
        <w:rPr>
          <w:rFonts w:ascii="Arial" w:hAnsi="Arial"/>
          <w:color w:val="1E1E1E"/>
          <w:sz w:val="21"/>
        </w:rPr>
        <w:t xml:space="preserve"> Be honest about the challenges and failures of social programs to build credibility and demonstrate a commitment to learning.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Stakeholder Dialogue:</w:t>
      </w:r>
      <w:r>
        <w:rPr>
          <w:rFonts w:ascii="Arial" w:hAnsi="Arial"/>
          <w:color w:val="1E1E1E"/>
          <w:sz w:val="21"/>
        </w:rPr>
        <w:t xml:space="preserve"> Use philanthropic platforms to engage in two-way communication with community leaders, ensuring the firm remains responsive to evolving social needs.</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Corporate philanthropy has evolved from a peripheral, discretionary activity into a sophisticated strategic tool capable of generating significant shared value. By aligning charitable efforts with core business competencies and focusing on the competitive context, organizations can address systemic social issues while simultaneously strengthening their own market position. This integration ensures that social impact is not an afterthought but a fundamental component of the firm’s value proposition, fostering long-term resilience and brand loyalty.</w:t>
      </w:r>
    </w:p>
    <w:p>
      <w:pPr>
        <w:spacing w:before="40" w:after="120" w:line="276" w:lineRule="auto"/>
        <w:ind w:left="0" w:right="0" w:firstLine="0"/>
        <w:jc w:val="left"/>
      </w:pPr>
      <w:r>
        <w:rPr>
          <w:rFonts w:ascii="Arial" w:hAnsi="Arial"/>
          <w:color w:val="1E1E1E"/>
          <w:sz w:val="21"/>
        </w:rPr>
        <w:t>Ultimately, the successful implementation of strategic philanthropy requires a shift in leadership mindset from seeing social investment as a cost to viewing it as a prerequisite for sustainable growth. When philanthropic efforts are measured with rigor and integrated into the broader corporate strategy, they create a virtuous cycle where business success and social progress are mutually reinforcing. In an era of increasing transparency and stakeholder scrutiny, the ability to create shared value through philanthropy is no longer an option but a strategic necessity for the modern enterprise.</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