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14</w:t>
      </w:r>
    </w:p>
    <w:p>
      <w:pPr>
        <w:spacing w:before="0" w:after="240" w:line="288" w:lineRule="auto"/>
        <w:ind w:left="0" w:right="0" w:firstLine="0"/>
        <w:jc w:val="left"/>
        <w:pBdr>
          <w:bottom w:val="single" w:sz="6" w:space="6" w:color="D0D5DD"/>
        </w:pBdr>
      </w:pPr>
      <w:r>
        <w:rPr>
          <w:rFonts w:ascii="Arial" w:hAnsi="Arial"/>
          <w:b/>
          <w:color w:val="111827"/>
          <w:sz w:val="23"/>
        </w:rPr>
        <w:t>What are the key indicators and metrics used to measure the impact of CSR initiatives? Discuss the challenges associated with measuring and reporting CSR performance.</w:t>
      </w:r>
    </w:p>
    <w:p>
      <w:pPr>
        <w:spacing w:before="40" w:after="120" w:line="276" w:lineRule="auto"/>
        <w:ind w:left="0" w:right="0" w:firstLine="0"/>
        <w:jc w:val="left"/>
      </w:pPr>
      <w:r>
        <w:rPr>
          <w:rFonts w:ascii="Arial" w:hAnsi="Arial"/>
          <w:color w:val="1E1E1E"/>
          <w:sz w:val="21"/>
        </w:rPr>
        <w:t>Corporate Social Responsibility (CSR) is defined as the commitment of business organizations to contribute to sustainable economic development by working with employees, their families, the local community, and society at large to improve their quality of life in ways that are both good for business and good for development (World Business Council for Sustainable Development, 2000). This conceptual framework transcends traditional philanthropy, positioning social and environmental considerations as integral components of corporate strategy rather than peripheral activities. By aligning profit-seeking motives with broader societal welfare, firms aim to mitigate operational risks and enhance their long-term viability within a complex global marketplace.</w:t>
      </w:r>
    </w:p>
    <w:p>
      <w:pPr>
        <w:spacing w:before="40" w:after="120" w:line="276" w:lineRule="auto"/>
        <w:ind w:left="0" w:right="0" w:firstLine="0"/>
        <w:jc w:val="left"/>
      </w:pPr>
      <w:r>
        <w:rPr>
          <w:rFonts w:ascii="Arial" w:hAnsi="Arial"/>
          <w:color w:val="1E1E1E"/>
          <w:sz w:val="21"/>
        </w:rPr>
        <w:t>In operational practice, CSR functions as a multi-dimensional management approach that requires the systematic integration of ethical, environmental, and social concerns into the daily decision-making processes of an organization. Corporations utilize various frameworks, such as the Global Reporting Initiative (GRI) or the Sustainability Accounting Standards Board (SASB) standards, to translate abstract ethical commitments into quantifiable performance data. This operationalization allows firms to communicate their societal impact to stakeholders, including investors, regulators, and consumers, thereby fostering institutional legitimacy and competitive differentiation.</w:t>
      </w:r>
    </w:p>
    <w:p>
      <w:pPr>
        <w:keepNext/>
        <w:spacing w:before="220" w:after="100" w:line="276" w:lineRule="auto"/>
        <w:ind w:left="0" w:right="0" w:firstLine="0"/>
        <w:jc w:val="left"/>
      </w:pPr>
      <w:r>
        <w:rPr>
          <w:rFonts w:ascii="Arial" w:hAnsi="Arial"/>
          <w:b/>
          <w:color w:val="111827"/>
          <w:sz w:val="25"/>
        </w:rPr>
        <w:t>Core Pillars of CSR Impact Measurement</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Environmental Sustainability Metrics:</w:t>
      </w:r>
      <w:r>
        <w:rPr>
          <w:rFonts w:ascii="Arial" w:hAnsi="Arial"/>
          <w:color w:val="1E1E1E"/>
          <w:sz w:val="21"/>
        </w:rPr>
        <w:t xml:space="preserve"> This pillar quantifies the physical footprint of an organization, focusing on resource efficiency and ecological preservation. Key indicators include Greenhouse Gas (GHG) emission levels (Scope 1, 2, and 3), energy consumption patterns, water usage intensity, and waste diversion rates. By tracking these variables, firms can identify operational inefficiencies and demonstrate progress toward decarbonization targets, which is essential for compliance with evolving international climate reporting mandates.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Social and Human Capital Indicators:</w:t>
      </w:r>
      <w:r>
        <w:rPr>
          <w:rFonts w:ascii="Arial" w:hAnsi="Arial"/>
          <w:color w:val="1E1E1E"/>
          <w:sz w:val="21"/>
        </w:rPr>
        <w:t xml:space="preserve"> This dimension assesses the impact of corporate policies on internal and external stakeholders, emphasizing human rights, labor practices, and community engagement. Metrics include employee turnover rates, gender pay parity ratios, diversity and inclusion statistics, and investment in community development programs. These indicators serve as proxies for the firm’s commitment to ethical labor standards and its capacity to manage human capital effectively, which directly correlates with long-term productivity and brand reputation.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Governance and Ethical Performance Metrics:</w:t>
      </w:r>
      <w:r>
        <w:rPr>
          <w:rFonts w:ascii="Arial" w:hAnsi="Arial"/>
          <w:color w:val="1E1E1E"/>
          <w:sz w:val="21"/>
        </w:rPr>
        <w:t xml:space="preserve"> This pillar evaluates the structural integrity of the organization, focusing on transparency, accountability, and anti-corruption measures. Indicators include the composition of the board of directors, the presence of robust whistleblowing mechanisms, and the percentage of executive compensation linked to sustainability targets. Measuring these factors provides assurance to shareholders that the firm is managed in a manner that minimizes ethical risks and upholds high standards of corporate conduct.</w:t>
      </w:r>
    </w:p>
    <w:p>
      <w:pPr>
        <w:keepNext/>
        <w:spacing w:before="220" w:after="100" w:line="276" w:lineRule="auto"/>
        <w:ind w:left="0" w:right="0" w:firstLine="0"/>
        <w:jc w:val="left"/>
      </w:pPr>
      <w:r>
        <w:rPr>
          <w:rFonts w:ascii="Arial" w:hAnsi="Arial"/>
          <w:b/>
          <w:color w:val="111827"/>
          <w:sz w:val="25"/>
        </w:rPr>
        <w:t>Importance of CSR in Contemporary Business</w:t>
      </w:r>
    </w:p>
    <w:p>
      <w:pPr>
        <w:spacing w:before="40" w:after="120" w:line="276" w:lineRule="auto"/>
        <w:ind w:left="0" w:right="0" w:firstLine="0"/>
        <w:jc w:val="left"/>
      </w:pPr>
      <w:r>
        <w:rPr>
          <w:rFonts w:ascii="Arial" w:hAnsi="Arial"/>
          <w:color w:val="1E1E1E"/>
          <w:sz w:val="21"/>
        </w:rPr>
        <w:t>The strategic adoption of CSR initiatives has become a fundamental driver of institutional resilience and value creation: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Resilience:</w:t>
      </w:r>
      <w:r>
        <w:rPr>
          <w:rFonts w:ascii="Arial" w:hAnsi="Arial"/>
          <w:color w:val="1E1E1E"/>
          <w:sz w:val="21"/>
        </w:rPr>
        <w:t xml:space="preserve"> Proactive CSR management helps firms identify and address potential environmental or regulatory liabilities before they escalate into crises. For instance, companies like Unilever have utilized sustainable sourcing frameworks to minimize supply chain disruptions caused by climate change and geopolitical instability in resource-rich regions.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Brand Equity and Consumer Loyalty:</w:t>
      </w:r>
      <w:r>
        <w:rPr>
          <w:rFonts w:ascii="Arial" w:hAnsi="Arial"/>
          <w:color w:val="1E1E1E"/>
          <w:sz w:val="21"/>
        </w:rPr>
        <w:t xml:space="preserve"> Modern consumers increasingly demonstrate preference for brands that align with their personal values regarding sustainability and ethical production. Patagonia’s explicit commitment to environmental activism has cultivated a deeply loyal customer base, effectively differentiating the firm in the highly competitive apparel market.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Access to Capital and Investor Relations:</w:t>
      </w:r>
      <w:r>
        <w:rPr>
          <w:rFonts w:ascii="Arial" w:hAnsi="Arial"/>
          <w:color w:val="1E1E1E"/>
          <w:sz w:val="21"/>
        </w:rPr>
        <w:t xml:space="preserve"> Institutional investors are shifting toward Environmental, Social, and Governance (ESG) criteria as a primary filter for capital allocation to reduce long-term portfolio risk. BlackRock’s integration of sustainability metrics into investment strategies illustrates how firms with strong CSR performance are increasingly viewed as lower-risk, higher-value targets for institutional funding.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Attraction and Retention of Talent:</w:t>
      </w:r>
      <w:r>
        <w:rPr>
          <w:rFonts w:ascii="Arial" w:hAnsi="Arial"/>
          <w:color w:val="1E1E1E"/>
          <w:sz w:val="21"/>
        </w:rPr>
        <w:t xml:space="preserve"> High-performing employees, particularly within younger demographics, prioritize working for organizations that demonstrate a clear social purpose. Salesforce has leveraged its "1-1-1" philanthropic model to attract top-tier talent, fostering a workplace culture that drives higher engagement and reduces costs associated with staff turnover.</w:t>
      </w:r>
    </w:p>
    <w:p>
      <w:pPr>
        <w:keepNext/>
        <w:spacing w:before="220" w:after="100" w:line="276" w:lineRule="auto"/>
        <w:ind w:left="0" w:right="0" w:firstLine="0"/>
        <w:jc w:val="left"/>
      </w:pPr>
      <w:r>
        <w:rPr>
          <w:rFonts w:ascii="Arial" w:hAnsi="Arial"/>
          <w:b/>
          <w:color w:val="111827"/>
          <w:sz w:val="25"/>
        </w:rPr>
        <w:t>Comparative Analysis: CSR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CSR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ESG Integration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Triple Bottom Line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Shared Value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Corporate citizenship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Financial materiality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Sustainability accounting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Competitive strategy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Target Audience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General public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Investors/Regulators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Business leaders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Measurement Basis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Qualitative/Social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Quantitative/Financial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People/Planet/Profit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Economic/Social value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Strategic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Ethical legitimacy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Risk/Return optimization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Holistic performance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Profit through impact</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CSR Within Organizations</w:t>
      </w:r>
    </w:p>
    <w:p>
      <w:pPr>
        <w:spacing w:before="40" w:after="120" w:line="276" w:lineRule="auto"/>
        <w:ind w:left="0" w:right="0" w:firstLine="0"/>
        <w:jc w:val="left"/>
      </w:pPr>
      <w:r>
        <w:rPr>
          <w:rFonts w:ascii="Arial" w:hAnsi="Arial"/>
          <w:color w:val="1E1E1E"/>
          <w:sz w:val="21"/>
        </w:rPr>
        <w:t>Leaders must adopt rigorous structural approaches to ensure that CSR initiatives deliver measurable improvements to organizational performance:</w:t>
      </w:r>
    </w:p>
    <w:p>
      <w:pPr>
        <w:keepNext/>
        <w:spacing w:before="180" w:after="60" w:line="276" w:lineRule="auto"/>
        <w:ind w:left="0" w:right="0" w:firstLine="0"/>
        <w:jc w:val="left"/>
      </w:pPr>
      <w:r>
        <w:rPr>
          <w:rFonts w:ascii="Arial" w:hAnsi="Arial"/>
          <w:b/>
          <w:color w:val="111827"/>
          <w:sz w:val="22"/>
        </w:rPr>
        <w:t>1. Strategic Alignment with Business Objectives</w:t>
      </w:r>
    </w:p>
    <w:p>
      <w:pPr>
        <w:spacing w:before="40" w:after="120" w:line="276" w:lineRule="auto"/>
        <w:ind w:left="0" w:right="0" w:firstLine="0"/>
        <w:jc w:val="left"/>
      </w:pPr>
      <w:r>
        <w:rPr>
          <w:rFonts w:ascii="Arial" w:hAnsi="Arial"/>
          <w:color w:val="1E1E1E"/>
          <w:sz w:val="21"/>
        </w:rPr>
        <w:t>Leadership must ensure that CSR initiatives are not isolated projects but are deeply embedded within the core business strategy.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Integration:</w:t>
      </w:r>
      <w:r>
        <w:rPr>
          <w:rFonts w:ascii="Arial" w:hAnsi="Arial"/>
          <w:color w:val="1E1E1E"/>
          <w:sz w:val="21"/>
        </w:rPr>
        <w:t xml:space="preserve"> Align every CSR initiative with a specific business goal to ensure that social impact contributes directly to the firm’s competitive advantage.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Top-down Support:</w:t>
      </w:r>
      <w:r>
        <w:rPr>
          <w:rFonts w:ascii="Arial" w:hAnsi="Arial"/>
          <w:color w:val="1E1E1E"/>
          <w:sz w:val="21"/>
        </w:rPr>
        <w:t xml:space="preserve"> Secure active sponsorship from the C-suite to signal that sustainability is a strategic priority rather than a peripheral administrative task.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Allocation:</w:t>
      </w:r>
      <w:r>
        <w:rPr>
          <w:rFonts w:ascii="Arial" w:hAnsi="Arial"/>
          <w:color w:val="1E1E1E"/>
          <w:sz w:val="21"/>
        </w:rPr>
        <w:t xml:space="preserve"> Dedicate specific budgets and personnel to CSR, ensuring that sustainability efforts are not underfunded or treated as secondary to primary operations.</w:t>
      </w:r>
    </w:p>
    <w:p>
      <w:pPr>
        <w:keepNext/>
        <w:spacing w:before="180" w:after="60" w:line="276" w:lineRule="auto"/>
        <w:ind w:left="0" w:right="0" w:firstLine="0"/>
        <w:jc w:val="left"/>
      </w:pPr>
      <w:r>
        <w:rPr>
          <w:rFonts w:ascii="Arial" w:hAnsi="Arial"/>
          <w:b/>
          <w:color w:val="111827"/>
          <w:sz w:val="22"/>
        </w:rPr>
        <w:t>2. Standardized Reporting and Transparency</w:t>
      </w:r>
    </w:p>
    <w:p>
      <w:pPr>
        <w:spacing w:before="40" w:after="120" w:line="276" w:lineRule="auto"/>
        <w:ind w:left="0" w:right="0" w:firstLine="0"/>
        <w:jc w:val="left"/>
      </w:pPr>
      <w:r>
        <w:rPr>
          <w:rFonts w:ascii="Arial" w:hAnsi="Arial"/>
          <w:color w:val="1E1E1E"/>
          <w:sz w:val="21"/>
        </w:rPr>
        <w:t>Adopting globally recognized reporting standards is essential for maintaining credibility with external stakeholders and regulators.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Framework Selection:</w:t>
      </w:r>
      <w:r>
        <w:rPr>
          <w:rFonts w:ascii="Arial" w:hAnsi="Arial"/>
          <w:color w:val="1E1E1E"/>
          <w:sz w:val="21"/>
        </w:rPr>
        <w:t xml:space="preserve"> Utilize established frameworks such as the Global Reporting Initiative (GRI) to ensure that performance data is comparable and verifiable.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Third-Party Auditing:</w:t>
      </w:r>
      <w:r>
        <w:rPr>
          <w:rFonts w:ascii="Arial" w:hAnsi="Arial"/>
          <w:color w:val="1E1E1E"/>
          <w:sz w:val="21"/>
        </w:rPr>
        <w:t xml:space="preserve"> Engage independent third parties to audit sustainability reports, which significantly enhances the reliability of the disclosed information.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Engagement:</w:t>
      </w:r>
      <w:r>
        <w:rPr>
          <w:rFonts w:ascii="Arial" w:hAnsi="Arial"/>
          <w:color w:val="1E1E1E"/>
          <w:sz w:val="21"/>
        </w:rPr>
        <w:t xml:space="preserve"> Maintain open channels of communication with stakeholders to understand their information needs and refine reporting content accordingly.</w:t>
      </w:r>
    </w:p>
    <w:p>
      <w:pPr>
        <w:keepNext/>
        <w:spacing w:before="180" w:after="60" w:line="276" w:lineRule="auto"/>
        <w:ind w:left="0" w:right="0" w:firstLine="0"/>
        <w:jc w:val="left"/>
      </w:pPr>
      <w:r>
        <w:rPr>
          <w:rFonts w:ascii="Arial" w:hAnsi="Arial"/>
          <w:b/>
          <w:color w:val="111827"/>
          <w:sz w:val="22"/>
        </w:rPr>
        <w:t>3. Data-Driven Performance Management</w:t>
      </w:r>
    </w:p>
    <w:p>
      <w:pPr>
        <w:spacing w:before="40" w:after="120" w:line="276" w:lineRule="auto"/>
        <w:ind w:left="0" w:right="0" w:firstLine="0"/>
        <w:jc w:val="left"/>
      </w:pPr>
      <w:r>
        <w:rPr>
          <w:rFonts w:ascii="Arial" w:hAnsi="Arial"/>
          <w:color w:val="1E1E1E"/>
          <w:sz w:val="21"/>
        </w:rPr>
        <w:t>Effective CSR requires the same level of analytical rigor as financial management to track progress and identify areas for improvement.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KPI Definition:</w:t>
      </w:r>
      <w:r>
        <w:rPr>
          <w:rFonts w:ascii="Arial" w:hAnsi="Arial"/>
          <w:color w:val="1E1E1E"/>
          <w:sz w:val="21"/>
        </w:rPr>
        <w:t xml:space="preserve"> Establish clear, measurable Key Performance Indicators (KPIs) for every CSR initiative to monitor progress against predefined targets.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Real-time Monitoring:</w:t>
      </w:r>
      <w:r>
        <w:rPr>
          <w:rFonts w:ascii="Arial" w:hAnsi="Arial"/>
          <w:color w:val="1E1E1E"/>
          <w:sz w:val="21"/>
        </w:rPr>
        <w:t xml:space="preserve"> Deploy digital tracking tools to capture real-time data on energy usage, waste production, and social impact metrics across the organization.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Continuous Feedback:</w:t>
      </w:r>
      <w:r>
        <w:rPr>
          <w:rFonts w:ascii="Arial" w:hAnsi="Arial"/>
          <w:color w:val="1E1E1E"/>
          <w:sz w:val="21"/>
        </w:rPr>
        <w:t xml:space="preserve"> Use performance data to conduct quarterly reviews, allowing management to pivot strategies if specific CSR goals are not being met.</w:t>
      </w:r>
    </w:p>
    <w:p>
      <w:pPr>
        <w:keepNext/>
        <w:spacing w:before="180" w:after="60" w:line="276" w:lineRule="auto"/>
        <w:ind w:left="0" w:right="0" w:firstLine="0"/>
        <w:jc w:val="left"/>
      </w:pPr>
      <w:r>
        <w:rPr>
          <w:rFonts w:ascii="Arial" w:hAnsi="Arial"/>
          <w:b/>
          <w:color w:val="111827"/>
          <w:sz w:val="22"/>
        </w:rPr>
        <w:t>4. Fostering a Culture of Accountability</w:t>
      </w:r>
    </w:p>
    <w:p>
      <w:pPr>
        <w:spacing w:before="40" w:after="120" w:line="276" w:lineRule="auto"/>
        <w:ind w:left="0" w:right="0" w:firstLine="0"/>
        <w:jc w:val="left"/>
      </w:pPr>
      <w:r>
        <w:rPr>
          <w:rFonts w:ascii="Arial" w:hAnsi="Arial"/>
          <w:color w:val="1E1E1E"/>
          <w:sz w:val="21"/>
        </w:rPr>
        <w:t>Organizational culture must reflect the firm’s social commitments, ensuring that employees at all levels are engaged in CSR efforts.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Incentive Structures:</w:t>
      </w:r>
      <w:r>
        <w:rPr>
          <w:rFonts w:ascii="Arial" w:hAnsi="Arial"/>
          <w:color w:val="1E1E1E"/>
          <w:sz w:val="21"/>
        </w:rPr>
        <w:t xml:space="preserve"> Link executive and middle-management bonuses to the achievement of specific CSR targets to ensure operational accountability.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Employee Training:</w:t>
      </w:r>
      <w:r>
        <w:rPr>
          <w:rFonts w:ascii="Arial" w:hAnsi="Arial"/>
          <w:color w:val="1E1E1E"/>
          <w:sz w:val="21"/>
        </w:rPr>
        <w:t xml:space="preserve"> Provide comprehensive education on the importance of sustainability to ensure that staff understand their role in achieving corporate goals.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Internal Advocacy:</w:t>
      </w:r>
      <w:r>
        <w:rPr>
          <w:rFonts w:ascii="Arial" w:hAnsi="Arial"/>
          <w:color w:val="1E1E1E"/>
          <w:sz w:val="21"/>
        </w:rPr>
        <w:t xml:space="preserve"> Empower employee-led committees to identify and propose local CSR opportunities that resonate with the firm’s specific operational context.</w:t>
      </w:r>
    </w:p>
    <w:p>
      <w:pPr>
        <w:keepNext/>
        <w:spacing w:before="180" w:after="60" w:line="276" w:lineRule="auto"/>
        <w:ind w:left="0" w:right="0" w:firstLine="0"/>
        <w:jc w:val="left"/>
      </w:pPr>
      <w:r>
        <w:rPr>
          <w:rFonts w:ascii="Arial" w:hAnsi="Arial"/>
          <w:b/>
          <w:color w:val="111827"/>
          <w:sz w:val="22"/>
        </w:rPr>
        <w:t>5. Long-term Impact Evaluation</w:t>
      </w:r>
    </w:p>
    <w:p>
      <w:pPr>
        <w:spacing w:before="40" w:after="120" w:line="276" w:lineRule="auto"/>
        <w:ind w:left="0" w:right="0" w:firstLine="0"/>
        <w:jc w:val="left"/>
      </w:pPr>
      <w:r>
        <w:rPr>
          <w:rFonts w:ascii="Arial" w:hAnsi="Arial"/>
          <w:color w:val="1E1E1E"/>
          <w:sz w:val="21"/>
        </w:rPr>
        <w:t>Leaders must look beyond immediate outputs to evaluate the long-term societal and business outcomes of their CSR investments.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Outcome Mapping:</w:t>
      </w:r>
      <w:r>
        <w:rPr>
          <w:rFonts w:ascii="Arial" w:hAnsi="Arial"/>
          <w:color w:val="1E1E1E"/>
          <w:sz w:val="21"/>
        </w:rPr>
        <w:t xml:space="preserve"> Distinguish between output metrics, such as money donated, and outcome metrics, such as the long-term improvement in community wellbeing.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Lifecycle Assessment:</w:t>
      </w:r>
      <w:r>
        <w:rPr>
          <w:rFonts w:ascii="Arial" w:hAnsi="Arial"/>
          <w:color w:val="1E1E1E"/>
          <w:sz w:val="21"/>
        </w:rPr>
        <w:t xml:space="preserve"> Conduct comprehensive lifecycle assessments of products to understand the environmental footprint from extraction to disposal.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Iterative Strategy:</w:t>
      </w:r>
      <w:r>
        <w:rPr>
          <w:rFonts w:ascii="Arial" w:hAnsi="Arial"/>
          <w:color w:val="1E1E1E"/>
          <w:sz w:val="21"/>
        </w:rPr>
        <w:t xml:space="preserve"> Use longitudinal impact data to refine the organization’s CSR strategy, ensuring that initiatives remain relevant to changing societal and environmental conditions.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measurement of CSR performance remains a complex endeavor due to the inherent difficulty in quantifying intangible social outcomes and the lack of universal standardization across industries. Despite these challenges, the shift toward rigorous, data-driven reporting frameworks is essential for firms seeking to maintain legitimacy in an increasingly transparent global economy.</w:t>
      </w:r>
    </w:p>
    <w:p>
      <w:pPr>
        <w:spacing w:before="40" w:after="120" w:line="276" w:lineRule="auto"/>
        <w:ind w:left="0" w:right="0" w:firstLine="0"/>
        <w:jc w:val="left"/>
      </w:pPr>
      <w:r>
        <w:rPr>
          <w:rFonts w:ascii="Arial" w:hAnsi="Arial"/>
          <w:color w:val="1E1E1E"/>
          <w:sz w:val="21"/>
        </w:rPr>
        <w:t>Ultimately, the successful integration of CSR requires leadership to treat social and environmental impact with the same analytical precision as financial performance. By moving from reactive compliance to proactive strategic management, organizations can effectively align their long-term interests with the broader needs of society. This synthesis of ethics and economics is the definitive marker of a resilient and future-ready enterprise.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