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15</w:t>
      </w:r>
    </w:p>
    <w:p>
      <w:pPr>
        <w:spacing w:before="0" w:after="240" w:line="288" w:lineRule="auto"/>
        <w:ind w:left="0" w:right="0" w:firstLine="0"/>
        <w:jc w:val="left"/>
        <w:pBdr>
          <w:bottom w:val="single" w:sz="6" w:space="6" w:color="D0D5DD"/>
        </w:pBdr>
      </w:pPr>
      <w:r>
        <w:rPr>
          <w:rFonts w:ascii="Arial" w:hAnsi="Arial"/>
          <w:b/>
          <w:color w:val="111827"/>
          <w:sz w:val="23"/>
        </w:rPr>
        <w:t>Discuss the benefits that are associated with at least two of the disruptive technologies that are depicted with this case study. Clearly indicate those disruptive technologies and then conduct your discussion.</w:t>
      </w:r>
    </w:p>
    <w:p>
      <w:pPr>
        <w:spacing w:before="40" w:after="120" w:line="276" w:lineRule="auto"/>
        <w:ind w:left="0" w:right="0" w:firstLine="0"/>
        <w:jc w:val="left"/>
      </w:pPr>
      <w:r>
        <w:rPr>
          <w:rFonts w:ascii="Arial" w:hAnsi="Arial"/>
          <w:color w:val="1E1E1E"/>
          <w:sz w:val="21"/>
        </w:rPr>
        <w:t>Disruptive technology refers to an innovation that significantly alters the way consumers, industries, or businesses operate, often by displacing established market leaders and fundamentally changing the value proposition of existing products or services (Christensen, 1997). Unlike incremental improvements that refine existing paradigms, disruptive innovations frequently introduce a new set of attributes—such as greater accessibility, lower cost, or enhanced convenience—that initially appeal to a niche segment before rapidly scaling to dominate the broader market landscape.</w:t>
      </w:r>
    </w:p>
    <w:p>
      <w:pPr>
        <w:spacing w:before="40" w:after="120" w:line="276" w:lineRule="auto"/>
        <w:ind w:left="0" w:right="0" w:firstLine="0"/>
        <w:jc w:val="left"/>
      </w:pPr>
      <w:r>
        <w:rPr>
          <w:rFonts w:ascii="Arial" w:hAnsi="Arial"/>
          <w:color w:val="1E1E1E"/>
          <w:sz w:val="21"/>
        </w:rPr>
        <w:t>In operational practice, these technologies function by leveraging digital architectures to dismantle traditional barriers to entry and reconfigure supply chains. Organizations integrate these tools to automate manual workflows, synthesize vast datasets into actionable intelligence, and create decentralized platforms that bypass legacy intermediaries. This transition forces firms to pivot from rigid, asset-heavy business models toward agile, data-driven frameworks that prioritize scalability and user-centric value creation.</w:t>
      </w:r>
    </w:p>
    <w:p>
      <w:pPr>
        <w:keepNext/>
        <w:spacing w:before="220" w:after="100" w:line="276" w:lineRule="auto"/>
        <w:ind w:left="0" w:right="0" w:firstLine="0"/>
        <w:jc w:val="left"/>
      </w:pPr>
      <w:r>
        <w:rPr>
          <w:rFonts w:ascii="Arial" w:hAnsi="Arial"/>
          <w:b/>
          <w:color w:val="111827"/>
          <w:sz w:val="25"/>
        </w:rPr>
        <w:t>Core Pillars of Artificial Intelligence and Blockchain</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Predictive Analytics and Machine Learning:</w:t>
      </w:r>
      <w:r>
        <w:rPr>
          <w:rFonts w:ascii="Arial" w:hAnsi="Arial"/>
          <w:color w:val="1E1E1E"/>
          <w:sz w:val="21"/>
        </w:rPr>
        <w:t xml:space="preserve"> Artificial Intelligence (AI) functions through the application of sophisticated algorithms that analyze historical data to forecast future trends, consumer behaviors, and operational bottlenecks. By moving beyond descriptive statistics, organizations utilize neural networks to identify non-linear patterns, allowing for proactive adjustments in inventory management, personalized marketing, and risk mitigation. This pillar transforms raw data into a strategic asset, enabling leaders to make evidence-based decisions that align with real-time market fluctuations rather than historical assumptions.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Decentralized Ledger Integrity:</w:t>
      </w:r>
      <w:r>
        <w:rPr>
          <w:rFonts w:ascii="Arial" w:hAnsi="Arial"/>
          <w:color w:val="1E1E1E"/>
          <w:sz w:val="21"/>
        </w:rPr>
        <w:t xml:space="preserve"> Blockchain technology establishes an immutable, transparent, and distributed record-keeping system that eliminates the necessity for central clearinghouses or third-party verification. By utilizing cryptographic hashing and consensus protocols, this technology ensures that transactional data remains tamper-proof, thereby fostering trust between disparate stakeholders who may lack existing institutional relationships. This pillar fundamentally redefines the concept of organizational transparency, as it allows for the seamless tracking of assets, smart contract execution, and the mitigation of fraudulent activities within complex, globalized supply chains.</w:t>
      </w:r>
    </w:p>
    <w:p>
      <w:pPr>
        <w:keepNext/>
        <w:spacing w:before="220" w:after="100" w:line="276" w:lineRule="auto"/>
        <w:ind w:left="0" w:right="0" w:firstLine="0"/>
        <w:jc w:val="left"/>
      </w:pPr>
      <w:r>
        <w:rPr>
          <w:rFonts w:ascii="Arial" w:hAnsi="Arial"/>
          <w:b/>
          <w:color w:val="111827"/>
          <w:sz w:val="25"/>
        </w:rPr>
        <w:t>Importance of Artificial Intelligence and Blockchain in Contemporary Business</w:t>
      </w:r>
    </w:p>
    <w:p>
      <w:pPr>
        <w:spacing w:before="40" w:after="120" w:line="276" w:lineRule="auto"/>
        <w:ind w:left="0" w:right="0" w:firstLine="0"/>
        <w:jc w:val="left"/>
      </w:pPr>
      <w:r>
        <w:rPr>
          <w:rFonts w:ascii="Arial" w:hAnsi="Arial"/>
          <w:color w:val="1E1E1E"/>
          <w:sz w:val="21"/>
        </w:rPr>
        <w:t>The strategic integration of these technologies serves as a catalyst for sustainable competitive advantage: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Operational Efficiency through AI:</w:t>
      </w:r>
      <w:r>
        <w:rPr>
          <w:rFonts w:ascii="Arial" w:hAnsi="Arial"/>
          <w:color w:val="1E1E1E"/>
          <w:sz w:val="21"/>
        </w:rPr>
        <w:t xml:space="preserve"> Machine learning algorithms automate routine cognitive tasks, such as customer support inquiries and financial reconciliation, which reduces human error and operational overhead. For example, JPMorgan Chase utilizes AI-driven document review software to analyze commercial loan agreements in seconds, a process that previously required thousands of legal hours annually.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Chain Transparency via Blockchain:</w:t>
      </w:r>
      <w:r>
        <w:rPr>
          <w:rFonts w:ascii="Arial" w:hAnsi="Arial"/>
          <w:color w:val="1E1E1E"/>
          <w:sz w:val="21"/>
        </w:rPr>
        <w:t xml:space="preserve"> Distributed ledgers provide end-to-end visibility into the provenance and movement of goods, which is critical for compliance and consumer trust. Walmart has successfully implemented blockchain to track the origin of food products, enabling the company to identify and isolate contaminated items in seconds rather than days.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Hyper-Personalized Customer Engagement:</w:t>
      </w:r>
      <w:r>
        <w:rPr>
          <w:rFonts w:ascii="Arial" w:hAnsi="Arial"/>
          <w:color w:val="1E1E1E"/>
          <w:sz w:val="21"/>
        </w:rPr>
        <w:t xml:space="preserve"> AI enables firms to tailor services to individual preferences by processing behavioral data in real-time. Netflix leverages sophisticated recommendation engines to provide personalized content suggestions, which significantly increases user retention and optimizes the deployment of production capital.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Secure Decentralized Finance (DeFi):</w:t>
      </w:r>
      <w:r>
        <w:rPr>
          <w:rFonts w:ascii="Arial" w:hAnsi="Arial"/>
          <w:color w:val="1E1E1E"/>
          <w:sz w:val="21"/>
        </w:rPr>
        <w:t xml:space="preserve"> Blockchain facilitates the creation of secure, automated financial protocols that operate independently of traditional banking infrastructure. Firms like Visa are increasingly exploring blockchain-based settlement layers to enable near-instantaneous cross-border payments, bypassing the delays and costs associated with legacy correspondent banking systems.</w:t>
      </w:r>
    </w:p>
    <w:p>
      <w:pPr>
        <w:keepNext/>
        <w:spacing w:before="220" w:after="100" w:line="276" w:lineRule="auto"/>
        <w:ind w:left="0" w:right="0" w:firstLine="0"/>
        <w:jc w:val="left"/>
      </w:pPr>
      <w:r>
        <w:rPr>
          <w:rFonts w:ascii="Arial" w:hAnsi="Arial"/>
          <w:b/>
          <w:color w:val="111827"/>
          <w:sz w:val="25"/>
        </w:rPr>
        <w:t>Comparative Analysis: Disruptive Technologies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AI Integration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Blockchain Systems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Legacy Databases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Manual Processes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Data Integrity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via pattern recognition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Absolute via cryptographic hashing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via controlled access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via human error</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Operational Speed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Real-time predictive processing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Near-instantaneous verification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Batch-processed updates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Slow, linear workflow cycles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Trust Mechanism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Algorithmic output validation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Decentralized network consensus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Centralized authority oversight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Institutional reputation reliance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Scalability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through cloud computing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through distributed nodes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Limited by server capacity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Negligible due to labor</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Artificial Intelligence and Blockchain Within Organizations</w:t>
      </w:r>
    </w:p>
    <w:p>
      <w:pPr>
        <w:spacing w:before="40" w:after="120" w:line="276" w:lineRule="auto"/>
        <w:ind w:left="0" w:right="0" w:firstLine="0"/>
        <w:jc w:val="left"/>
      </w:pPr>
      <w:r>
        <w:rPr>
          <w:rFonts w:ascii="Arial" w:hAnsi="Arial"/>
          <w:color w:val="1E1E1E"/>
          <w:sz w:val="21"/>
        </w:rPr>
        <w:t>Effective implementation requires a structured approach to technical alignment and cultural adaptation:</w:t>
      </w:r>
    </w:p>
    <w:p>
      <w:pPr>
        <w:keepNext/>
        <w:spacing w:before="180" w:after="60" w:line="276" w:lineRule="auto"/>
        <w:ind w:left="0" w:right="0" w:firstLine="0"/>
        <w:jc w:val="left"/>
      </w:pPr>
      <w:r>
        <w:rPr>
          <w:rFonts w:ascii="Arial" w:hAnsi="Arial"/>
          <w:b/>
          <w:color w:val="111827"/>
          <w:sz w:val="22"/>
        </w:rPr>
        <w:t>1. Strategic Alignment with Organizational Goals</w:t>
      </w:r>
    </w:p>
    <w:p>
      <w:pPr>
        <w:spacing w:before="40" w:after="120" w:line="276" w:lineRule="auto"/>
        <w:ind w:left="0" w:right="0" w:firstLine="0"/>
        <w:jc w:val="left"/>
      </w:pPr>
      <w:r>
        <w:rPr>
          <w:rFonts w:ascii="Arial" w:hAnsi="Arial"/>
          <w:color w:val="1E1E1E"/>
          <w:sz w:val="21"/>
        </w:rPr>
        <w:t>Leadership must ensure that technology adoption serves specific business objectives rather than pursuing innovation for its own sake.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Defined KPIs:</w:t>
      </w:r>
      <w:r>
        <w:rPr>
          <w:rFonts w:ascii="Arial" w:hAnsi="Arial"/>
          <w:color w:val="1E1E1E"/>
          <w:sz w:val="21"/>
        </w:rPr>
        <w:t xml:space="preserve"> Establish clear performance metrics that prioritize ROI, cost reduction, or customer acquisition before the deployment of any new digital architecture.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Executive Sponsorship:</w:t>
      </w:r>
      <w:r>
        <w:rPr>
          <w:rFonts w:ascii="Arial" w:hAnsi="Arial"/>
          <w:color w:val="1E1E1E"/>
          <w:sz w:val="21"/>
        </w:rPr>
        <w:t xml:space="preserve"> Secure commitment from senior management to provide the necessary budgetary and political support required for long-term integration.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Assessment:</w:t>
      </w:r>
      <w:r>
        <w:rPr>
          <w:rFonts w:ascii="Arial" w:hAnsi="Arial"/>
          <w:color w:val="1E1E1E"/>
          <w:sz w:val="21"/>
        </w:rPr>
        <w:t xml:space="preserve"> Conduct thorough audits to identify potential regulatory, security, and ethical concerns associated with the chosen technology stack.</w:t>
      </w:r>
    </w:p>
    <w:p>
      <w:pPr>
        <w:keepNext/>
        <w:spacing w:before="180" w:after="60" w:line="276" w:lineRule="auto"/>
        <w:ind w:left="0" w:right="0" w:firstLine="0"/>
        <w:jc w:val="left"/>
      </w:pPr>
      <w:r>
        <w:rPr>
          <w:rFonts w:ascii="Arial" w:hAnsi="Arial"/>
          <w:b/>
          <w:color w:val="111827"/>
          <w:sz w:val="22"/>
        </w:rPr>
        <w:t>2. Cultivating Data-Driven Organizational Culture</w:t>
      </w:r>
    </w:p>
    <w:p>
      <w:pPr>
        <w:spacing w:before="40" w:after="120" w:line="276" w:lineRule="auto"/>
        <w:ind w:left="0" w:right="0" w:firstLine="0"/>
        <w:jc w:val="left"/>
      </w:pPr>
      <w:r>
        <w:rPr>
          <w:rFonts w:ascii="Arial" w:hAnsi="Arial"/>
          <w:color w:val="1E1E1E"/>
          <w:sz w:val="21"/>
        </w:rPr>
        <w:t>Success depends on the workforce’s ability to interpret and act upon the insights generated by advanced technological systems.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Upskilling Initiatives:</w:t>
      </w:r>
      <w:r>
        <w:rPr>
          <w:rFonts w:ascii="Arial" w:hAnsi="Arial"/>
          <w:color w:val="1E1E1E"/>
          <w:sz w:val="21"/>
        </w:rPr>
        <w:t xml:space="preserve"> Implement structured training programs to bridge the digital literacy gap among existing staff members.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Cross-Functional Collaboration:</w:t>
      </w:r>
      <w:r>
        <w:rPr>
          <w:rFonts w:ascii="Arial" w:hAnsi="Arial"/>
          <w:color w:val="1E1E1E"/>
          <w:sz w:val="21"/>
        </w:rPr>
        <w:t xml:space="preserve"> Facilitate communication between data scientists and department heads to ensure technical solutions address practical business challenges.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Evidence-Based Decision Making:</w:t>
      </w:r>
      <w:r>
        <w:rPr>
          <w:rFonts w:ascii="Arial" w:hAnsi="Arial"/>
          <w:color w:val="1E1E1E"/>
          <w:sz w:val="21"/>
        </w:rPr>
        <w:t xml:space="preserve"> Incentivize managers to rely on algorithmic output rather than intuition when making resource allocation decisions.</w:t>
      </w:r>
    </w:p>
    <w:p>
      <w:pPr>
        <w:keepNext/>
        <w:spacing w:before="180" w:after="60" w:line="276" w:lineRule="auto"/>
        <w:ind w:left="0" w:right="0" w:firstLine="0"/>
        <w:jc w:val="left"/>
      </w:pPr>
      <w:r>
        <w:rPr>
          <w:rFonts w:ascii="Arial" w:hAnsi="Arial"/>
          <w:b/>
          <w:color w:val="111827"/>
          <w:sz w:val="22"/>
        </w:rPr>
        <w:t>3. Infrastructure and Scalability Planning</w:t>
      </w:r>
    </w:p>
    <w:p>
      <w:pPr>
        <w:spacing w:before="40" w:after="120" w:line="276" w:lineRule="auto"/>
        <w:ind w:left="0" w:right="0" w:firstLine="0"/>
        <w:jc w:val="left"/>
      </w:pPr>
      <w:r>
        <w:rPr>
          <w:rFonts w:ascii="Arial" w:hAnsi="Arial"/>
          <w:color w:val="1E1E1E"/>
          <w:sz w:val="21"/>
        </w:rPr>
        <w:t>Leaders must build a robust technical foundation that supports the integration of disruptive tools with existing legacy systems.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Modular Integration:</w:t>
      </w:r>
      <w:r>
        <w:rPr>
          <w:rFonts w:ascii="Arial" w:hAnsi="Arial"/>
          <w:color w:val="1E1E1E"/>
          <w:sz w:val="21"/>
        </w:rPr>
        <w:t xml:space="preserve"> Adopt a modular approach to system architecture, allowing for the gradual replacement of legacy components without disrupting core operations.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Cloud-Native Deployment:</w:t>
      </w:r>
      <w:r>
        <w:rPr>
          <w:rFonts w:ascii="Arial" w:hAnsi="Arial"/>
          <w:color w:val="1E1E1E"/>
          <w:sz w:val="21"/>
        </w:rPr>
        <w:t xml:space="preserve"> Leverage cloud environments to provide the elastic computing power necessary for large-scale AI and blockchain applications.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Security Protocols:</w:t>
      </w:r>
      <w:r>
        <w:rPr>
          <w:rFonts w:ascii="Arial" w:hAnsi="Arial"/>
          <w:color w:val="1E1E1E"/>
          <w:sz w:val="21"/>
        </w:rPr>
        <w:t xml:space="preserve"> Implement advanced cybersecurity measures, including zero-trust architectures, to protect sensitive data within decentralized or automated environments.</w:t>
      </w:r>
    </w:p>
    <w:p>
      <w:pPr>
        <w:keepNext/>
        <w:spacing w:before="180" w:after="60" w:line="276" w:lineRule="auto"/>
        <w:ind w:left="0" w:right="0" w:firstLine="0"/>
        <w:jc w:val="left"/>
      </w:pPr>
      <w:r>
        <w:rPr>
          <w:rFonts w:ascii="Arial" w:hAnsi="Arial"/>
          <w:b/>
          <w:color w:val="111827"/>
          <w:sz w:val="22"/>
        </w:rPr>
        <w:t>4. Ethical Governance and Compliance</w:t>
      </w:r>
    </w:p>
    <w:p>
      <w:pPr>
        <w:spacing w:before="40" w:after="120" w:line="276" w:lineRule="auto"/>
        <w:ind w:left="0" w:right="0" w:firstLine="0"/>
        <w:jc w:val="left"/>
      </w:pPr>
      <w:r>
        <w:rPr>
          <w:rFonts w:ascii="Arial" w:hAnsi="Arial"/>
          <w:color w:val="1E1E1E"/>
          <w:sz w:val="21"/>
        </w:rPr>
        <w:t>The deployment of disruptive technologies necessitates a rigorous framework to ensure adherence to legal standards and societal expectations.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Transparency Standards:</w:t>
      </w:r>
      <w:r>
        <w:rPr>
          <w:rFonts w:ascii="Arial" w:hAnsi="Arial"/>
          <w:color w:val="1E1E1E"/>
          <w:sz w:val="21"/>
        </w:rPr>
        <w:t xml:space="preserve"> Establish clear guidelines regarding how AI models are trained and how blockchain data is accessed by external parties.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Bias Mitigation:</w:t>
      </w:r>
      <w:r>
        <w:rPr>
          <w:rFonts w:ascii="Arial" w:hAnsi="Arial"/>
          <w:color w:val="1E1E1E"/>
          <w:sz w:val="21"/>
        </w:rPr>
        <w:t xml:space="preserve"> Conduct regular audits of AI algorithms to identify and rectify discriminatory patterns that could impact customer outcomes.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Regulatory Alignment:</w:t>
      </w:r>
      <w:r>
        <w:rPr>
          <w:rFonts w:ascii="Arial" w:hAnsi="Arial"/>
          <w:color w:val="1E1E1E"/>
          <w:sz w:val="21"/>
        </w:rPr>
        <w:t xml:space="preserve"> Maintain close coordination with legal teams to ensure that automated processes comply with international data privacy regulations.</w:t>
      </w:r>
    </w:p>
    <w:p>
      <w:pPr>
        <w:keepNext/>
        <w:spacing w:before="180" w:after="60" w:line="276" w:lineRule="auto"/>
        <w:ind w:left="0" w:right="0" w:firstLine="0"/>
        <w:jc w:val="left"/>
      </w:pPr>
      <w:r>
        <w:rPr>
          <w:rFonts w:ascii="Arial" w:hAnsi="Arial"/>
          <w:b/>
          <w:color w:val="111827"/>
          <w:sz w:val="22"/>
        </w:rPr>
        <w:t>5. Iterative Development and Feedback Loops</w:t>
      </w:r>
    </w:p>
    <w:p>
      <w:pPr>
        <w:spacing w:before="40" w:after="120" w:line="276" w:lineRule="auto"/>
        <w:ind w:left="0" w:right="0" w:firstLine="0"/>
        <w:jc w:val="left"/>
      </w:pPr>
      <w:r>
        <w:rPr>
          <w:rFonts w:ascii="Arial" w:hAnsi="Arial"/>
          <w:color w:val="1E1E1E"/>
          <w:sz w:val="21"/>
        </w:rPr>
        <w:t>Organizations should treat technological implementation as an ongoing process of refinement rather than a static project.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Pilot Programs:</w:t>
      </w:r>
      <w:r>
        <w:rPr>
          <w:rFonts w:ascii="Arial" w:hAnsi="Arial"/>
          <w:color w:val="1E1E1E"/>
          <w:sz w:val="21"/>
        </w:rPr>
        <w:t xml:space="preserve"> Initiate small-scale testing of new technologies to identify potential failures in a controlled environment before full-scale deployment.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Continuous Feedback:</w:t>
      </w:r>
      <w:r>
        <w:rPr>
          <w:rFonts w:ascii="Arial" w:hAnsi="Arial"/>
          <w:color w:val="1E1E1E"/>
          <w:sz w:val="21"/>
        </w:rPr>
        <w:t xml:space="preserve"> Establish mechanisms for employees and customers to report issues, enabling rapid iteration and improvement of the system.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Agile Methodology:</w:t>
      </w:r>
      <w:r>
        <w:rPr>
          <w:rFonts w:ascii="Arial" w:hAnsi="Arial"/>
          <w:color w:val="1E1E1E"/>
          <w:sz w:val="21"/>
        </w:rPr>
        <w:t xml:space="preserve"> Utilize short, iterative development cycles to adapt to changing technological capabilities and shifting market requirements.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integration of Artificial Intelligence and blockchain represents a fundamental shift in how modern enterprises manage information and value. By leveraging these technologies, organizations move beyond traditional limitations, achieving unprecedented levels of efficiency, security, and market responsiveness.</w:t>
      </w:r>
    </w:p>
    <w:p>
      <w:pPr>
        <w:spacing w:before="40" w:after="120" w:line="276" w:lineRule="auto"/>
        <w:ind w:left="0" w:right="0" w:firstLine="0"/>
        <w:jc w:val="left"/>
      </w:pPr>
      <w:r>
        <w:rPr>
          <w:rFonts w:ascii="Arial" w:hAnsi="Arial"/>
          <w:color w:val="1E1E1E"/>
          <w:sz w:val="21"/>
        </w:rPr>
        <w:t>Strategic success depends on the ability of leadership to balance technological ambition with rigorous governance and cultural integration. Ultimately, the firms that master these disruptive tools will define the competitive landscape of the coming decade by effectively synthesizing high-velocity data with decentralized trust.</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