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9</w:t>
      </w:r>
    </w:p>
    <w:p>
      <w:pPr>
        <w:spacing w:before="0" w:after="240" w:line="288" w:lineRule="auto"/>
        <w:ind w:left="0" w:right="0" w:firstLine="0"/>
        <w:jc w:val="left"/>
        <w:pBdr>
          <w:bottom w:val="single" w:sz="6" w:space="6" w:color="D0D5DD"/>
        </w:pBdr>
      </w:pPr>
      <w:r>
        <w:rPr>
          <w:rFonts w:ascii="Arial" w:hAnsi="Arial"/>
          <w:b/>
          <w:color w:val="111827"/>
          <w:sz w:val="23"/>
        </w:rPr>
        <w:t>Critically analyze the business case for CSR. How can CSR contribute to a company's bottom line while addressing social and environmental issues?</w:t>
      </w:r>
    </w:p>
    <w:p>
      <w:pPr>
        <w:keepNext/>
        <w:spacing w:before="220" w:after="100" w:line="276" w:lineRule="auto"/>
        <w:ind w:left="0" w:right="0" w:firstLine="0"/>
        <w:jc w:val="left"/>
      </w:pPr>
      <w:r>
        <w:rPr>
          <w:rFonts w:ascii="Arial" w:hAnsi="Arial"/>
          <w:b/>
          <w:color w:val="111827"/>
          <w:sz w:val="25"/>
        </w:rPr>
        <w:t>Introduction and Evolution of the Business Case for CSR</w:t>
      </w:r>
    </w:p>
    <w:p>
      <w:pPr>
        <w:spacing w:before="40" w:after="120" w:line="276" w:lineRule="auto"/>
        <w:ind w:left="0" w:right="0" w:firstLine="0"/>
        <w:jc w:val="left"/>
      </w:pPr>
      <w:r>
        <w:rPr>
          <w:rFonts w:ascii="Arial" w:hAnsi="Arial"/>
          <w:color w:val="1E1E1E"/>
          <w:sz w:val="21"/>
        </w:rPr>
        <w:t>Historically, corporate social responsibility (CSR) was viewed through a purely philanthropic lens—a discretionary obligation or ethical afterthought where businesses gave away a portion of their profits to charitable causes, often detached from core commercial strategy. However, modern corporate governance has evolved toward a strategic view of CSR.</w:t>
      </w:r>
    </w:p>
    <w:p>
      <w:pPr>
        <w:spacing w:before="40" w:after="120" w:line="276" w:lineRule="auto"/>
        <w:ind w:left="0" w:right="0" w:firstLine="0"/>
        <w:jc w:val="left"/>
      </w:pPr>
      <w:r>
        <w:rPr>
          <w:rFonts w:ascii="Arial" w:hAnsi="Arial"/>
          <w:color w:val="1E1E1E"/>
          <w:sz w:val="21"/>
        </w:rPr>
        <w:t xml:space="preserve">The </w:t>
      </w:r>
      <w:r>
        <w:rPr>
          <w:rFonts w:ascii="Arial" w:hAnsi="Arial"/>
          <w:b/>
          <w:color w:val="1E1E1E"/>
          <w:sz w:val="21"/>
        </w:rPr>
        <w:t>business case for CSR</w:t>
      </w:r>
      <w:r>
        <w:rPr>
          <w:rFonts w:ascii="Arial" w:hAnsi="Arial"/>
          <w:color w:val="1E1E1E"/>
          <w:sz w:val="21"/>
        </w:rPr>
        <w:t xml:space="preserve"> examines how social and environmental initiatives can be integrated into a firm's overarching strategy to generate tangible economic value, enhance operational efficiencies, and secure a sustainable competitive advantage. Rather than viewing social responsibility and profitability as mutually exclusive objectives, the contemporary business case posits that addressing environmental challenges and societal welfare can directly drive a company's financial bottom line.</w:t>
      </w:r>
    </w:p>
    <w:p>
      <w:pPr>
        <w:keepNext/>
        <w:spacing w:before="220" w:after="100" w:line="276" w:lineRule="auto"/>
        <w:ind w:left="0" w:right="0" w:firstLine="0"/>
        <w:jc w:val="left"/>
      </w:pPr>
      <w:r>
        <w:rPr>
          <w:rFonts w:ascii="Arial" w:hAnsi="Arial"/>
          <w:b/>
          <w:color w:val="111827"/>
          <w:sz w:val="25"/>
        </w:rPr>
        <w:t>Critical Analysis of the Business Case: Strategic Value Creation</w:t>
      </w:r>
    </w:p>
    <w:p>
      <w:pPr>
        <w:spacing w:before="40" w:after="120" w:line="276" w:lineRule="auto"/>
        <w:ind w:left="0" w:right="0" w:firstLine="0"/>
        <w:jc w:val="left"/>
      </w:pPr>
      <w:r>
        <w:rPr>
          <w:rFonts w:ascii="Arial" w:hAnsi="Arial"/>
          <w:color w:val="1E1E1E"/>
          <w:sz w:val="21"/>
        </w:rPr>
        <w:t>Evaluating the business case for CSR requires analyzing how strategic social investments translate into measurable corporate assets, cost savings, and risk mitigation.</w:t>
      </w:r>
    </w:p>
    <w:p>
      <w:pPr>
        <w:keepNext/>
        <w:spacing w:before="220" w:after="100" w:line="276" w:lineRule="auto"/>
        <w:ind w:left="0" w:right="0" w:firstLine="0"/>
        <w:jc w:val="left"/>
      </w:pPr>
      <w:r>
        <w:rPr>
          <w:rFonts w:ascii="Arial" w:hAnsi="Arial"/>
          <w:b/>
          <w:color w:val="111827"/>
          <w:sz w:val="25"/>
        </w:rPr>
        <w:t>1. Cost Savings and Operational Efficiencies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Resource Optimization:</w:t>
      </w:r>
      <w:r>
        <w:rPr>
          <w:rFonts w:ascii="Arial" w:hAnsi="Arial"/>
          <w:color w:val="1E1E1E"/>
          <w:sz w:val="21"/>
        </w:rPr>
        <w:t xml:space="preserve"> Integrating environmental sustainability into operations frequently leads to direct cost reductions. Initiatives focused on energy conservation, waste reduction, recycling, and sustainable supply chain logistics decrease utility bills, raw material consumption, and disposal expenses.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Lean Manufacturing:</w:t>
      </w:r>
      <w:r>
        <w:rPr>
          <w:rFonts w:ascii="Arial" w:hAnsi="Arial"/>
          <w:color w:val="1E1E1E"/>
          <w:sz w:val="21"/>
        </w:rPr>
        <w:t xml:space="preserve"> Adopting eco-friendly production methods often streamlines operational workflows, proving that environmental stewardship and economic efficiency can go hand in hand.</w:t>
      </w:r>
    </w:p>
    <w:p>
      <w:pPr>
        <w:keepNext/>
        <w:spacing w:before="220" w:after="100" w:line="276" w:lineRule="auto"/>
        <w:ind w:left="0" w:right="0" w:firstLine="0"/>
        <w:jc w:val="left"/>
      </w:pPr>
      <w:r>
        <w:rPr>
          <w:rFonts w:ascii="Arial" w:hAnsi="Arial"/>
          <w:b/>
          <w:color w:val="111827"/>
          <w:sz w:val="25"/>
        </w:rPr>
        <w:t>2. Risk Management and Regulatory Resilience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Mitigating Environmental and Social Risks:</w:t>
      </w:r>
      <w:r>
        <w:rPr>
          <w:rFonts w:ascii="Arial" w:hAnsi="Arial"/>
          <w:color w:val="1E1E1E"/>
          <w:sz w:val="21"/>
        </w:rPr>
        <w:t xml:space="preserve"> Operating without regard for environmental impact or community welfare exposes firms to severe legal liabilities, supply chain disruptions, and activist boycotts. Proactive CSR allows companies to identify and mitigate these vulnerabilities before they escalate into crises.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Anticipating Regulation:</w:t>
      </w:r>
      <w:r>
        <w:rPr>
          <w:rFonts w:ascii="Arial" w:hAnsi="Arial"/>
          <w:color w:val="1E1E1E"/>
          <w:sz w:val="21"/>
        </w:rPr>
        <w:t xml:space="preserve"> As governments worldwide tighten environmental regulations and labor standards, companies with mature CSR frameworks are better positioned to comply smoothly, avoiding costly penalties, retrofitting expenses, or forced operational shutdowns.</w:t>
      </w:r>
    </w:p>
    <w:p>
      <w:pPr>
        <w:keepNext/>
        <w:spacing w:before="220" w:after="100" w:line="276" w:lineRule="auto"/>
        <w:ind w:left="0" w:right="0" w:firstLine="0"/>
        <w:jc w:val="left"/>
      </w:pPr>
      <w:r>
        <w:rPr>
          <w:rFonts w:ascii="Arial" w:hAnsi="Arial"/>
          <w:b/>
          <w:color w:val="111827"/>
          <w:sz w:val="25"/>
        </w:rPr>
        <w:t>3. Human Capital: Talent Attraction and Retention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The Modern Workforce:</w:t>
      </w:r>
      <w:r>
        <w:rPr>
          <w:rFonts w:ascii="Arial" w:hAnsi="Arial"/>
          <w:color w:val="1E1E1E"/>
          <w:sz w:val="21"/>
        </w:rPr>
        <w:t xml:space="preserve"> Today's workforce—particularly millennials and Generation Z—increasingly seeks employment with organizations whose core values align with their own.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Productivity and Turnover:</w:t>
      </w:r>
      <w:r>
        <w:rPr>
          <w:rFonts w:ascii="Arial" w:hAnsi="Arial"/>
          <w:color w:val="1E1E1E"/>
          <w:sz w:val="21"/>
        </w:rPr>
        <w:t xml:space="preserve"> Companies with strong CSR reputations find it easier to attract top-tier talent, experience lower employee turnover rates, and report higher levels of workplace engagement and morale, which directly reduces recruitment and training costs.</w:t>
      </w:r>
    </w:p>
    <w:p>
      <w:pPr>
        <w:keepNext/>
        <w:spacing w:before="220" w:after="100" w:line="276" w:lineRule="auto"/>
        <w:ind w:left="0" w:right="0" w:firstLine="0"/>
        <w:jc w:val="left"/>
      </w:pPr>
      <w:r>
        <w:rPr>
          <w:rFonts w:ascii="Arial" w:hAnsi="Arial"/>
          <w:b/>
          <w:color w:val="111827"/>
          <w:sz w:val="25"/>
        </w:rPr>
        <w:t>4. Brand Equity and Market Differentiation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Consumer Preferences:</w:t>
      </w:r>
      <w:r>
        <w:rPr>
          <w:rFonts w:ascii="Arial" w:hAnsi="Arial"/>
          <w:color w:val="1E1E1E"/>
          <w:sz w:val="21"/>
        </w:rPr>
        <w:t xml:space="preserve"> Modern consumers gravitate toward brands that demonstrate genuine social and environmental responsibility. Authentic CSR builds deep-seated brand equity and consumer trust, enabling companies to command premium pricing or secure market share in crowded industries.</w:t>
      </w:r>
    </w:p>
    <w:p>
      <w:pPr>
        <w:keepNext/>
        <w:spacing w:before="220" w:after="100" w:line="276" w:lineRule="auto"/>
        <w:ind w:left="0" w:right="0" w:firstLine="0"/>
        <w:jc w:val="left"/>
      </w:pPr>
      <w:r>
        <w:rPr>
          <w:rFonts w:ascii="Arial" w:hAnsi="Arial"/>
          <w:b/>
          <w:color w:val="111827"/>
          <w:sz w:val="25"/>
        </w:rPr>
        <w:t>Balancing Profitability with Social and Environmental Impact</w:t>
      </w:r>
    </w:p>
    <w:p>
      <w:pPr>
        <w:spacing w:before="40" w:after="120" w:line="276" w:lineRule="auto"/>
        <w:ind w:left="0" w:right="0" w:firstLine="0"/>
        <w:jc w:val="left"/>
      </w:pPr>
      <w:r>
        <w:rPr>
          <w:rFonts w:ascii="Arial" w:hAnsi="Arial"/>
          <w:color w:val="1E1E1E"/>
          <w:sz w:val="21"/>
        </w:rPr>
        <w:t>To successfully contribute to the bottom line while solving societal and environmental issues, corporations must move away from superficial "greenwashing" and adopt integrated strategic frameworks.</w:t>
      </w:r>
    </w:p>
    <w:p>
      <w:pPr>
        <w:keepNext/>
        <w:spacing w:before="220" w:after="100" w:line="276" w:lineRule="auto"/>
        <w:ind w:left="0" w:right="0" w:firstLine="0"/>
        <w:jc w:val="left"/>
      </w:pPr>
      <w:r>
        <w:rPr>
          <w:rFonts w:ascii="Arial" w:hAnsi="Arial"/>
          <w:b/>
          <w:color w:val="111827"/>
          <w:sz w:val="25"/>
        </w:rPr>
        <w:t>1. Creating Shared Value (CSV)</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Pioneered by strategic management theorists, the concept of </w:t>
      </w:r>
      <w:r>
        <w:rPr>
          <w:rFonts w:ascii="Arial" w:hAnsi="Arial"/>
          <w:b/>
          <w:color w:val="1E1E1E"/>
          <w:sz w:val="21"/>
        </w:rPr>
        <w:t>Creating Shared Value (CSV)</w:t>
      </w:r>
      <w:r>
        <w:rPr>
          <w:rFonts w:ascii="Arial" w:hAnsi="Arial"/>
          <w:color w:val="1E1E1E"/>
          <w:sz w:val="21"/>
        </w:rPr>
        <w:t xml:space="preserve"> emphasizes generating economic value in a way that also produces value for society by addressing its challenges and needs.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Unlike traditional philanthropy, CSV is integral to a company's profit maximization strategy. For example, a food corporation investing in agricultural training programs for local farmers simultaneously secures a reliable, high-quality raw material supply chain while lifting rural communities out of poverty.</w:t>
      </w:r>
    </w:p>
    <w:p>
      <w:pPr>
        <w:keepNext/>
        <w:spacing w:before="220" w:after="100" w:line="276" w:lineRule="auto"/>
        <w:ind w:left="0" w:right="0" w:firstLine="0"/>
        <w:jc w:val="left"/>
      </w:pPr>
      <w:r>
        <w:rPr>
          <w:rFonts w:ascii="Arial" w:hAnsi="Arial"/>
          <w:b/>
          <w:color w:val="111827"/>
          <w:sz w:val="25"/>
        </w:rPr>
        <w:t>2. Triple Bottom Line Accounting</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The modern business case relies on the </w:t>
      </w:r>
      <w:r>
        <w:rPr>
          <w:rFonts w:ascii="Arial" w:hAnsi="Arial"/>
          <w:b/>
          <w:color w:val="1E1E1E"/>
          <w:sz w:val="21"/>
        </w:rPr>
        <w:t>Triple Bottom Line (TBL)</w:t>
      </w:r>
      <w:r>
        <w:rPr>
          <w:rFonts w:ascii="Arial" w:hAnsi="Arial"/>
          <w:color w:val="1E1E1E"/>
          <w:sz w:val="21"/>
        </w:rPr>
        <w:t xml:space="preserve"> framework—evaluating corporate performance across three dimensions: </w:t>
      </w:r>
      <w:r>
        <w:rPr>
          <w:rFonts w:ascii="Arial" w:hAnsi="Arial"/>
          <w:b/>
          <w:color w:val="1E1E1E"/>
          <w:sz w:val="21"/>
        </w:rPr>
        <w:t>Profit, People, and Planet</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By holding financial metrics accountable alongside social impact and ecological footprint indicators, companies ensure that commercial profitability does not come at the expense of externalized environmental degradation or social exploitation.</w:t>
      </w:r>
    </w:p>
    <w:p>
      <w:pPr>
        <w:keepNext/>
        <w:spacing w:before="220" w:after="100" w:line="276" w:lineRule="auto"/>
        <w:ind w:left="0" w:right="0" w:firstLine="0"/>
        <w:jc w:val="left"/>
      </w:pPr>
      <w:r>
        <w:rPr>
          <w:rFonts w:ascii="Arial" w:hAnsi="Arial"/>
          <w:b/>
          <w:color w:val="111827"/>
          <w:sz w:val="25"/>
        </w:rPr>
        <w:t>Critical Counter-Perspectives and Limitations</w:t>
      </w:r>
    </w:p>
    <w:p>
      <w:pPr>
        <w:spacing w:before="40" w:after="120" w:line="276" w:lineRule="auto"/>
        <w:ind w:left="0" w:right="0" w:firstLine="0"/>
        <w:jc w:val="left"/>
      </w:pPr>
      <w:r>
        <w:rPr>
          <w:rFonts w:ascii="Arial" w:hAnsi="Arial"/>
          <w:color w:val="1E1E1E"/>
          <w:sz w:val="21"/>
        </w:rPr>
        <w:t>While the business case for CSR is compelling, a critical analysis must also acknowledge its inherent limitations and risks: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The Shareholder Primacy Debate:</w:t>
      </w:r>
      <w:r>
        <w:rPr>
          <w:rFonts w:ascii="Arial" w:hAnsi="Arial"/>
          <w:color w:val="1E1E1E"/>
          <w:sz w:val="21"/>
        </w:rPr>
        <w:t xml:space="preserve"> Critics argue that corporate managers have a primary fiduciary duty to maximize financial returns for shareholders. Diverting corporate funds toward broad social objectives can sometimes be construed as an unauthorized tax on shareholders if it does not yield clear commercial returns.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The Risk of Greenwashing:</w:t>
      </w:r>
      <w:r>
        <w:rPr>
          <w:rFonts w:ascii="Arial" w:hAnsi="Arial"/>
          <w:color w:val="1E1E1E"/>
          <w:sz w:val="21"/>
        </w:rPr>
        <w:t xml:space="preserve"> When CSR is treated merely as a marketing exercise rather than an operational commitment, it breeds consumer skepticism. Superficial environmental claims can backfire, resulting in severe reputational damage, consumer boycotts, and legal scrutiny.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Measuring Intangible Returns:</w:t>
      </w:r>
      <w:r>
        <w:rPr>
          <w:rFonts w:ascii="Arial" w:hAnsi="Arial"/>
          <w:color w:val="1E1E1E"/>
          <w:sz w:val="21"/>
        </w:rPr>
        <w:t xml:space="preserve"> Quantifying the exact financial ROI of social investments remains complex, making it difficult for corporate boards to justify large-scale CSR expenditures during economic downturns.</w:t>
      </w: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 xml:space="preserve">The business case for CSR bridges the gap between corporate profitability and societal welfare. By strategically shifting from reactive philanthropy to integrated </w:t>
      </w:r>
      <w:r>
        <w:rPr>
          <w:rFonts w:ascii="Arial" w:hAnsi="Arial"/>
          <w:b/>
          <w:color w:val="1E1E1E"/>
          <w:sz w:val="21"/>
        </w:rPr>
        <w:t>Creating Shared Value</w:t>
      </w:r>
      <w:r>
        <w:rPr>
          <w:rFonts w:ascii="Arial" w:hAnsi="Arial"/>
          <w:color w:val="1E1E1E"/>
          <w:sz w:val="21"/>
        </w:rPr>
        <w:t>, companies can effectively address pressing social and environmental issues while bolstering their bottom line. Through reduced operational costs, enhanced risk management, empowered workforces, and strengthened brand equity, responsible corporate citizenship proves that long-term commercial success and societal well-being are deeply and mutually interdependent.</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