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before="100" w:beforeAutospacing="true" w:after="100" w:afterAutospacing="true" w:line="240" w:lineRule="auto"/>
        <w:jc w:val="center"/>
        <w:rPr>
          <w:rFonts w:eastAsia="Times New Roman" w:cstheme="minorHAnsi"/>
          <w:b/>
          <w:bCs/>
          <w:sz w:val="36"/>
          <w:szCs w:val="36"/>
        </w:rPr>
      </w:pPr>
      <w:r>
        <w:rPr>
          <w:rFonts w:eastAsia="Times New Roman" w:cstheme="minorHAnsi"/>
          <w:b/>
          <w:bCs/>
          <w:sz w:val="36"/>
          <w:szCs w:val="36"/>
        </w:rPr>
        <w:t xml:space="preserve">RESUME</w:t>
      </w:r>
    </w:p>
    <w:p>
      <w:pPr>
        <w:pStyle w:val="Normal"/>
        <w:spacing w:before="100" w:beforeAutospacing="true" w:after="100" w:afterAutospacing="true" w:line="240" w:lineRule="auto"/>
        <w:rPr>
          <w:rFonts w:eastAsia="Times New Roman" w:cstheme="minorHAnsi"/>
          <w:b/>
          <w:bCs/>
          <w:sz w:val="24"/>
          <w:szCs w:val="24"/>
        </w:rPr>
      </w:pPr>
    </w:p>
    <w:p>
      <w:pPr>
        <w:pStyle w:val="Normal"/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Name:</w:t>
      </w:r>
      <w:r>
        <w:rPr>
          <w:rFonts w:eastAsia="Times New Roman" w:cstheme="minorHAnsi"/>
          <w:sz w:val="28"/>
          <w:szCs w:val="28"/>
        </w:rPr>
        <w:t xml:space="preserve"> Naresh K </w:t>
      </w:r>
    </w:p>
    <w:p>
      <w:pPr>
        <w:pStyle w:val="Normal"/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Title:</w:t>
      </w:r>
      <w:r>
        <w:rPr>
          <w:rFonts w:eastAsia="Times New Roman" w:cstheme="minorHAnsi"/>
          <w:sz w:val="28"/>
          <w:szCs w:val="28"/>
        </w:rPr>
        <w:t xml:space="preserve"> Electrical Officer </w:t>
      </w:r>
    </w:p>
    <w:p>
      <w:pPr>
        <w:pStyle w:val="Normal"/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Phone:</w:t>
      </w:r>
      <w:r>
        <w:rPr>
          <w:rFonts w:eastAsia="Times New Roman" w:cstheme="minorHAnsi"/>
          <w:sz w:val="28"/>
          <w:szCs w:val="28"/>
        </w:rPr>
        <w:t xml:space="preserve"> +91 9597786430 </w:t>
      </w:r>
    </w:p>
    <w:p>
      <w:pPr>
        <w:pStyle w:val="Normal"/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Email:</w:t>
      </w:r>
      <w:r>
        <w:rPr>
          <w:rFonts w:eastAsia="Times New Roman" w:cstheme="minorHAnsi"/>
          <w:sz w:val="28"/>
          <w:szCs w:val="28"/>
        </w:rPr>
        <w:t xml:space="preserve"> </w:t>
      </w:r>
      <w:r>
        <w:fldChar w:fldCharType="begin"/>
      </w:r>
      <w:r>
        <w:instrText xml:space="preserve">HYPERLINK "mailto:nabukannan@gmail.com" </w:instrText>
      </w:r>
      <w:r>
        <w:fldChar w:fldCharType="separate"/>
      </w:r>
      <w:r>
        <w:rPr>
          <w:rStyle w:val="Hyperlink"/>
          <w:rFonts w:eastAsia="Times New Roman" w:cstheme="minorHAnsi"/>
          <w:sz w:val="28"/>
          <w:szCs w:val="28"/>
        </w:rPr>
        <w:t xml:space="preserve">nabukannan@gmail.com</w:t>
      </w:r>
      <w:r>
        <w:fldChar w:fldCharType="end"/>
      </w:r>
      <w:r>
        <w:rPr>
          <w:rFonts w:eastAsia="Times New Roman" w:cstheme="minorHAnsi"/>
          <w:sz w:val="28"/>
          <w:szCs w:val="28"/>
        </w:rPr>
        <w:instrText xml:space="preserve"> </w:instrText>
      </w:r>
    </w:p>
    <w:p>
      <w:pPr>
        <w:pStyle w:val="Normal"/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Location:</w:t>
      </w:r>
      <w:r>
        <w:rPr>
          <w:rFonts w:eastAsia="Times New Roman" w:cstheme="minorHAnsi"/>
          <w:sz w:val="28"/>
          <w:szCs w:val="28"/>
        </w:rPr>
        <w:t xml:space="preserve"> Kangeyam, India </w:t>
      </w:r>
    </w:p>
    <w:p>
      <w:pPr>
        <w:pStyle w:val="Normal"/>
        <w:spacing w:after="0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 xml:space="preserve">Experience:</w:t>
      </w:r>
      <w:r>
        <w:rPr>
          <w:rFonts w:eastAsia="Times New Roman" w:cstheme="minorHAnsi"/>
          <w:sz w:val="28"/>
          <w:szCs w:val="28"/>
        </w:rPr>
        <w:t xml:space="preserve"> 10 Years                                               C -</w:t>
      </w:r>
      <w:r>
        <w:rPr>
          <w:rFonts w:eastAsia="Times New Roman" w:cstheme="minorHAnsi"/>
          <w:sz w:val="28"/>
          <w:szCs w:val="28"/>
        </w:rPr>
        <w:t xml:space="preserve"> LICENSE HOLDER</w:t>
      </w:r>
    </w:p>
    <w:p>
      <w:pPr>
        <w:pStyle w:val="Normal"/>
        <w:spacing w:after="0" w:line="240" w:lineRule="auto"/>
        <w:ind w:right="-540"/>
        <w:rPr>
          <w:rFonts w:eastAsia="Times New Roman" w:cstheme="minorHAnsi"/>
          <w:sz w:val="24"/>
          <w:szCs w:val="24"/>
        </w:rPr>
      </w:pPr>
    </w:p>
    <w:p>
      <w:pPr>
        <w:pStyle w:val="Normal"/>
        <w:outlineLvl w:val="1"/>
        <w:spacing w:before="100" w:beforeAutospacing="true" w:after="100" w:afterAutospacing="true" w:line="240" w:lineRule="auto"/>
        <w:rPr>
          <w:rFonts w:eastAsia="Times New Roman" w:cstheme="minorHAnsi"/>
          <w:b/>
          <w:bCs/>
          <w:sz w:val="36"/>
          <w:szCs w:val="36"/>
          <w:u w:val="single"/>
        </w:rPr>
      </w:pPr>
      <w:r>
        <w:rPr>
          <w:rFonts w:eastAsia="Times New Roman" w:cstheme="minorHAnsi"/>
          <w:b/>
          <w:bCs/>
          <w:sz w:val="36"/>
          <w:szCs w:val="36"/>
          <w:u w:val="single"/>
        </w:rPr>
        <w:t xml:space="preserve">Professional Summary</w:t>
      </w:r>
    </w:p>
    <w:p>
      <w:pPr>
        <w:pStyle w:val="Normal"/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Dedicated </w:t>
      </w:r>
      <w:r>
        <w:rPr>
          <w:rFonts w:eastAsia="Times New Roman" w:cstheme="minorHAnsi"/>
          <w:b/>
          <w:bCs/>
          <w:sz w:val="24"/>
          <w:szCs w:val="24"/>
        </w:rPr>
        <w:t xml:space="preserve">Electrical Officer</w:t>
      </w:r>
      <w:r>
        <w:rPr>
          <w:rFonts w:eastAsia="Times New Roman" w:cstheme="minorHAnsi"/>
          <w:sz w:val="24"/>
          <w:szCs w:val="24"/>
        </w:rPr>
        <w:t xml:space="preserve"> with 10 years of experience in </w:t>
      </w:r>
      <w:r>
        <w:rPr>
          <w:rFonts w:eastAsia="Times New Roman" w:cstheme="minorHAnsi"/>
          <w:b/>
          <w:bCs/>
          <w:sz w:val="24"/>
          <w:szCs w:val="24"/>
        </w:rPr>
        <w:t xml:space="preserve">power systems, industrial automation, preventive maintenance, and utility equipment management</w:t>
      </w:r>
      <w:r>
        <w:rPr>
          <w:rFonts w:eastAsia="Times New Roman" w:cstheme="minorHAnsi"/>
          <w:sz w:val="24"/>
          <w:szCs w:val="24"/>
        </w:rPr>
        <w:t xml:space="preserve">. Skilled in diagnosing and troubleshooting electrical systems, supervising teams, and implementing automation projects. Proficient in HT/LT panels, transformers, generators, compressors, VFDs, PLCs, and SAP PM workflows. Recognized for ensuring operational reliability, energy efficiency, and compliance with safety standards while driving KPI improvements.</w:t>
      </w:r>
    </w:p>
    <w:p>
      <w:pPr>
        <w:pStyle w:val="Normal"/>
        <w:outlineLvl w:val="1"/>
        <w:spacing w:before="100" w:beforeAutospacing="true" w:after="100" w:afterAutospacing="true" w:line="240" w:lineRule="auto"/>
        <w:rPr>
          <w:rFonts w:eastAsia="Times New Roman" w:cstheme="minorHAnsi"/>
          <w:b/>
          <w:bCs/>
          <w:sz w:val="36"/>
          <w:szCs w:val="36"/>
          <w:u w:val="single"/>
        </w:rPr>
      </w:pPr>
      <w:r>
        <w:rPr>
          <w:rFonts w:eastAsia="Times New Roman" w:cstheme="minorHAnsi"/>
          <w:b/>
          <w:bCs/>
          <w:sz w:val="36"/>
          <w:szCs w:val="36"/>
          <w:u w:val="single"/>
        </w:rPr>
        <w:t xml:space="preserve">Skills Matrix -</w:t>
      </w:r>
      <w:r>
        <w:rPr>
          <w:rFonts w:eastAsia="Times New Roman" w:cstheme="minorHAnsi"/>
          <w:b/>
          <w:bCs/>
          <w:sz w:val="36"/>
          <w:szCs w:val="36"/>
          <w:u w:val="single"/>
        </w:rPr>
        <w:t xml:space="preserve"> C license </w:t>
      </w:r>
    </w:p>
    <w:tbl>
      <w:tblPr>
        <w:tblW w:w="0" w:type="auto"/>
        <w:jc w:val="left"/>
        <w:tblCellSpacing w:w="15" w:type="dxa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</w:tblPr>
      <w:tblGrid>
        <w:gridCol w:w="1969"/>
        <w:gridCol w:w="742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Category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Key Skills &amp; Tools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Power Systems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11KV HT yard operations, Siemens Atprus transformers (2000 KVA &amp; 1000 KVA), OTI/WTI monitoring, tapping, oil leakage checks, annual oil filtration, earth resistance testing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Panels &amp; Switchgear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HT &amp; LT panels, MCC &amp; CP panels commissioning, MV single-tier panels, ACB LSIG settings (Schneider MDO type), VCB operation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Generators &amp; Compressors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Powerica generators with synchronizing relays, load sharing analysis, 400–500 KVA gensets, screw compressors (40 HP &amp; 60 HP), cooling-type driers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Industrial Equipment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Autoclaves, heaters, blowers, RO systems, UPS, packing machines (Atomic, Nichrome, PGP), blenders, hammer machines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Automation &amp; Controls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Control circuits (star-delta, DOL, forward/reverse, interlocking), PLC (DIDO &amp; AIAO, 24V DC), sensors, transmitters, relays, contactors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Drives &amp; Programming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VFD drives up to 75 HP, Yaskawa, Delta, AB, Danfoss programming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Monitoring &amp; Reporting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TNE8 billing units, solar unit closure, daily/weekly/monthly/yearly reports, diesel consumption tracking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SAP &amp; </w:t>
            </w: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Maintenance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SAP PM (reservation, purchase requests, code creation, PM scheduling), 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preventive &amp; breakdown maintenance, troubleshooting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Leadership &amp; KPI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Work scheduling &amp; assignments, team supervision, KPI activities, vendor coordination</w:t>
            </w:r>
          </w:p>
        </w:tc>
      </w:tr>
    </w:tbl>
    <w:p>
      <w:pPr>
        <w:pStyle w:val="Normal"/>
        <w:outlineLvl w:val="1"/>
        <w:spacing w:before="100" w:beforeAutospacing="true" w:after="100" w:afterAutospacing="true" w:line="240" w:lineRule="auto"/>
        <w:rPr>
          <w:rFonts w:eastAsia="Times New Roman" w:cstheme="minorHAnsi"/>
          <w:b/>
          <w:bCs/>
          <w:sz w:val="36"/>
          <w:szCs w:val="36"/>
          <w:u w:val="single"/>
        </w:rPr>
      </w:pPr>
      <w:r>
        <w:rPr>
          <w:rFonts w:eastAsia="Times New Roman" w:cstheme="minorHAnsi"/>
          <w:b/>
          <w:bCs/>
          <w:sz w:val="36"/>
          <w:szCs w:val="36"/>
          <w:u w:val="single"/>
        </w:rPr>
        <w:t xml:space="preserve">Experience</w:t>
      </w:r>
    </w:p>
    <w:p>
      <w:pPr>
        <w:pStyle w:val="Normal"/>
        <w:outlineLvl w:val="2"/>
        <w:spacing w:before="100" w:beforeAutospacing="true" w:after="100" w:afterAutospacing="true" w:line="240" w:lineRule="auto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Electrical Officer — Hatsun Agro Product</w:t>
      </w:r>
    </w:p>
    <w:p>
      <w:pPr>
        <w:pStyle w:val="Normal"/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Jun 2025 – Present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Managed </w:t>
      </w:r>
      <w:r>
        <w:rPr>
          <w:rFonts w:eastAsia="Times New Roman" w:cstheme="minorHAnsi"/>
          <w:b/>
          <w:bCs/>
          <w:sz w:val="24"/>
          <w:szCs w:val="24"/>
        </w:rPr>
        <w:t xml:space="preserve">11KV HT yard</w:t>
      </w:r>
      <w:r>
        <w:rPr>
          <w:rFonts w:eastAsia="Times New Roman" w:cstheme="minorHAnsi"/>
          <w:sz w:val="24"/>
          <w:szCs w:val="24"/>
        </w:rPr>
        <w:t xml:space="preserve">, VCB, and amp settings for Siemens Atprus transformers (2000 KVA &amp; 1000 KVA).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Oversaw </w:t>
      </w:r>
      <w:r>
        <w:rPr>
          <w:rFonts w:eastAsia="Times New Roman" w:cstheme="minorHAnsi"/>
          <w:b/>
          <w:bCs/>
          <w:sz w:val="24"/>
          <w:szCs w:val="24"/>
        </w:rPr>
        <w:t xml:space="preserve">transformer maintenance</w:t>
      </w:r>
      <w:r>
        <w:rPr>
          <w:rFonts w:eastAsia="Times New Roman" w:cstheme="minorHAnsi"/>
          <w:sz w:val="24"/>
          <w:szCs w:val="24"/>
        </w:rPr>
        <w:t xml:space="preserve"> including OTI/WTI monitoring, tapping, oil leakage checks, annual oil filtration, and earth resistance testing.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Maintained MV single-tier panels and configured </w:t>
      </w:r>
      <w:r>
        <w:rPr>
          <w:rFonts w:eastAsia="Times New Roman" w:cstheme="minorHAnsi"/>
          <w:b/>
          <w:bCs/>
          <w:sz w:val="24"/>
          <w:szCs w:val="24"/>
        </w:rPr>
        <w:t xml:space="preserve">ACB LSIG settings</w:t>
      </w:r>
      <w:r>
        <w:rPr>
          <w:rFonts w:eastAsia="Times New Roman" w:cstheme="minorHAnsi"/>
          <w:sz w:val="24"/>
          <w:szCs w:val="24"/>
        </w:rPr>
        <w:t xml:space="preserve">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Operated 4 </w:t>
      </w:r>
      <w:r>
        <w:rPr>
          <w:rFonts w:eastAsia="Times New Roman" w:cstheme="minorHAnsi"/>
          <w:b/>
          <w:bCs/>
          <w:sz w:val="24"/>
          <w:szCs w:val="24"/>
        </w:rPr>
        <w:t xml:space="preserve">Powerica generators</w:t>
      </w:r>
      <w:r>
        <w:rPr>
          <w:rFonts w:eastAsia="Times New Roman" w:cstheme="minorHAnsi"/>
          <w:sz w:val="24"/>
          <w:szCs w:val="24"/>
        </w:rPr>
        <w:t xml:space="preserve"> with synchronizing relays; performed load sharing analysis.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Maintained compressors (2 × 40 HP, 1 × 60 HP screw type) with cooling-type driers.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Handled control circuits (star-delta, DOL, forward/reverse, interlocking).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Configured </w:t>
      </w:r>
      <w:r>
        <w:rPr>
          <w:rFonts w:eastAsia="Times New Roman" w:cstheme="minorHAnsi"/>
          <w:b/>
          <w:bCs/>
          <w:sz w:val="24"/>
          <w:szCs w:val="24"/>
        </w:rPr>
        <w:t xml:space="preserve">VFDs</w:t>
      </w:r>
      <w:r>
        <w:rPr>
          <w:rFonts w:eastAsia="Times New Roman" w:cstheme="minorHAnsi"/>
          <w:sz w:val="24"/>
          <w:szCs w:val="24"/>
        </w:rPr>
        <w:t xml:space="preserve"> (Yaskawa, Delta, AB, Danfoss).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Worked with </w:t>
      </w:r>
      <w:r>
        <w:rPr>
          <w:rFonts w:eastAsia="Times New Roman" w:cstheme="minorHAnsi"/>
          <w:b/>
          <w:bCs/>
          <w:sz w:val="24"/>
          <w:szCs w:val="24"/>
        </w:rPr>
        <w:t xml:space="preserve">PLC systems</w:t>
      </w:r>
      <w:r>
        <w:rPr>
          <w:rFonts w:eastAsia="Times New Roman" w:cstheme="minorHAnsi"/>
          <w:sz w:val="24"/>
          <w:szCs w:val="24"/>
        </w:rPr>
        <w:t xml:space="preserve"> on 24V DC including sensors, transmitters, controllers, relays, and contactors.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Tracked </w:t>
      </w:r>
      <w:r>
        <w:rPr>
          <w:rFonts w:eastAsia="Times New Roman" w:cstheme="minorHAnsi"/>
          <w:b/>
          <w:bCs/>
          <w:sz w:val="24"/>
          <w:szCs w:val="24"/>
        </w:rPr>
        <w:t xml:space="preserve">energy monitoring</w:t>
      </w:r>
      <w:r>
        <w:rPr>
          <w:rFonts w:eastAsia="Times New Roman" w:cstheme="minorHAnsi"/>
          <w:sz w:val="24"/>
          <w:szCs w:val="24"/>
        </w:rPr>
        <w:t xml:space="preserve"> via TNE8 billing units and solar closures.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Managed </w:t>
      </w:r>
      <w:r>
        <w:rPr>
          <w:rFonts w:eastAsia="Times New Roman" w:cstheme="minorHAnsi"/>
          <w:b/>
          <w:bCs/>
          <w:sz w:val="24"/>
          <w:szCs w:val="24"/>
        </w:rPr>
        <w:t xml:space="preserve">SAP PM</w:t>
      </w:r>
      <w:r>
        <w:rPr>
          <w:rFonts w:eastAsia="Times New Roman" w:cstheme="minorHAnsi"/>
          <w:sz w:val="24"/>
          <w:szCs w:val="24"/>
        </w:rPr>
        <w:t xml:space="preserve"> workflows, preventive schedules, and breakdown troubleshooting.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Implemented automation projects and coordinated vendors.</w:t>
      </w:r>
    </w:p>
    <w:p>
      <w:pPr>
        <w:pStyle w:val="Normal"/>
        <w:numPr>
          <w:ilvl w:val="0"/>
          <w:numId w:val="2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Involved in KPI activities and packing machine maintenance (Atomic, Nichrome, PGP).</w:t>
      </w:r>
    </w:p>
    <w:p>
      <w:pPr>
        <w:pStyle w:val="Normal"/>
        <w:outlineLvl w:val="2"/>
        <w:spacing w:before="100" w:beforeAutospacing="true" w:after="100" w:afterAutospacing="true" w:line="240" w:lineRule="auto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Electrical Supervisor — RASI Nutri Foods</w:t>
      </w:r>
    </w:p>
    <w:p>
      <w:pPr>
        <w:pStyle w:val="Normal"/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July 2023 – May 2025</w:t>
      </w:r>
    </w:p>
    <w:p>
      <w:pPr>
        <w:pStyle w:val="Normal"/>
        <w:numPr>
          <w:ilvl w:val="0"/>
          <w:numId w:val="3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Diagnosed malfunctioning systems using test equipment; corrected breakdowns.</w:t>
      </w:r>
    </w:p>
    <w:p>
      <w:pPr>
        <w:pStyle w:val="Normal"/>
        <w:numPr>
          <w:ilvl w:val="0"/>
          <w:numId w:val="3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Tested electrical systems and continuity with ohmmeters and voltmeters.</w:t>
      </w:r>
    </w:p>
    <w:p>
      <w:pPr>
        <w:pStyle w:val="Normal"/>
        <w:numPr>
          <w:ilvl w:val="0"/>
          <w:numId w:val="3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Documented all repairs, modifications, and system changes.</w:t>
      </w:r>
    </w:p>
    <w:p>
      <w:pPr>
        <w:pStyle w:val="Normal"/>
        <w:numPr>
          <w:ilvl w:val="0"/>
          <w:numId w:val="3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Connected wires to circuit breakers, transformers, and other components.</w:t>
      </w:r>
    </w:p>
    <w:p>
      <w:pPr>
        <w:pStyle w:val="Normal"/>
        <w:numPr>
          <w:ilvl w:val="0"/>
          <w:numId w:val="3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Scheduled and assigned work activities based on equipment priority and personnel skill.</w:t>
      </w:r>
    </w:p>
    <w:p>
      <w:pPr>
        <w:pStyle w:val="Normal"/>
        <w:outlineLvl w:val="2"/>
        <w:spacing w:before="100" w:beforeAutospacing="true" w:after="100" w:afterAutospacing="true" w:line="240" w:lineRule="auto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 xml:space="preserve">Technician cum Electrical Engineer — Christy Friedgram Industry</w:t>
      </w:r>
    </w:p>
    <w:p>
      <w:pPr>
        <w:pStyle w:val="Normal"/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Jul 2016 – Jun 2023</w:t>
      </w:r>
    </w:p>
    <w:p>
      <w:pPr>
        <w:pStyle w:val="Normal"/>
        <w:numPr>
          <w:ilvl w:val="0"/>
          <w:numId w:val="4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Monitored HT yard and transformer performance.</w:t>
      </w:r>
    </w:p>
    <w:p>
      <w:pPr>
        <w:pStyle w:val="Normal"/>
        <w:numPr>
          <w:ilvl w:val="0"/>
          <w:numId w:val="4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Maintained HT &amp; LT panels; commissioned MCC and CP panels.</w:t>
      </w:r>
    </w:p>
    <w:p>
      <w:pPr>
        <w:pStyle w:val="Normal"/>
        <w:numPr>
          <w:ilvl w:val="0"/>
          <w:numId w:val="4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Performed electrical maintenance on autoclaves, heaters, compressors, blowers, RO, UPS, and packing machines.</w:t>
      </w:r>
    </w:p>
    <w:p>
      <w:pPr>
        <w:pStyle w:val="Normal"/>
        <w:numPr>
          <w:ilvl w:val="0"/>
          <w:numId w:val="4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Programmed Yaskawa and Delta drives; handled VFD drives up to 75 HP.</w:t>
      </w:r>
    </w:p>
    <w:p>
      <w:pPr>
        <w:pStyle w:val="Normal"/>
        <w:numPr>
          <w:ilvl w:val="0"/>
          <w:numId w:val="4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Maintained blowers, blenders, packing machines, and hammer machines.</w:t>
      </w:r>
    </w:p>
    <w:p>
      <w:pPr>
        <w:pStyle w:val="Normal"/>
        <w:numPr>
          <w:ilvl w:val="0"/>
          <w:numId w:val="4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Applied basic PLC knowledge for automation and troubleshooting.</w:t>
      </w:r>
    </w:p>
    <w:p>
      <w:pPr>
        <w:pStyle w:val="Normal"/>
        <w:numPr>
          <w:ilvl w:val="0"/>
          <w:numId w:val="4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Prepared daily, weekly, monthly, and yearly reports including diesel consumption.</w:t>
      </w:r>
    </w:p>
    <w:p>
      <w:pPr>
        <w:pStyle w:val="Normal"/>
        <w:numPr>
          <w:ilvl w:val="0"/>
          <w:numId w:val="4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Managed starters, interlocking connections, and electrical safety systems.</w:t>
      </w:r>
    </w:p>
    <w:p>
      <w:pPr>
        <w:pStyle w:val="Normal"/>
        <w:outlineLvl w:val="1"/>
        <w:spacing w:before="100" w:beforeAutospacing="true" w:after="100" w:afterAutospacing="true" w:line="240" w:lineRule="auto"/>
        <w:rPr>
          <w:rFonts w:eastAsia="Times New Roman" w:cstheme="minorHAnsi"/>
          <w:b/>
          <w:bCs/>
          <w:sz w:val="36"/>
          <w:szCs w:val="36"/>
          <w:u w:val="single"/>
        </w:rPr>
      </w:pPr>
      <w:r>
        <w:rPr>
          <w:rFonts w:eastAsia="Times New Roman" w:cstheme="minorHAnsi"/>
          <w:b/>
          <w:bCs/>
          <w:sz w:val="36"/>
          <w:szCs w:val="36"/>
          <w:u w:val="single"/>
        </w:rPr>
        <w:t xml:space="preserve">Education</w:t>
      </w:r>
    </w:p>
    <w:p>
      <w:pPr>
        <w:pStyle w:val="Normal"/>
        <w:numPr>
          <w:ilvl w:val="0"/>
          <w:numId w:val="1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B.Tech / B.E. — Electrical &amp; Electronics Engineering (EEE)</w:t>
      </w:r>
      <w:r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i/>
          <w:iCs/>
          <w:sz w:val="24"/>
          <w:szCs w:val="24"/>
        </w:rPr>
        <w:t xml:space="preserve">Paavai College of Engineering, Namakkal</w:t>
      </w:r>
      <w:r>
        <w:rPr>
          <w:rFonts w:eastAsia="Times New Roman" w:cstheme="minorHAnsi"/>
          <w:sz w:val="24"/>
          <w:szCs w:val="24"/>
        </w:rPr>
        <w:t xml:space="preserve"> — 2011 Grade: 64%</w:t>
      </w:r>
    </w:p>
    <w:p>
      <w:pPr>
        <w:pStyle w:val="Normal"/>
        <w:numPr>
          <w:ilvl w:val="0"/>
          <w:numId w:val="1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12th Grade</w:t>
      </w:r>
      <w:r>
        <w:rPr>
          <w:rFonts w:eastAsia="Times New Roman" w:cstheme="minorHAnsi"/>
          <w:sz w:val="24"/>
          <w:szCs w:val="24"/>
        </w:rPr>
        <w:t xml:space="preserve"> Diploma, Tamil — 2008 Grade: 68%</w:t>
      </w:r>
    </w:p>
    <w:p>
      <w:pPr>
        <w:pStyle w:val="Normal"/>
        <w:numPr>
          <w:ilvl w:val="0"/>
          <w:numId w:val="1"/>
        </w:numPr>
        <w:spacing w:before="100" w:beforeAutospacing="true" w:after="100" w:afterAutospacing="true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10th Grade</w:t>
      </w:r>
      <w:r>
        <w:rPr>
          <w:rFonts w:eastAsia="Times New Roman" w:cstheme="minorHAnsi"/>
          <w:sz w:val="24"/>
          <w:szCs w:val="24"/>
        </w:rPr>
        <w:t xml:space="preserve"> Tamil Nadu — 2005 Grade: 55–59.9%</w:t>
      </w:r>
    </w:p>
    <w:p>
      <w:pPr>
        <w:pStyle w:val="Normal"/>
        <w:rPr>
          <w:rFonts w:cstheme="minorHAnsi"/>
        </w:rPr>
      </w:pPr>
    </w:p>
    <w:p>
      <w:pPr>
        <w:pStyle w:val="Normal"/>
        <w:rPr>
          <w:rFonts w:cstheme="minorHAnsi"/>
        </w:rPr>
      </w:pPr>
    </w:p>
    <w:p>
      <w:pPr>
        <w:pStyle w:val="Normal"/>
        <w:rPr>
          <w:rFonts w:cstheme="minorHAnsi"/>
        </w:rPr>
      </w:pPr>
    </w:p>
    <w:p>
      <w:pPr>
        <w:pStyle w:val="Normal"/>
        <w:rPr>
          <w:rFonts w:cstheme="minorHAnsi"/>
        </w:rPr>
      </w:pPr>
    </w:p>
    <w:p>
      <w:pPr>
        <w:pStyle w:val="Normal"/>
        <w:rPr>
          <w:rFonts w:cstheme="minorHAnsi"/>
        </w:rPr>
      </w:pPr>
    </w:p>
    <w:p>
      <w:pPr>
        <w:pStyle w:val="Normal"/>
        <w:rPr>
          <w:rFonts w:cstheme="minorHAnsi"/>
        </w:rPr>
      </w:pPr>
    </w:p>
    <w:p>
      <w:pPr>
        <w:pStyle w:val="Normal"/>
        <w:rPr>
          <w:rFonts w:cstheme="minorHAnsi"/>
        </w:rPr>
      </w:pPr>
    </w:p>
    <w:p>
      <w:pPr>
        <w:pStyle w:val="Normal"/>
        <w:rPr>
          <w:rFonts w:cstheme="minorHAnsi"/>
        </w:rPr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  <w:spacing w:after="0" w:line="240" w:lineRule="auto"/>
      </w:pPr>
      <w:r>
        <w:separator/>
      </w:r>
    </w:p>
  </w:endnote>
  <w:endnote w:type="continuationSeparator" w:id="0">
    <w:p>
      <w:pPr>
        <w:pStyle w:val="Normal"/>
        <w:spacing w:after="0" w:line="240" w:lineRule="auto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  <w:spacing w:after="0" w:line="240" w:lineRule="auto"/>
      </w:pPr>
      <w:r>
        <w:separator/>
      </w:r>
    </w:p>
  </w:footnote>
  <w:footnote w:type="continuationSeparator" w:id="0">
    <w:p>
      <w:pPr>
        <w:pStyle w:val="Normal"/>
        <w:spacing w:after="0" w:line="240" w:lineRule="auto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7817E7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316E1410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32495C6C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4B537DED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US" w:bidi="ta-IN"/>
  <w:displayBackgroundShape/>
  <w:defaultTabStop w:val="720"/>
  <w:compat>
    <w:compatSetting w:name="compatibilityMode" w:uri="http://schemas.microsoft.com/office/word" w:val="12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style w:type="paragraph" w:styleId="Normal">
    <w:name w:val="Normal"/>
    <w:next w:val="Normal"/>
    <w:pPr/>
    <w:rPr>
      <w:rFonts w:cs="Leelawadee UI Semilight"/>
    </w:rPr>
  </w:style>
  <w:style w:type="paragraph" w:styleId="Heading 2">
    <w:name w:val="Heading 2"/>
    <w:basedOn w:val="Normal"/>
    <w:next w:val="Heading 2"/>
    <w:link w:val="Heading 2 Char"/>
    <w:pPr>
      <w:outlineLvl w:val="1"/>
      <w:spacing w:before="100" w:beforeAutospacing="true" w:after="100" w:afterAutospacing="true" w:line="240" w:lineRule="auto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eading 2 Char">
    <w:name w:val="Heading 2 Char"/>
    <w:basedOn w:val="Default Paragraph Font"/>
    <w:link w:val="Heading 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Default Paragraph Font">
    <w:name w:val="Default Paragraph Font"/>
  </w:style>
  <w:style w:type="paragraph" w:styleId="Heading 3">
    <w:name w:val="Heading 3"/>
    <w:basedOn w:val="Normal"/>
    <w:next w:val="Heading 3"/>
    <w:link w:val="Heading 3 Char"/>
    <w:pPr>
      <w:outlineLvl w:val="2"/>
      <w:spacing w:before="100" w:beforeAutospacing="true" w:after="100" w:afterAutospacing="true" w:line="240" w:lineRule="auto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eading 3 Char">
    <w:name w:val="Heading 3 Char"/>
    <w:basedOn w:val="Default Paragraph Font"/>
    <w:link w:val="Heading 3"/>
    <w:rPr>
      <w:rFonts w:ascii="Times New Roman" w:eastAsia="Times New Roman" w:hAnsi="Times New Roman" w:cs="Times New Roman"/>
      <w:b/>
      <w:bCs/>
      <w:sz w:val="27"/>
      <w:szCs w:val="27"/>
    </w:rPr>
  </w:style>
  <w:style w:type="table" w:styleId="Normal Table">
    <w:name w:val="Normal Table"/>
    <w:next w:val="Normal Table"/>
  </w:style>
  <w:style w:type="paragraph" w:styleId="Normal (Web)">
    <w:name w:val="Normal (Web)"/>
    <w:basedOn w:val="Normal"/>
    <w:next w:val="Normal (Web)"/>
    <w:pPr>
      <w:spacing w:before="100" w:beforeAutospacing="true" w:after="100" w:afterAutospacing="true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 Paragraph Font"/>
    <w:rPr>
      <w:b/>
      <w:bCs/>
    </w:rPr>
  </w:style>
  <w:style w:type="character" w:styleId="Emphasis">
    <w:name w:val="Emphasis"/>
    <w:basedOn w:val="Default Paragraph Font"/>
    <w:rPr>
      <w:i/>
      <w:iCs/>
    </w:rPr>
  </w:style>
  <w:style w:type="paragraph" w:styleId="Header">
    <w:name w:val="Header"/>
    <w:basedOn w:val="Normal"/>
    <w:next w:val="Header"/>
    <w:link w:val="Header Char"/>
    <w:pPr>
      <w:spacing w:after="0" w:line="240" w:lineRule="auto"/>
      <w:tabs>
        <w:tab w:val="center" w:pos="4680"/>
        <w:tab w:val="right" w:pos="9360"/>
      </w:tabs>
    </w:pPr>
  </w:style>
  <w:style w:type="character" w:styleId="Header Char">
    <w:name w:val="Header Char"/>
    <w:basedOn w:val="Default Paragraph Font"/>
    <w:link w:val="Header"/>
    <w:rPr>
      <w:rFonts w:cs="Leelawadee UI Semilight"/>
    </w:rPr>
  </w:style>
  <w:style w:type="paragraph" w:styleId="Footer">
    <w:name w:val="Footer"/>
    <w:basedOn w:val="Normal"/>
    <w:next w:val="Footer"/>
    <w:link w:val="Footer Char"/>
    <w:pPr>
      <w:spacing w:after="0" w:line="240" w:lineRule="auto"/>
      <w:tabs>
        <w:tab w:val="center" w:pos="4680"/>
        <w:tab w:val="right" w:pos="9360"/>
      </w:tabs>
    </w:pPr>
  </w:style>
  <w:style w:type="character" w:styleId="Footer Char">
    <w:name w:val="Footer Char"/>
    <w:basedOn w:val="Default Paragraph Font"/>
    <w:link w:val="Footer"/>
    <w:rPr>
      <w:rFonts w:cs="Leelawadee UI Semilight"/>
    </w:rPr>
  </w:style>
  <w:style w:type="paragraph" w:styleId="Balloon Text">
    <w:name w:val="Balloon Text"/>
    <w:basedOn w:val="Normal"/>
    <w:next w:val="Balloon Text"/>
    <w:link w:val="Balloon Text 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 Text Char">
    <w:name w:val="Balloon Text Char"/>
    <w:basedOn w:val="Default Paragraph Font"/>
    <w:link w:val="Balloon Text"/>
    <w:rPr>
      <w:rFonts w:ascii="Tahoma" w:hAnsi="Tahoma" w:cs="Tahoma"/>
      <w:sz w:val="16"/>
      <w:szCs w:val="16"/>
    </w:rPr>
  </w:style>
  <w:style w:type="character" w:styleId="Hyperlink">
    <w:name w:val="Hyperlink"/>
    <w:basedOn w:val="Default Paragraph Font"/>
    <w:rPr>
      <w:color w:val="0000FF"/>
      <w:u w:val="single"/>
    </w:rPr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