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A502" w14:textId="3A96A225" w:rsidR="00056A33" w:rsidRDefault="00056A33">
      <w:pPr>
        <w:rPr>
          <w:b/>
          <w:bCs/>
          <w:sz w:val="36"/>
          <w:szCs w:val="36"/>
          <w:lang w:val="en-US"/>
        </w:rPr>
      </w:pPr>
      <w:r>
        <w:rPr>
          <w:b/>
          <w:bCs/>
          <w:sz w:val="36"/>
          <w:szCs w:val="36"/>
          <w:lang w:val="en-US"/>
        </w:rPr>
        <w:t xml:space="preserve">                       </w:t>
      </w:r>
      <w:r w:rsidRPr="00056A33">
        <w:rPr>
          <w:b/>
          <w:bCs/>
          <w:sz w:val="36"/>
          <w:szCs w:val="36"/>
          <w:lang w:val="en-US"/>
        </w:rPr>
        <w:t>DISSCUSSION BIBILOGRAPHY</w:t>
      </w:r>
    </w:p>
    <w:p w14:paraId="3FD7273B" w14:textId="67B723D7" w:rsidR="00056A33" w:rsidRPr="00740CC7" w:rsidRDefault="00056A33" w:rsidP="00740CC7">
      <w:pPr>
        <w:pStyle w:val="ListParagraph"/>
        <w:numPr>
          <w:ilvl w:val="0"/>
          <w:numId w:val="1"/>
        </w:numPr>
        <w:rPr>
          <w:rStyle w:val="nowrap"/>
          <w:rFonts w:ascii="Cambria" w:hAnsi="Cambria"/>
          <w:color w:val="212121"/>
          <w:sz w:val="26"/>
          <w:szCs w:val="26"/>
          <w:shd w:val="clear" w:color="auto" w:fill="FFFFFF"/>
        </w:rPr>
      </w:pPr>
      <w:r w:rsidRPr="00740CC7">
        <w:rPr>
          <w:rStyle w:val="element-citation"/>
          <w:rFonts w:ascii="Cambria" w:hAnsi="Cambria"/>
          <w:color w:val="212121"/>
          <w:sz w:val="26"/>
          <w:szCs w:val="26"/>
          <w:shd w:val="clear" w:color="auto" w:fill="FFFFFF"/>
        </w:rPr>
        <w:t xml:space="preserve">Sharma M, </w:t>
      </w:r>
      <w:proofErr w:type="spellStart"/>
      <w:r w:rsidRPr="00740CC7">
        <w:rPr>
          <w:rStyle w:val="element-citation"/>
          <w:rFonts w:ascii="Cambria" w:hAnsi="Cambria"/>
          <w:color w:val="212121"/>
          <w:sz w:val="26"/>
          <w:szCs w:val="26"/>
          <w:shd w:val="clear" w:color="auto" w:fill="FFFFFF"/>
        </w:rPr>
        <w:t>Ganguly</w:t>
      </w:r>
      <w:proofErr w:type="spellEnd"/>
      <w:r w:rsidRPr="00740CC7">
        <w:rPr>
          <w:rStyle w:val="element-citation"/>
          <w:rFonts w:ascii="Cambria" w:hAnsi="Cambria"/>
          <w:color w:val="212121"/>
          <w:sz w:val="26"/>
          <w:szCs w:val="26"/>
          <w:shd w:val="clear" w:color="auto" w:fill="FFFFFF"/>
        </w:rPr>
        <w:t xml:space="preserve"> NK. Premature coronary artery disease in Indians and its associated risk factors. </w:t>
      </w:r>
      <w:proofErr w:type="spellStart"/>
      <w:r w:rsidRPr="00740CC7">
        <w:rPr>
          <w:rStyle w:val="ref-journal"/>
          <w:rFonts w:ascii="Cambria" w:hAnsi="Cambria"/>
          <w:color w:val="212121"/>
          <w:sz w:val="26"/>
          <w:szCs w:val="26"/>
          <w:shd w:val="clear" w:color="auto" w:fill="FFFFFF"/>
        </w:rPr>
        <w:t>Vasc</w:t>
      </w:r>
      <w:proofErr w:type="spellEnd"/>
      <w:r w:rsidRPr="00740CC7">
        <w:rPr>
          <w:rStyle w:val="ref-journal"/>
          <w:rFonts w:ascii="Cambria" w:hAnsi="Cambria"/>
          <w:color w:val="212121"/>
          <w:sz w:val="26"/>
          <w:szCs w:val="26"/>
          <w:shd w:val="clear" w:color="auto" w:fill="FFFFFF"/>
        </w:rPr>
        <w:t xml:space="preserve"> Health Risk </w:t>
      </w:r>
      <w:proofErr w:type="spellStart"/>
      <w:r w:rsidRPr="00740CC7">
        <w:rPr>
          <w:rStyle w:val="ref-journal"/>
          <w:rFonts w:ascii="Cambria" w:hAnsi="Cambria"/>
          <w:color w:val="212121"/>
          <w:sz w:val="26"/>
          <w:szCs w:val="26"/>
          <w:shd w:val="clear" w:color="auto" w:fill="FFFFFF"/>
        </w:rPr>
        <w:t>Manag</w:t>
      </w:r>
      <w:proofErr w:type="spellEnd"/>
      <w:r w:rsidRPr="00740CC7">
        <w:rPr>
          <w:rStyle w:val="ref-journal"/>
          <w:rFonts w:ascii="Cambria" w:hAnsi="Cambria"/>
          <w:color w:val="212121"/>
          <w:sz w:val="26"/>
          <w:szCs w:val="26"/>
          <w:shd w:val="clear" w:color="auto" w:fill="FFFFFF"/>
        </w:rPr>
        <w:t>. </w:t>
      </w:r>
      <w:r w:rsidRPr="00740CC7">
        <w:rPr>
          <w:rStyle w:val="element-citation"/>
          <w:rFonts w:ascii="Cambria" w:hAnsi="Cambria"/>
          <w:color w:val="212121"/>
          <w:sz w:val="26"/>
          <w:szCs w:val="26"/>
          <w:shd w:val="clear" w:color="auto" w:fill="FFFFFF"/>
        </w:rPr>
        <w:t>2005;</w:t>
      </w:r>
      <w:r w:rsidRPr="00740CC7">
        <w:rPr>
          <w:rStyle w:val="ref-vol"/>
          <w:rFonts w:ascii="Cambria" w:hAnsi="Cambria"/>
          <w:b/>
          <w:bCs/>
          <w:color w:val="212121"/>
          <w:sz w:val="26"/>
          <w:szCs w:val="26"/>
          <w:shd w:val="clear" w:color="auto" w:fill="FFFFFF"/>
        </w:rPr>
        <w:t>1</w:t>
      </w:r>
      <w:r w:rsidRPr="00740CC7">
        <w:rPr>
          <w:rStyle w:val="element-citation"/>
          <w:rFonts w:ascii="Cambria" w:hAnsi="Cambria"/>
          <w:color w:val="212121"/>
          <w:sz w:val="26"/>
          <w:szCs w:val="26"/>
          <w:shd w:val="clear" w:color="auto" w:fill="FFFFFF"/>
        </w:rPr>
        <w:t>:217–225. </w:t>
      </w:r>
      <w:r w:rsidRPr="00740CC7">
        <w:rPr>
          <w:rStyle w:val="nowrap"/>
          <w:rFonts w:ascii="Cambria" w:hAnsi="Cambria"/>
          <w:color w:val="212121"/>
          <w:sz w:val="26"/>
          <w:szCs w:val="26"/>
          <w:shd w:val="clear" w:color="auto" w:fill="FFFFFF"/>
        </w:rPr>
        <w:t>[</w:t>
      </w:r>
      <w:hyperlink r:id="rId5" w:history="1">
        <w:r w:rsidRPr="00740CC7">
          <w:rPr>
            <w:rStyle w:val="Hyperlink"/>
            <w:rFonts w:ascii="Cambria" w:hAnsi="Cambria"/>
            <w:color w:val="376FAA"/>
            <w:sz w:val="26"/>
            <w:szCs w:val="26"/>
          </w:rPr>
          <w:t>PMC free article</w:t>
        </w:r>
      </w:hyperlink>
      <w:r w:rsidRPr="00740CC7">
        <w:rPr>
          <w:rStyle w:val="nowrap"/>
          <w:rFonts w:ascii="Cambria" w:hAnsi="Cambria"/>
          <w:color w:val="212121"/>
          <w:sz w:val="26"/>
          <w:szCs w:val="26"/>
          <w:shd w:val="clear" w:color="auto" w:fill="FFFFFF"/>
        </w:rPr>
        <w:t>]</w:t>
      </w:r>
      <w:r w:rsidRPr="00740CC7">
        <w:rPr>
          <w:rStyle w:val="element-citation"/>
          <w:rFonts w:ascii="Cambria" w:hAnsi="Cambria"/>
          <w:color w:val="212121"/>
          <w:sz w:val="26"/>
          <w:szCs w:val="26"/>
          <w:shd w:val="clear" w:color="auto" w:fill="FFFFFF"/>
        </w:rPr>
        <w:t> [</w:t>
      </w:r>
      <w:hyperlink r:id="rId6" w:history="1">
        <w:r w:rsidRPr="00740CC7">
          <w:rPr>
            <w:rStyle w:val="Hyperlink"/>
            <w:rFonts w:ascii="Cambria" w:hAnsi="Cambria"/>
            <w:color w:val="376FAA"/>
            <w:sz w:val="26"/>
            <w:szCs w:val="26"/>
          </w:rPr>
          <w:t>PubMed</w:t>
        </w:r>
      </w:hyperlink>
      <w:r w:rsidRPr="00740CC7">
        <w:rPr>
          <w:rStyle w:val="element-citation"/>
          <w:rFonts w:ascii="Cambria" w:hAnsi="Cambria"/>
          <w:color w:val="212121"/>
          <w:sz w:val="26"/>
          <w:szCs w:val="26"/>
          <w:shd w:val="clear" w:color="auto" w:fill="FFFFFF"/>
        </w:rPr>
        <w:t>] </w:t>
      </w:r>
      <w:r w:rsidRPr="00740CC7">
        <w:rPr>
          <w:rStyle w:val="nowrap"/>
          <w:rFonts w:ascii="Cambria" w:hAnsi="Cambria"/>
          <w:color w:val="212121"/>
          <w:sz w:val="26"/>
          <w:szCs w:val="26"/>
          <w:shd w:val="clear" w:color="auto" w:fill="FFFFFF"/>
        </w:rPr>
        <w:t>[</w:t>
      </w:r>
      <w:hyperlink r:id="rId7" w:tgtFrame="_blank" w:history="1">
        <w:r w:rsidRPr="00740CC7">
          <w:rPr>
            <w:rStyle w:val="Hyperlink"/>
            <w:rFonts w:ascii="Cambria" w:hAnsi="Cambria"/>
            <w:color w:val="376FAA"/>
            <w:sz w:val="26"/>
            <w:szCs w:val="26"/>
          </w:rPr>
          <w:t>Google Scholar</w:t>
        </w:r>
      </w:hyperlink>
      <w:r w:rsidRPr="00740CC7">
        <w:rPr>
          <w:rStyle w:val="nowrap"/>
          <w:rFonts w:ascii="Cambria" w:hAnsi="Cambria"/>
          <w:color w:val="212121"/>
          <w:sz w:val="26"/>
          <w:szCs w:val="26"/>
          <w:shd w:val="clear" w:color="auto" w:fill="FFFFFF"/>
        </w:rPr>
        <w:t>]</w:t>
      </w:r>
    </w:p>
    <w:p w14:paraId="7E3238BA" w14:textId="074C913F" w:rsidR="00740CC7" w:rsidRPr="00641452" w:rsidRDefault="00740CC7" w:rsidP="00740CC7">
      <w:pPr>
        <w:pStyle w:val="ListParagraph"/>
        <w:numPr>
          <w:ilvl w:val="0"/>
          <w:numId w:val="1"/>
        </w:numPr>
        <w:rPr>
          <w:rStyle w:val="nowrap"/>
          <w:b/>
          <w:bCs/>
          <w:sz w:val="36"/>
          <w:szCs w:val="36"/>
          <w:lang w:val="en-US"/>
        </w:rPr>
      </w:pPr>
      <w:proofErr w:type="spellStart"/>
      <w:r>
        <w:rPr>
          <w:rFonts w:ascii="Cambria" w:hAnsi="Cambria"/>
          <w:color w:val="212121"/>
          <w:sz w:val="26"/>
          <w:szCs w:val="26"/>
          <w:shd w:val="clear" w:color="auto" w:fill="FFFFFF"/>
        </w:rPr>
        <w:t>Jousilahti</w:t>
      </w:r>
      <w:proofErr w:type="spellEnd"/>
      <w:r>
        <w:rPr>
          <w:rFonts w:ascii="Cambria" w:hAnsi="Cambria"/>
          <w:color w:val="212121"/>
          <w:sz w:val="26"/>
          <w:szCs w:val="26"/>
          <w:shd w:val="clear" w:color="auto" w:fill="FFFFFF"/>
        </w:rPr>
        <w:t xml:space="preserve"> P, </w:t>
      </w:r>
      <w:proofErr w:type="spellStart"/>
      <w:r>
        <w:rPr>
          <w:rFonts w:ascii="Cambria" w:hAnsi="Cambria"/>
          <w:color w:val="212121"/>
          <w:sz w:val="26"/>
          <w:szCs w:val="26"/>
          <w:shd w:val="clear" w:color="auto" w:fill="FFFFFF"/>
        </w:rPr>
        <w:t>Vartiainen</w:t>
      </w:r>
      <w:proofErr w:type="spellEnd"/>
      <w:r>
        <w:rPr>
          <w:rFonts w:ascii="Cambria" w:hAnsi="Cambria"/>
          <w:color w:val="212121"/>
          <w:sz w:val="26"/>
          <w:szCs w:val="26"/>
          <w:shd w:val="clear" w:color="auto" w:fill="FFFFFF"/>
        </w:rPr>
        <w:t xml:space="preserve"> E, </w:t>
      </w:r>
      <w:proofErr w:type="spellStart"/>
      <w:r>
        <w:rPr>
          <w:rFonts w:ascii="Cambria" w:hAnsi="Cambria"/>
          <w:color w:val="212121"/>
          <w:sz w:val="26"/>
          <w:szCs w:val="26"/>
          <w:shd w:val="clear" w:color="auto" w:fill="FFFFFF"/>
        </w:rPr>
        <w:t>Tuomilehto</w:t>
      </w:r>
      <w:proofErr w:type="spellEnd"/>
      <w:r>
        <w:rPr>
          <w:rFonts w:ascii="Cambria" w:hAnsi="Cambria"/>
          <w:color w:val="212121"/>
          <w:sz w:val="26"/>
          <w:szCs w:val="26"/>
          <w:shd w:val="clear" w:color="auto" w:fill="FFFFFF"/>
        </w:rPr>
        <w:t xml:space="preserve"> J, </w:t>
      </w:r>
      <w:proofErr w:type="spellStart"/>
      <w:r>
        <w:rPr>
          <w:rFonts w:ascii="Cambria" w:hAnsi="Cambria"/>
          <w:color w:val="212121"/>
          <w:sz w:val="26"/>
          <w:szCs w:val="26"/>
          <w:shd w:val="clear" w:color="auto" w:fill="FFFFFF"/>
        </w:rPr>
        <w:t>Puska</w:t>
      </w:r>
      <w:proofErr w:type="spellEnd"/>
      <w:r>
        <w:rPr>
          <w:rFonts w:ascii="Cambria" w:hAnsi="Cambria"/>
          <w:color w:val="212121"/>
          <w:sz w:val="26"/>
          <w:szCs w:val="26"/>
          <w:shd w:val="clear" w:color="auto" w:fill="FFFFFF"/>
        </w:rPr>
        <w:t xml:space="preserve"> P. </w:t>
      </w:r>
      <w:r>
        <w:rPr>
          <w:rStyle w:val="ref-title"/>
          <w:rFonts w:ascii="Cambria" w:hAnsi="Cambria"/>
          <w:color w:val="212121"/>
          <w:sz w:val="26"/>
          <w:szCs w:val="26"/>
          <w:shd w:val="clear" w:color="auto" w:fill="FFFFFF"/>
        </w:rPr>
        <w:t>Sex, age, cardiovascular risk factors, and coronary heart disease: a prospective follow-up study of 14 786 middle-aged men and women in Finland</w:t>
      </w:r>
      <w:r>
        <w:rPr>
          <w:rFonts w:ascii="Cambria" w:hAnsi="Cambria"/>
          <w:color w:val="212121"/>
          <w:sz w:val="26"/>
          <w:szCs w:val="26"/>
          <w:shd w:val="clear" w:color="auto" w:fill="FFFFFF"/>
        </w:rPr>
        <w:t>. </w:t>
      </w:r>
      <w:r>
        <w:rPr>
          <w:rStyle w:val="ref-journal"/>
          <w:rFonts w:ascii="Cambria" w:hAnsi="Cambria"/>
          <w:i/>
          <w:iCs/>
          <w:color w:val="212121"/>
          <w:sz w:val="26"/>
          <w:szCs w:val="26"/>
          <w:shd w:val="clear" w:color="auto" w:fill="FFFFFF"/>
        </w:rPr>
        <w:t>Circulation</w:t>
      </w:r>
      <w:r>
        <w:rPr>
          <w:rFonts w:ascii="Cambria" w:hAnsi="Cambria"/>
          <w:color w:val="212121"/>
          <w:sz w:val="26"/>
          <w:szCs w:val="26"/>
          <w:shd w:val="clear" w:color="auto" w:fill="FFFFFF"/>
        </w:rPr>
        <w:t> 1999;</w:t>
      </w:r>
      <w:r>
        <w:rPr>
          <w:rStyle w:val="ref-vol"/>
          <w:rFonts w:ascii="Cambria" w:hAnsi="Cambria"/>
          <w:color w:val="212121"/>
          <w:sz w:val="26"/>
          <w:szCs w:val="26"/>
          <w:shd w:val="clear" w:color="auto" w:fill="FFFFFF"/>
        </w:rPr>
        <w:t>99</w:t>
      </w:r>
      <w:r>
        <w:rPr>
          <w:rFonts w:ascii="Cambria" w:hAnsi="Cambria"/>
          <w:color w:val="212121"/>
          <w:sz w:val="26"/>
          <w:szCs w:val="26"/>
          <w:shd w:val="clear" w:color="auto" w:fill="FFFFFF"/>
        </w:rPr>
        <w:t>:1165–72. [</w:t>
      </w:r>
      <w:hyperlink r:id="rId8" w:history="1">
        <w:r>
          <w:rPr>
            <w:rStyle w:val="Hyperlink"/>
            <w:rFonts w:ascii="Cambria" w:hAnsi="Cambria"/>
            <w:color w:val="376FAA"/>
            <w:sz w:val="26"/>
            <w:szCs w:val="26"/>
            <w:shd w:val="clear" w:color="auto" w:fill="FFFFFF"/>
          </w:rPr>
          <w:t>PubMed</w:t>
        </w:r>
      </w:hyperlink>
      <w:r>
        <w:rPr>
          <w:rFonts w:ascii="Cambria" w:hAnsi="Cambria"/>
          <w:color w:val="212121"/>
          <w:sz w:val="26"/>
          <w:szCs w:val="26"/>
          <w:shd w:val="clear" w:color="auto" w:fill="FFFFFF"/>
        </w:rPr>
        <w:t>] </w:t>
      </w:r>
      <w:r>
        <w:rPr>
          <w:rStyle w:val="nowrap"/>
          <w:rFonts w:ascii="Cambria" w:hAnsi="Cambria"/>
          <w:color w:val="212121"/>
          <w:sz w:val="26"/>
          <w:szCs w:val="26"/>
          <w:shd w:val="clear" w:color="auto" w:fill="FFFFFF"/>
        </w:rPr>
        <w:t>[</w:t>
      </w:r>
      <w:hyperlink r:id="rId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shd w:val="clear" w:color="auto" w:fill="FFFFFF"/>
        </w:rPr>
        <w:t>]</w:t>
      </w:r>
    </w:p>
    <w:p w14:paraId="1F6CD76F" w14:textId="7192827E" w:rsidR="00641452" w:rsidRPr="002800E5" w:rsidRDefault="00641452" w:rsidP="00740CC7">
      <w:pPr>
        <w:pStyle w:val="ListParagraph"/>
        <w:numPr>
          <w:ilvl w:val="0"/>
          <w:numId w:val="1"/>
        </w:numPr>
        <w:rPr>
          <w:rStyle w:val="nowrap"/>
          <w:b/>
          <w:bCs/>
          <w:sz w:val="36"/>
          <w:szCs w:val="36"/>
          <w:lang w:val="en-US"/>
        </w:rPr>
      </w:pPr>
      <w:r>
        <w:rPr>
          <w:rFonts w:ascii="Cambria" w:hAnsi="Cambria"/>
          <w:color w:val="212121"/>
          <w:sz w:val="26"/>
          <w:szCs w:val="26"/>
          <w:shd w:val="clear" w:color="auto" w:fill="FFFFFF"/>
        </w:rPr>
        <w:t xml:space="preserve">Virtanen M., </w:t>
      </w:r>
      <w:proofErr w:type="spellStart"/>
      <w:r>
        <w:rPr>
          <w:rFonts w:ascii="Cambria" w:hAnsi="Cambria"/>
          <w:color w:val="212121"/>
          <w:sz w:val="26"/>
          <w:szCs w:val="26"/>
          <w:shd w:val="clear" w:color="auto" w:fill="FFFFFF"/>
        </w:rPr>
        <w:t>Heikkilä</w:t>
      </w:r>
      <w:proofErr w:type="spellEnd"/>
      <w:r>
        <w:rPr>
          <w:rFonts w:ascii="Cambria" w:hAnsi="Cambria"/>
          <w:color w:val="212121"/>
          <w:sz w:val="26"/>
          <w:szCs w:val="26"/>
          <w:shd w:val="clear" w:color="auto" w:fill="FFFFFF"/>
        </w:rPr>
        <w:t xml:space="preserve"> K., Jokela M., </w:t>
      </w:r>
      <w:proofErr w:type="spellStart"/>
      <w:r>
        <w:rPr>
          <w:rFonts w:ascii="Cambria" w:hAnsi="Cambria"/>
          <w:color w:val="212121"/>
          <w:sz w:val="26"/>
          <w:szCs w:val="26"/>
          <w:shd w:val="clear" w:color="auto" w:fill="FFFFFF"/>
        </w:rPr>
        <w:t>Ferrie</w:t>
      </w:r>
      <w:proofErr w:type="spellEnd"/>
      <w:r>
        <w:rPr>
          <w:rFonts w:ascii="Cambria" w:hAnsi="Cambria"/>
          <w:color w:val="212121"/>
          <w:sz w:val="26"/>
          <w:szCs w:val="26"/>
          <w:shd w:val="clear" w:color="auto" w:fill="FFFFFF"/>
        </w:rPr>
        <w:t xml:space="preserve"> J.E., Batty G.D., </w:t>
      </w:r>
      <w:proofErr w:type="spellStart"/>
      <w:r>
        <w:rPr>
          <w:rFonts w:ascii="Cambria" w:hAnsi="Cambria"/>
          <w:color w:val="212121"/>
          <w:sz w:val="26"/>
          <w:szCs w:val="26"/>
          <w:shd w:val="clear" w:color="auto" w:fill="FFFFFF"/>
        </w:rPr>
        <w:t>Vahtera</w:t>
      </w:r>
      <w:proofErr w:type="spellEnd"/>
      <w:r>
        <w:rPr>
          <w:rFonts w:ascii="Cambria" w:hAnsi="Cambria"/>
          <w:color w:val="212121"/>
          <w:sz w:val="26"/>
          <w:szCs w:val="26"/>
          <w:shd w:val="clear" w:color="auto" w:fill="FFFFFF"/>
        </w:rPr>
        <w:t xml:space="preserve"> J., </w:t>
      </w:r>
      <w:proofErr w:type="spellStart"/>
      <w:r>
        <w:rPr>
          <w:rFonts w:ascii="Cambria" w:hAnsi="Cambria"/>
          <w:color w:val="212121"/>
          <w:sz w:val="26"/>
          <w:szCs w:val="26"/>
          <w:shd w:val="clear" w:color="auto" w:fill="FFFFFF"/>
        </w:rPr>
        <w:t>Kivimäki</w:t>
      </w:r>
      <w:proofErr w:type="spellEnd"/>
      <w:r>
        <w:rPr>
          <w:rFonts w:ascii="Cambria" w:hAnsi="Cambria"/>
          <w:color w:val="212121"/>
          <w:sz w:val="26"/>
          <w:szCs w:val="26"/>
          <w:shd w:val="clear" w:color="auto" w:fill="FFFFFF"/>
        </w:rPr>
        <w:t xml:space="preserve"> M. Long working hours and coronary heart disease: a systematic review and meta-analysis. </w:t>
      </w:r>
      <w:r>
        <w:rPr>
          <w:rStyle w:val="ref-journal"/>
          <w:rFonts w:ascii="Cambria" w:hAnsi="Cambria"/>
          <w:i/>
          <w:iCs/>
          <w:color w:val="212121"/>
          <w:sz w:val="26"/>
          <w:szCs w:val="26"/>
          <w:shd w:val="clear" w:color="auto" w:fill="FFFFFF"/>
        </w:rPr>
        <w:t xml:space="preserve">Am J </w:t>
      </w:r>
      <w:proofErr w:type="spellStart"/>
      <w:r>
        <w:rPr>
          <w:rStyle w:val="ref-journal"/>
          <w:rFonts w:ascii="Cambria" w:hAnsi="Cambria"/>
          <w:i/>
          <w:iCs/>
          <w:color w:val="212121"/>
          <w:sz w:val="26"/>
          <w:szCs w:val="26"/>
          <w:shd w:val="clear" w:color="auto" w:fill="FFFFFF"/>
        </w:rPr>
        <w:t>Epidemiol</w:t>
      </w:r>
      <w:proofErr w:type="spellEnd"/>
      <w:r>
        <w:rPr>
          <w:rStyle w:val="ref-journal"/>
          <w:rFonts w:ascii="Cambria" w:hAnsi="Cambria"/>
          <w:i/>
          <w:iCs/>
          <w:color w:val="212121"/>
          <w:sz w:val="26"/>
          <w:szCs w:val="26"/>
          <w:shd w:val="clear" w:color="auto" w:fill="FFFFFF"/>
        </w:rPr>
        <w:t>. </w:t>
      </w:r>
      <w:r>
        <w:rPr>
          <w:rFonts w:ascii="Cambria" w:hAnsi="Cambria"/>
          <w:color w:val="212121"/>
          <w:sz w:val="26"/>
          <w:szCs w:val="26"/>
          <w:shd w:val="clear" w:color="auto" w:fill="FFFFFF"/>
        </w:rPr>
        <w:t>2012;</w:t>
      </w:r>
      <w:r>
        <w:rPr>
          <w:rStyle w:val="ref-vol"/>
          <w:rFonts w:ascii="Cambria" w:hAnsi="Cambria"/>
          <w:color w:val="212121"/>
          <w:sz w:val="26"/>
          <w:szCs w:val="26"/>
          <w:shd w:val="clear" w:color="auto" w:fill="FFFFFF"/>
        </w:rPr>
        <w:t>176</w:t>
      </w:r>
      <w:r>
        <w:rPr>
          <w:rFonts w:ascii="Cambria" w:hAnsi="Cambria"/>
          <w:color w:val="212121"/>
          <w:sz w:val="26"/>
          <w:szCs w:val="26"/>
          <w:shd w:val="clear" w:color="auto" w:fill="FFFFFF"/>
        </w:rPr>
        <w:t>:586–596. </w:t>
      </w:r>
      <w:r>
        <w:rPr>
          <w:rStyle w:val="nowrap"/>
          <w:rFonts w:ascii="Cambria" w:hAnsi="Cambria"/>
          <w:color w:val="212121"/>
          <w:sz w:val="26"/>
          <w:szCs w:val="26"/>
          <w:shd w:val="clear" w:color="auto" w:fill="FFFFFF"/>
        </w:rPr>
        <w:t>[</w:t>
      </w:r>
      <w:hyperlink r:id="rId10" w:history="1">
        <w:r>
          <w:rPr>
            <w:rStyle w:val="Hyperlink"/>
            <w:rFonts w:ascii="Cambria" w:hAnsi="Cambria"/>
            <w:color w:val="376FAA"/>
            <w:sz w:val="26"/>
            <w:szCs w:val="26"/>
          </w:rPr>
          <w:t>PMC free article</w:t>
        </w:r>
      </w:hyperlink>
      <w:r>
        <w:rPr>
          <w:rStyle w:val="nowrap"/>
          <w:rFonts w:ascii="Cambria" w:hAnsi="Cambria"/>
          <w:color w:val="212121"/>
          <w:sz w:val="26"/>
          <w:szCs w:val="26"/>
          <w:shd w:val="clear" w:color="auto" w:fill="FFFFFF"/>
        </w:rPr>
        <w:t>]</w:t>
      </w:r>
      <w:r>
        <w:rPr>
          <w:rFonts w:ascii="Cambria" w:hAnsi="Cambria"/>
          <w:color w:val="212121"/>
          <w:sz w:val="26"/>
          <w:szCs w:val="26"/>
          <w:shd w:val="clear" w:color="auto" w:fill="FFFFFF"/>
        </w:rPr>
        <w:t> [</w:t>
      </w:r>
      <w:hyperlink r:id="rId11" w:history="1">
        <w:r>
          <w:rPr>
            <w:rStyle w:val="Hyperlink"/>
            <w:rFonts w:ascii="Cambria" w:hAnsi="Cambria"/>
            <w:color w:val="376FAA"/>
            <w:sz w:val="26"/>
            <w:szCs w:val="26"/>
            <w:shd w:val="clear" w:color="auto" w:fill="FFFFFF"/>
          </w:rPr>
          <w:t>PubMed</w:t>
        </w:r>
      </w:hyperlink>
      <w:r>
        <w:rPr>
          <w:rFonts w:ascii="Cambria" w:hAnsi="Cambria"/>
          <w:color w:val="212121"/>
          <w:sz w:val="26"/>
          <w:szCs w:val="26"/>
          <w:shd w:val="clear" w:color="auto" w:fill="FFFFFF"/>
        </w:rPr>
        <w:t>] </w:t>
      </w:r>
      <w:r>
        <w:rPr>
          <w:rStyle w:val="nowrap"/>
          <w:rFonts w:ascii="Cambria" w:hAnsi="Cambria"/>
          <w:color w:val="212121"/>
          <w:sz w:val="26"/>
          <w:szCs w:val="26"/>
          <w:shd w:val="clear" w:color="auto" w:fill="FFFFFF"/>
        </w:rPr>
        <w:t>[</w:t>
      </w:r>
      <w:hyperlink r:id="rId1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shd w:val="clear" w:color="auto" w:fill="FFFFFF"/>
        </w:rPr>
        <w:t>]</w:t>
      </w:r>
    </w:p>
    <w:p w14:paraId="2316D2F4" w14:textId="70122DAD" w:rsidR="00891135" w:rsidRDefault="00C26AB8" w:rsidP="00916E47">
      <w:pPr>
        <w:pStyle w:val="list-inline-item"/>
        <w:numPr>
          <w:ilvl w:val="0"/>
          <w:numId w:val="1"/>
        </w:numPr>
        <w:shd w:val="clear" w:color="auto" w:fill="FFFFFF"/>
        <w:rPr>
          <w:rFonts w:ascii="Segoe UI" w:hAnsi="Segoe UI" w:cs="Segoe UI"/>
          <w:color w:val="424242"/>
          <w:sz w:val="21"/>
          <w:szCs w:val="21"/>
        </w:rPr>
      </w:pPr>
      <w:hyperlink r:id="rId13" w:tooltip="Marie-Isabel K Murray " w:history="1">
        <w:r w:rsidR="00891135" w:rsidRPr="002800E5">
          <w:rPr>
            <w:rStyle w:val="Hyperlink"/>
            <w:rFonts w:ascii="Cambria" w:hAnsi="Cambria" w:cs="Noto Sans"/>
            <w:color w:val="333333"/>
            <w:shd w:val="clear" w:color="auto" w:fill="FFFFFF"/>
          </w:rPr>
          <w:t>Marie-Isabel K Murray</w:t>
        </w:r>
      </w:hyperlink>
      <w:hyperlink r:id="rId14" w:anchor="a1" w:history="1">
        <w:r w:rsidR="00891135" w:rsidRPr="002800E5">
          <w:rPr>
            <w:rStyle w:val="Hyperlink"/>
            <w:rFonts w:ascii="Cambria" w:hAnsi="Cambria" w:cs="Noto Sans"/>
            <w:color w:val="0B74B9"/>
            <w:vertAlign w:val="superscript"/>
          </w:rPr>
          <w:t>1</w:t>
        </w:r>
      </w:hyperlink>
      <w:r w:rsidR="00891135" w:rsidRPr="002800E5">
        <w:rPr>
          <w:rFonts w:ascii="Cambria" w:hAnsi="Cambria" w:cs="Noto Sans"/>
          <w:color w:val="185FA1"/>
          <w:shd w:val="clear" w:color="auto" w:fill="FFFFFF"/>
          <w:vertAlign w:val="superscript"/>
        </w:rPr>
        <w:t>,</w:t>
      </w:r>
      <w:hyperlink r:id="rId15" w:anchor="a2" w:history="1">
        <w:r w:rsidR="00891135" w:rsidRPr="002800E5">
          <w:rPr>
            <w:rStyle w:val="Hyperlink"/>
            <w:rFonts w:ascii="Cambria" w:hAnsi="Cambria" w:cs="Noto Sans"/>
            <w:color w:val="0B74B9"/>
            <w:vertAlign w:val="superscript"/>
          </w:rPr>
          <w:t>2</w:t>
        </w:r>
      </w:hyperlink>
      <w:hyperlink r:id="rId16" w:anchor="corr337072" w:history="1">
        <w:r w:rsidR="00891135" w:rsidRPr="002800E5">
          <w:rPr>
            <w:rStyle w:val="Hyperlink"/>
            <w:rFonts w:ascii="Cambria" w:hAnsi="Cambria" w:cs="Noto Sans"/>
            <w:vertAlign w:val="superscript"/>
          </w:rPr>
          <w:t>*</w:t>
        </w:r>
      </w:hyperlink>
      <w:r w:rsidR="00891135" w:rsidRPr="002800E5">
        <w:rPr>
          <w:rFonts w:ascii="Cambria" w:hAnsi="Cambria" w:cs="Noto Sans"/>
          <w:color w:val="185FA1"/>
          <w:shd w:val="clear" w:color="auto" w:fill="FFFFFF"/>
        </w:rPr>
        <w:t>, </w:t>
      </w:r>
      <w:hyperlink r:id="rId17" w:tooltip="Inna N Thalmann " w:history="1">
        <w:r w:rsidR="00891135" w:rsidRPr="002800E5">
          <w:rPr>
            <w:rStyle w:val="Hyperlink"/>
            <w:rFonts w:ascii="Cambria" w:hAnsi="Cambria" w:cs="Noto Sans"/>
            <w:color w:val="333333"/>
            <w:shd w:val="clear" w:color="auto" w:fill="FFFFFF"/>
          </w:rPr>
          <w:t>Inna N Thalmann</w:t>
        </w:r>
      </w:hyperlink>
      <w:hyperlink r:id="rId18" w:anchor="a2" w:history="1">
        <w:r w:rsidR="00891135" w:rsidRPr="002800E5">
          <w:rPr>
            <w:rStyle w:val="Hyperlink"/>
            <w:rFonts w:ascii="Cambria" w:hAnsi="Cambria" w:cs="Noto Sans"/>
            <w:color w:val="0B74B9"/>
            <w:vertAlign w:val="superscript"/>
          </w:rPr>
          <w:t>2</w:t>
        </w:r>
      </w:hyperlink>
      <w:r w:rsidR="00891135" w:rsidRPr="002800E5">
        <w:rPr>
          <w:rFonts w:ascii="Cambria" w:hAnsi="Cambria" w:cs="Noto Sans"/>
          <w:color w:val="185FA1"/>
          <w:shd w:val="clear" w:color="auto" w:fill="FFFFFF"/>
        </w:rPr>
        <w:t>, </w:t>
      </w:r>
      <w:hyperlink r:id="rId19" w:tooltip="Elias A Mossialos " w:history="1">
        <w:r w:rsidR="00891135" w:rsidRPr="002800E5">
          <w:rPr>
            <w:rStyle w:val="Hyperlink"/>
            <w:rFonts w:ascii="Cambria" w:hAnsi="Cambria" w:cs="Noto Sans"/>
            <w:color w:val="333333"/>
            <w:shd w:val="clear" w:color="auto" w:fill="FFFFFF"/>
          </w:rPr>
          <w:t>Elias A Mossialos</w:t>
        </w:r>
      </w:hyperlink>
      <w:hyperlink r:id="rId20" w:anchor="a2" w:history="1">
        <w:r w:rsidR="00891135" w:rsidRPr="002800E5">
          <w:rPr>
            <w:rStyle w:val="Hyperlink"/>
            <w:rFonts w:ascii="Cambria" w:hAnsi="Cambria" w:cs="Noto Sans"/>
            <w:color w:val="0B74B9"/>
            <w:vertAlign w:val="superscript"/>
          </w:rPr>
          <w:t>2</w:t>
        </w:r>
      </w:hyperlink>
      <w:r w:rsidR="00891135" w:rsidRPr="002800E5">
        <w:rPr>
          <w:rFonts w:ascii="Cambria" w:hAnsi="Cambria" w:cs="Noto Sans"/>
          <w:color w:val="333333"/>
          <w:shd w:val="clear" w:color="auto" w:fill="FFFFFF"/>
        </w:rPr>
        <w:t> and </w:t>
      </w:r>
      <w:hyperlink r:id="rId21" w:tooltip="Andreas M Zeiher " w:history="1">
        <w:r w:rsidR="00891135" w:rsidRPr="002800E5">
          <w:rPr>
            <w:rStyle w:val="Hyperlink"/>
            <w:rFonts w:ascii="Cambria" w:hAnsi="Cambria" w:cs="Noto Sans"/>
            <w:color w:val="333333"/>
            <w:shd w:val="clear" w:color="auto" w:fill="FFFFFF"/>
          </w:rPr>
          <w:t xml:space="preserve">Andreas M </w:t>
        </w:r>
        <w:r w:rsidR="00916E47">
          <w:rPr>
            <w:rStyle w:val="Hyperlink"/>
            <w:rFonts w:ascii="Cambria" w:hAnsi="Cambria" w:cs="Noto Sans"/>
            <w:color w:val="333333"/>
            <w:shd w:val="clear" w:color="auto" w:fill="FFFFFF"/>
          </w:rPr>
          <w:t xml:space="preserve">     </w:t>
        </w:r>
        <w:r w:rsidR="00891135" w:rsidRPr="002800E5">
          <w:rPr>
            <w:rStyle w:val="Hyperlink"/>
            <w:rFonts w:ascii="Cambria" w:hAnsi="Cambria" w:cs="Noto Sans"/>
            <w:color w:val="333333"/>
            <w:shd w:val="clear" w:color="auto" w:fill="FFFFFF"/>
          </w:rPr>
          <w:t>Zeiher</w:t>
        </w:r>
      </w:hyperlink>
      <w:hyperlink r:id="rId22" w:anchor="a1" w:history="1">
        <w:r w:rsidR="00891135" w:rsidRPr="002800E5">
          <w:rPr>
            <w:rStyle w:val="Hyperlink"/>
            <w:rFonts w:ascii="Cambria" w:hAnsi="Cambria" w:cs="Noto Sans"/>
            <w:color w:val="0B74B9"/>
            <w:vertAlign w:val="superscript"/>
          </w:rPr>
          <w:t>1</w:t>
        </w:r>
      </w:hyperlink>
      <w:r w:rsidR="00891135" w:rsidRPr="002800E5">
        <w:rPr>
          <w:rFonts w:ascii="Cambria" w:hAnsi="Cambria" w:cs="Open Sans"/>
          <w:color w:val="212121"/>
        </w:rPr>
        <w:t>Comorbidities of Coronary Heart Disease and the Impact on Healthcare Usage and Productivity Loss in a Nationally-Based Stud</w:t>
      </w:r>
      <w:r w:rsidR="00891135">
        <w:rPr>
          <w:rFonts w:ascii="Cambria" w:hAnsi="Cambria" w:cs="Open Sans"/>
          <w:b/>
          <w:bCs/>
          <w:color w:val="212121"/>
        </w:rPr>
        <w:t>y</w:t>
      </w:r>
      <w:r w:rsidR="00891135">
        <w:rPr>
          <w:rFonts w:ascii="Noto Sans" w:hAnsi="Noto Sans" w:cs="Noto Sans"/>
          <w:color w:val="212121"/>
          <w:sz w:val="21"/>
          <w:szCs w:val="21"/>
          <w:shd w:val="clear" w:color="auto" w:fill="FFFFFF"/>
        </w:rPr>
        <w:t>10.4172/2161-1165.1000347.</w:t>
      </w:r>
      <w:r w:rsidR="00891135" w:rsidRPr="00891135">
        <w:rPr>
          <w:rFonts w:ascii="Segoe UI" w:hAnsi="Segoe UI" w:cs="Segoe UI"/>
          <w:color w:val="424242"/>
          <w:sz w:val="21"/>
          <w:szCs w:val="21"/>
        </w:rPr>
        <w:t xml:space="preserve"> </w:t>
      </w:r>
      <w:r w:rsidR="00891135">
        <w:rPr>
          <w:rFonts w:ascii="Segoe UI" w:hAnsi="Segoe UI" w:cs="Segoe UI"/>
          <w:color w:val="424242"/>
          <w:sz w:val="21"/>
          <w:szCs w:val="21"/>
        </w:rPr>
        <w:t>Epidemiology (Sunnyvale) 2018, Vol 8(3): 347</w:t>
      </w:r>
    </w:p>
    <w:p w14:paraId="77B34314" w14:textId="024987EE" w:rsidR="00916E47" w:rsidRPr="006F7AE2" w:rsidRDefault="00916E47"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proofErr w:type="spellStart"/>
      <w:r w:rsidRPr="00916E47">
        <w:rPr>
          <w:rFonts w:ascii="Cambria" w:hAnsi="Cambria"/>
          <w:color w:val="333333"/>
          <w:sz w:val="27"/>
          <w:szCs w:val="27"/>
        </w:rPr>
        <w:t>Degrauwe</w:t>
      </w:r>
      <w:proofErr w:type="spellEnd"/>
      <w:r w:rsidRPr="00916E47">
        <w:rPr>
          <w:rFonts w:ascii="Cambria" w:hAnsi="Cambria"/>
          <w:color w:val="333333"/>
          <w:sz w:val="27"/>
          <w:szCs w:val="27"/>
        </w:rPr>
        <w:t xml:space="preserve"> S, Pilgrim T, </w:t>
      </w:r>
      <w:proofErr w:type="spellStart"/>
      <w:r w:rsidRPr="00916E47">
        <w:rPr>
          <w:rFonts w:ascii="Cambria" w:hAnsi="Cambria"/>
          <w:color w:val="333333"/>
          <w:sz w:val="27"/>
          <w:szCs w:val="27"/>
        </w:rPr>
        <w:t>Aminian</w:t>
      </w:r>
      <w:proofErr w:type="spellEnd"/>
      <w:r w:rsidRPr="00916E47">
        <w:rPr>
          <w:rFonts w:ascii="Cambria" w:hAnsi="Cambria"/>
          <w:color w:val="333333"/>
          <w:sz w:val="27"/>
          <w:szCs w:val="27"/>
        </w:rPr>
        <w:t xml:space="preserve"> A, et al. Dual antiplatelet therapy for secondary prevention of coronary artery disease. Open Heart. 2017;4(2):e000651.</w:t>
      </w:r>
      <w:hyperlink r:id="rId23" w:history="1">
        <w:r w:rsidRPr="00916E47">
          <w:rPr>
            <w:rStyle w:val="Hyperlink"/>
            <w:rFonts w:ascii="Cambria" w:hAnsi="Cambria" w:cs="Segoe UI"/>
            <w:b/>
            <w:bCs/>
            <w:color w:val="004B83"/>
          </w:rPr>
          <w:t>Article</w:t>
        </w:r>
      </w:hyperlink>
      <w:r w:rsidRPr="00916E47">
        <w:rPr>
          <w:rFonts w:ascii="Cambria" w:hAnsi="Cambria" w:cs="Segoe UI"/>
          <w:b/>
          <w:bCs/>
          <w:color w:val="333333"/>
        </w:rPr>
        <w:t> </w:t>
      </w:r>
      <w:hyperlink r:id="rId24" w:history="1">
        <w:r w:rsidRPr="00916E47">
          <w:rPr>
            <w:rStyle w:val="Hyperlink"/>
            <w:rFonts w:ascii="Cambria" w:hAnsi="Cambria" w:cs="Segoe UI"/>
            <w:b/>
            <w:bCs/>
            <w:color w:val="004B83"/>
          </w:rPr>
          <w:t>Google Scholar</w:t>
        </w:r>
      </w:hyperlink>
      <w:r w:rsidRPr="00916E47">
        <w:rPr>
          <w:rFonts w:ascii="Cambria" w:hAnsi="Cambria" w:cs="Segoe UI"/>
          <w:b/>
          <w:bCs/>
          <w:color w:val="333333"/>
        </w:rPr>
        <w:t> </w:t>
      </w:r>
    </w:p>
    <w:p w14:paraId="59F06BEF" w14:textId="40446833" w:rsidR="006F7AE2" w:rsidRPr="00193C87" w:rsidRDefault="006F7AE2"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Lee LV. Anticoagulants in coronary artery disease. </w:t>
      </w:r>
      <w:proofErr w:type="spellStart"/>
      <w:r>
        <w:rPr>
          <w:rFonts w:ascii="Segoe UI" w:hAnsi="Segoe UI" w:cs="Segoe UI"/>
          <w:color w:val="212121"/>
          <w:shd w:val="clear" w:color="auto" w:fill="FFFFFF"/>
        </w:rPr>
        <w:t>Cardiol</w:t>
      </w:r>
      <w:proofErr w:type="spellEnd"/>
      <w:r>
        <w:rPr>
          <w:rFonts w:ascii="Segoe UI" w:hAnsi="Segoe UI" w:cs="Segoe UI"/>
          <w:color w:val="212121"/>
          <w:shd w:val="clear" w:color="auto" w:fill="FFFFFF"/>
        </w:rPr>
        <w:t xml:space="preserve"> Clin. 2008 Nov;26(4):615-28.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10.1016/j.ccl.2008.07.002. PMID: 18929235.</w:t>
      </w:r>
    </w:p>
    <w:p w14:paraId="1B5E3296" w14:textId="5BF90248" w:rsidR="00193C87" w:rsidRPr="00524CFA" w:rsidRDefault="00193C87"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sidRPr="00193C87">
        <w:rPr>
          <w:rFonts w:ascii="Cambria" w:hAnsi="Cambria"/>
          <w:color w:val="212121"/>
          <w:sz w:val="26"/>
          <w:szCs w:val="26"/>
          <w:shd w:val="clear" w:color="auto" w:fill="FFFFFF"/>
        </w:rPr>
        <w:t xml:space="preserve">Lim SY. Role of statins in coronary artery disease. Chonnam Med J. 2013 Apr;49(1):1-6. </w:t>
      </w:r>
      <w:proofErr w:type="spellStart"/>
      <w:r w:rsidRPr="00193C87">
        <w:rPr>
          <w:rFonts w:ascii="Cambria" w:hAnsi="Cambria"/>
          <w:color w:val="212121"/>
          <w:sz w:val="26"/>
          <w:szCs w:val="26"/>
          <w:shd w:val="clear" w:color="auto" w:fill="FFFFFF"/>
        </w:rPr>
        <w:t>doi</w:t>
      </w:r>
      <w:proofErr w:type="spellEnd"/>
      <w:r w:rsidRPr="00193C87">
        <w:rPr>
          <w:rFonts w:ascii="Cambria" w:hAnsi="Cambria"/>
          <w:color w:val="212121"/>
          <w:sz w:val="26"/>
          <w:szCs w:val="26"/>
          <w:shd w:val="clear" w:color="auto" w:fill="FFFFFF"/>
        </w:rPr>
        <w:t xml:space="preserve">: 10.4068/cmj.2013.49.1.1. </w:t>
      </w:r>
      <w:proofErr w:type="spellStart"/>
      <w:r w:rsidRPr="00193C87">
        <w:rPr>
          <w:rFonts w:ascii="Cambria" w:hAnsi="Cambria"/>
          <w:color w:val="212121"/>
          <w:sz w:val="26"/>
          <w:szCs w:val="26"/>
          <w:shd w:val="clear" w:color="auto" w:fill="FFFFFF"/>
        </w:rPr>
        <w:t>Epub</w:t>
      </w:r>
      <w:proofErr w:type="spellEnd"/>
      <w:r w:rsidRPr="00193C87">
        <w:rPr>
          <w:rFonts w:ascii="Cambria" w:hAnsi="Cambria"/>
          <w:color w:val="212121"/>
          <w:sz w:val="26"/>
          <w:szCs w:val="26"/>
          <w:shd w:val="clear" w:color="auto" w:fill="FFFFFF"/>
        </w:rPr>
        <w:t xml:space="preserve"> 2013 Apr 25. PMID: 23678470; PMCID: PMC3651980.</w:t>
      </w:r>
    </w:p>
    <w:p w14:paraId="7AD973DF" w14:textId="4BD963F6" w:rsidR="00524CFA" w:rsidRPr="00F62D91" w:rsidRDefault="00524CFA"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proofErr w:type="spellStart"/>
      <w:r>
        <w:rPr>
          <w:rFonts w:ascii="Roboto" w:hAnsi="Roboto"/>
          <w:color w:val="212121"/>
          <w:sz w:val="26"/>
          <w:szCs w:val="26"/>
          <w:shd w:val="clear" w:color="auto" w:fill="FFFFFF"/>
        </w:rPr>
        <w:t>Casu</w:t>
      </w:r>
      <w:proofErr w:type="spellEnd"/>
      <w:r>
        <w:rPr>
          <w:rFonts w:ascii="Roboto" w:hAnsi="Roboto"/>
          <w:color w:val="212121"/>
          <w:sz w:val="26"/>
          <w:szCs w:val="26"/>
          <w:shd w:val="clear" w:color="auto" w:fill="FFFFFF"/>
        </w:rPr>
        <w:t xml:space="preserve"> G, </w:t>
      </w:r>
      <w:proofErr w:type="spellStart"/>
      <w:r>
        <w:rPr>
          <w:rFonts w:ascii="Roboto" w:hAnsi="Roboto"/>
          <w:color w:val="212121"/>
          <w:sz w:val="26"/>
          <w:szCs w:val="26"/>
          <w:shd w:val="clear" w:color="auto" w:fill="FFFFFF"/>
        </w:rPr>
        <w:t>Merella</w:t>
      </w:r>
      <w:proofErr w:type="spellEnd"/>
      <w:r>
        <w:rPr>
          <w:rFonts w:ascii="Roboto" w:hAnsi="Roboto"/>
          <w:color w:val="212121"/>
          <w:sz w:val="26"/>
          <w:szCs w:val="26"/>
          <w:shd w:val="clear" w:color="auto" w:fill="FFFFFF"/>
        </w:rPr>
        <w:t xml:space="preserve"> P. Diuretic Therapy in Heart Failure - Current Approaches. </w:t>
      </w:r>
      <w:proofErr w:type="spellStart"/>
      <w:r>
        <w:rPr>
          <w:rFonts w:ascii="Roboto" w:hAnsi="Roboto"/>
          <w:color w:val="212121"/>
          <w:sz w:val="26"/>
          <w:szCs w:val="26"/>
          <w:shd w:val="clear" w:color="auto" w:fill="FFFFFF"/>
        </w:rPr>
        <w:t>Eur</w:t>
      </w:r>
      <w:proofErr w:type="spellEnd"/>
      <w:r>
        <w:rPr>
          <w:rFonts w:ascii="Roboto" w:hAnsi="Roboto"/>
          <w:color w:val="212121"/>
          <w:sz w:val="26"/>
          <w:szCs w:val="26"/>
          <w:shd w:val="clear" w:color="auto" w:fill="FFFFFF"/>
        </w:rPr>
        <w:t xml:space="preserve"> </w:t>
      </w:r>
      <w:proofErr w:type="spellStart"/>
      <w:r>
        <w:rPr>
          <w:rFonts w:ascii="Roboto" w:hAnsi="Roboto"/>
          <w:color w:val="212121"/>
          <w:sz w:val="26"/>
          <w:szCs w:val="26"/>
          <w:shd w:val="clear" w:color="auto" w:fill="FFFFFF"/>
        </w:rPr>
        <w:t>Cardiol</w:t>
      </w:r>
      <w:proofErr w:type="spellEnd"/>
      <w:r>
        <w:rPr>
          <w:rFonts w:ascii="Roboto" w:hAnsi="Roboto"/>
          <w:color w:val="212121"/>
          <w:sz w:val="26"/>
          <w:szCs w:val="26"/>
          <w:shd w:val="clear" w:color="auto" w:fill="FFFFFF"/>
        </w:rPr>
        <w:t xml:space="preserve">. 2015 Jul;10(1):42-47. </w:t>
      </w:r>
      <w:proofErr w:type="spellStart"/>
      <w:r>
        <w:rPr>
          <w:rFonts w:ascii="Roboto" w:hAnsi="Roboto"/>
          <w:color w:val="212121"/>
          <w:sz w:val="26"/>
          <w:szCs w:val="26"/>
          <w:shd w:val="clear" w:color="auto" w:fill="FFFFFF"/>
        </w:rPr>
        <w:t>doi</w:t>
      </w:r>
      <w:proofErr w:type="spellEnd"/>
      <w:r>
        <w:rPr>
          <w:rFonts w:ascii="Roboto" w:hAnsi="Roboto"/>
          <w:color w:val="212121"/>
          <w:sz w:val="26"/>
          <w:szCs w:val="26"/>
          <w:shd w:val="clear" w:color="auto" w:fill="FFFFFF"/>
        </w:rPr>
        <w:t>: 10.15420/ecr.2015.10.01.42. PMID: 30310422; PMCID: PMC6159465.</w:t>
      </w:r>
    </w:p>
    <w:p w14:paraId="6DDCC25C" w14:textId="6275A286" w:rsidR="00F62D91" w:rsidRPr="00F62D91" w:rsidRDefault="002F07DD"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Spencer AP. Digoxin in heart failure. Crit Care </w:t>
      </w:r>
      <w:proofErr w:type="spellStart"/>
      <w:r>
        <w:rPr>
          <w:rFonts w:ascii="Segoe UI" w:hAnsi="Segoe UI" w:cs="Segoe UI"/>
          <w:color w:val="212121"/>
          <w:shd w:val="clear" w:color="auto" w:fill="FFFFFF"/>
        </w:rPr>
        <w:t>Nurs</w:t>
      </w:r>
      <w:proofErr w:type="spellEnd"/>
      <w:r>
        <w:rPr>
          <w:rFonts w:ascii="Segoe UI" w:hAnsi="Segoe UI" w:cs="Segoe UI"/>
          <w:color w:val="212121"/>
          <w:shd w:val="clear" w:color="auto" w:fill="FFFFFF"/>
        </w:rPr>
        <w:t xml:space="preserve"> Clin North Am. 2003 Dec;15(4):447-52.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10.1016/s0899-5885(02)00091-6. PMID: 14717389.</w:t>
      </w:r>
    </w:p>
    <w:p w14:paraId="17F83CE3" w14:textId="5C167F8F" w:rsidR="00F62D91" w:rsidRPr="009B4E7A" w:rsidRDefault="00F62D91"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Keating GM, Jarvis B. Carvedilol: a review of its use in chronic heart failure. Drugs. 2003;63(16):1697-741.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10.2165/00003495-200363160-00006. PMID: 12904089.</w:t>
      </w:r>
    </w:p>
    <w:p w14:paraId="66287520" w14:textId="298E721D" w:rsidR="009B4E7A" w:rsidRPr="00D45DB5" w:rsidRDefault="009B4E7A"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Zhao F, </w:t>
      </w:r>
      <w:proofErr w:type="spellStart"/>
      <w:r>
        <w:rPr>
          <w:rFonts w:ascii="Segoe UI" w:hAnsi="Segoe UI" w:cs="Segoe UI"/>
          <w:color w:val="212121"/>
          <w:shd w:val="clear" w:color="auto" w:fill="FFFFFF"/>
        </w:rPr>
        <w:t>Chaugai</w:t>
      </w:r>
      <w:proofErr w:type="spellEnd"/>
      <w:r>
        <w:rPr>
          <w:rFonts w:ascii="Segoe UI" w:hAnsi="Segoe UI" w:cs="Segoe UI"/>
          <w:color w:val="212121"/>
          <w:shd w:val="clear" w:color="auto" w:fill="FFFFFF"/>
        </w:rPr>
        <w:t xml:space="preserve"> S, Chen P, Wang Y, Wang DW. Effect of nicorandil in patients with heart failure: a systematic review and meta-analysis. Cardiovasc </w:t>
      </w:r>
      <w:proofErr w:type="spellStart"/>
      <w:r>
        <w:rPr>
          <w:rFonts w:ascii="Segoe UI" w:hAnsi="Segoe UI" w:cs="Segoe UI"/>
          <w:color w:val="212121"/>
          <w:shd w:val="clear" w:color="auto" w:fill="FFFFFF"/>
        </w:rPr>
        <w:t>Ther</w:t>
      </w:r>
      <w:proofErr w:type="spellEnd"/>
      <w:r>
        <w:rPr>
          <w:rFonts w:ascii="Segoe UI" w:hAnsi="Segoe UI" w:cs="Segoe UI"/>
          <w:color w:val="212121"/>
          <w:shd w:val="clear" w:color="auto" w:fill="FFFFFF"/>
        </w:rPr>
        <w:t xml:space="preserve">. 2014 Dec;32(6):283-96.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10.1111/1755-5922.12097. PMID: 25319832.</w:t>
      </w:r>
    </w:p>
    <w:p w14:paraId="58BC9328" w14:textId="30D2F341" w:rsidR="00D45DB5" w:rsidRPr="00D45DB5" w:rsidRDefault="00D45DB5"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Pr>
          <w:rFonts w:ascii="Roboto" w:hAnsi="Roboto"/>
          <w:color w:val="212121"/>
          <w:sz w:val="26"/>
          <w:szCs w:val="26"/>
          <w:shd w:val="clear" w:color="auto" w:fill="FFFFFF"/>
        </w:rPr>
        <w:lastRenderedPageBreak/>
        <w:t xml:space="preserve">Badu-Boateng C, Jennings R, Hammersley D. The therapeutic role of ivabradine in heart failure. </w:t>
      </w:r>
      <w:proofErr w:type="spellStart"/>
      <w:r>
        <w:rPr>
          <w:rFonts w:ascii="Roboto" w:hAnsi="Roboto"/>
          <w:color w:val="212121"/>
          <w:sz w:val="26"/>
          <w:szCs w:val="26"/>
          <w:shd w:val="clear" w:color="auto" w:fill="FFFFFF"/>
        </w:rPr>
        <w:t>Ther</w:t>
      </w:r>
      <w:proofErr w:type="spellEnd"/>
      <w:r>
        <w:rPr>
          <w:rFonts w:ascii="Roboto" w:hAnsi="Roboto"/>
          <w:color w:val="212121"/>
          <w:sz w:val="26"/>
          <w:szCs w:val="26"/>
          <w:shd w:val="clear" w:color="auto" w:fill="FFFFFF"/>
        </w:rPr>
        <w:t xml:space="preserve"> Adv Chronic Dis. 2018 Jul 4;9(11):199-207. </w:t>
      </w:r>
      <w:proofErr w:type="spellStart"/>
      <w:r>
        <w:rPr>
          <w:rFonts w:ascii="Roboto" w:hAnsi="Roboto"/>
          <w:color w:val="212121"/>
          <w:sz w:val="26"/>
          <w:szCs w:val="26"/>
          <w:shd w:val="clear" w:color="auto" w:fill="FFFFFF"/>
        </w:rPr>
        <w:t>doi</w:t>
      </w:r>
      <w:proofErr w:type="spellEnd"/>
      <w:r>
        <w:rPr>
          <w:rFonts w:ascii="Roboto" w:hAnsi="Roboto"/>
          <w:color w:val="212121"/>
          <w:sz w:val="26"/>
          <w:szCs w:val="26"/>
          <w:shd w:val="clear" w:color="auto" w:fill="FFFFFF"/>
        </w:rPr>
        <w:t>: 10.1177/2040622318784556. PMID: 30364460; PMCID: PMC6196638.</w:t>
      </w:r>
    </w:p>
    <w:p w14:paraId="27CADB62" w14:textId="24413B2E" w:rsidR="00D45DB5" w:rsidRPr="00150A7E" w:rsidRDefault="00150A7E"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Yusuf S, </w:t>
      </w:r>
      <w:proofErr w:type="spellStart"/>
      <w:r>
        <w:rPr>
          <w:rFonts w:ascii="Segoe UI" w:hAnsi="Segoe UI" w:cs="Segoe UI"/>
          <w:color w:val="212121"/>
          <w:shd w:val="clear" w:color="auto" w:fill="FFFFFF"/>
        </w:rPr>
        <w:t>Pepine</w:t>
      </w:r>
      <w:proofErr w:type="spellEnd"/>
      <w:r>
        <w:rPr>
          <w:rFonts w:ascii="Segoe UI" w:hAnsi="Segoe UI" w:cs="Segoe UI"/>
          <w:color w:val="212121"/>
          <w:shd w:val="clear" w:color="auto" w:fill="FFFFFF"/>
        </w:rPr>
        <w:t xml:space="preserve"> CJ, Garces C, </w:t>
      </w:r>
      <w:proofErr w:type="spellStart"/>
      <w:r>
        <w:rPr>
          <w:rFonts w:ascii="Segoe UI" w:hAnsi="Segoe UI" w:cs="Segoe UI"/>
          <w:color w:val="212121"/>
          <w:shd w:val="clear" w:color="auto" w:fill="FFFFFF"/>
        </w:rPr>
        <w:t>Pouleur</w:t>
      </w:r>
      <w:proofErr w:type="spellEnd"/>
      <w:r>
        <w:rPr>
          <w:rFonts w:ascii="Segoe UI" w:hAnsi="Segoe UI" w:cs="Segoe UI"/>
          <w:color w:val="212121"/>
          <w:shd w:val="clear" w:color="auto" w:fill="FFFFFF"/>
        </w:rPr>
        <w:t xml:space="preserve"> H, Salem D, Kostis J, Benedict C, Rousseau M, Bourassa M, Pitt B. Effect of enalapril on myocardial infarction and unstable angina in patients with low ejection fractions. Lancet. 1992 Nov 14;340(8829):1173-8.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10.1016/0140-6736(92)92889-n. PMID: 1359258.</w:t>
      </w:r>
    </w:p>
    <w:p w14:paraId="75881E7D" w14:textId="71962970" w:rsidR="00150A7E" w:rsidRPr="001A6FD7" w:rsidRDefault="00150A7E"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Strauss MH, Hall AS, </w:t>
      </w:r>
      <w:proofErr w:type="spellStart"/>
      <w:r>
        <w:rPr>
          <w:rFonts w:ascii="Segoe UI" w:hAnsi="Segoe UI" w:cs="Segoe UI"/>
          <w:color w:val="212121"/>
          <w:shd w:val="clear" w:color="auto" w:fill="FFFFFF"/>
        </w:rPr>
        <w:t>Narkiewicz</w:t>
      </w:r>
      <w:proofErr w:type="spellEnd"/>
      <w:r>
        <w:rPr>
          <w:rFonts w:ascii="Segoe UI" w:hAnsi="Segoe UI" w:cs="Segoe UI"/>
          <w:color w:val="212121"/>
          <w:shd w:val="clear" w:color="auto" w:fill="FFFFFF"/>
        </w:rPr>
        <w:t xml:space="preserve"> K. The Combination of Beta-Blockers and ACE Inhibitors Across the Spectrum of Cardiovascular Diseases. Cardiovasc Drugs </w:t>
      </w:r>
      <w:proofErr w:type="spellStart"/>
      <w:r>
        <w:rPr>
          <w:rFonts w:ascii="Segoe UI" w:hAnsi="Segoe UI" w:cs="Segoe UI"/>
          <w:color w:val="212121"/>
          <w:shd w:val="clear" w:color="auto" w:fill="FFFFFF"/>
        </w:rPr>
        <w:t>Ther</w:t>
      </w:r>
      <w:proofErr w:type="spellEnd"/>
      <w:r>
        <w:rPr>
          <w:rFonts w:ascii="Segoe UI" w:hAnsi="Segoe UI" w:cs="Segoe UI"/>
          <w:color w:val="212121"/>
          <w:shd w:val="clear" w:color="auto" w:fill="FFFFFF"/>
        </w:rPr>
        <w:t xml:space="preserve">. 2021 Sep 17.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10.1007/s10557-021-07248-1.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ahead of print. PMID: 34533690.</w:t>
      </w:r>
    </w:p>
    <w:p w14:paraId="28C0971D" w14:textId="79261210" w:rsidR="001A6FD7" w:rsidRPr="00112CD4" w:rsidRDefault="001A6FD7"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Pr>
          <w:rFonts w:ascii="Roboto" w:hAnsi="Roboto"/>
          <w:color w:val="212121"/>
          <w:sz w:val="26"/>
          <w:szCs w:val="26"/>
          <w:shd w:val="clear" w:color="auto" w:fill="FFFFFF"/>
        </w:rPr>
        <w:t xml:space="preserve">Han Y, </w:t>
      </w:r>
      <w:proofErr w:type="spellStart"/>
      <w:r>
        <w:rPr>
          <w:rFonts w:ascii="Roboto" w:hAnsi="Roboto"/>
          <w:color w:val="212121"/>
          <w:sz w:val="26"/>
          <w:szCs w:val="26"/>
          <w:shd w:val="clear" w:color="auto" w:fill="FFFFFF"/>
        </w:rPr>
        <w:t>Xie</w:t>
      </w:r>
      <w:proofErr w:type="spellEnd"/>
      <w:r>
        <w:rPr>
          <w:rFonts w:ascii="Roboto" w:hAnsi="Roboto"/>
          <w:color w:val="212121"/>
          <w:sz w:val="26"/>
          <w:szCs w:val="26"/>
          <w:shd w:val="clear" w:color="auto" w:fill="FFFFFF"/>
        </w:rPr>
        <w:t xml:space="preserve"> H, Liu Y, Gao P, Yang X, Shen Z. Effect of metformin on all-cause and cardiovascular mortality in patients with coronary artery diseases: a systematic review and an updated meta-analysis. Cardiovasc </w:t>
      </w:r>
      <w:proofErr w:type="spellStart"/>
      <w:r>
        <w:rPr>
          <w:rFonts w:ascii="Roboto" w:hAnsi="Roboto"/>
          <w:color w:val="212121"/>
          <w:sz w:val="26"/>
          <w:szCs w:val="26"/>
          <w:shd w:val="clear" w:color="auto" w:fill="FFFFFF"/>
        </w:rPr>
        <w:t>Diabetol</w:t>
      </w:r>
      <w:proofErr w:type="spellEnd"/>
      <w:r>
        <w:rPr>
          <w:rFonts w:ascii="Roboto" w:hAnsi="Roboto"/>
          <w:color w:val="212121"/>
          <w:sz w:val="26"/>
          <w:szCs w:val="26"/>
          <w:shd w:val="clear" w:color="auto" w:fill="FFFFFF"/>
        </w:rPr>
        <w:t xml:space="preserve">. 2019 Jul 30;18(1):96. </w:t>
      </w:r>
      <w:proofErr w:type="spellStart"/>
      <w:r>
        <w:rPr>
          <w:rFonts w:ascii="Roboto" w:hAnsi="Roboto"/>
          <w:color w:val="212121"/>
          <w:sz w:val="26"/>
          <w:szCs w:val="26"/>
          <w:shd w:val="clear" w:color="auto" w:fill="FFFFFF"/>
        </w:rPr>
        <w:t>doi</w:t>
      </w:r>
      <w:proofErr w:type="spellEnd"/>
      <w:r>
        <w:rPr>
          <w:rFonts w:ascii="Roboto" w:hAnsi="Roboto"/>
          <w:color w:val="212121"/>
          <w:sz w:val="26"/>
          <w:szCs w:val="26"/>
          <w:shd w:val="clear" w:color="auto" w:fill="FFFFFF"/>
        </w:rPr>
        <w:t>: 10.1186/s12933-019-0900-7. PMID: 31362743; PMCID: PMC6668189.</w:t>
      </w:r>
    </w:p>
    <w:p w14:paraId="448FF4BC" w14:textId="44D8E12F" w:rsidR="00112CD4" w:rsidRPr="00C26AB8" w:rsidRDefault="00112CD4"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Pr>
          <w:rFonts w:ascii="Segoe UI" w:hAnsi="Segoe UI" w:cs="Segoe UI"/>
          <w:color w:val="212121"/>
          <w:shd w:val="clear" w:color="auto" w:fill="FFFFFF"/>
        </w:rPr>
        <w:t xml:space="preserve">Bressler P, Bailey SR, Matsuda M, </w:t>
      </w:r>
      <w:proofErr w:type="spellStart"/>
      <w:r>
        <w:rPr>
          <w:rFonts w:ascii="Segoe UI" w:hAnsi="Segoe UI" w:cs="Segoe UI"/>
          <w:color w:val="212121"/>
          <w:shd w:val="clear" w:color="auto" w:fill="FFFFFF"/>
        </w:rPr>
        <w:t>DeFronzo</w:t>
      </w:r>
      <w:proofErr w:type="spellEnd"/>
      <w:r>
        <w:rPr>
          <w:rFonts w:ascii="Segoe UI" w:hAnsi="Segoe UI" w:cs="Segoe UI"/>
          <w:color w:val="212121"/>
          <w:shd w:val="clear" w:color="auto" w:fill="FFFFFF"/>
        </w:rPr>
        <w:t xml:space="preserve"> RA. Insulin resistance and coronary artery disease. </w:t>
      </w:r>
      <w:proofErr w:type="spellStart"/>
      <w:r>
        <w:rPr>
          <w:rFonts w:ascii="Segoe UI" w:hAnsi="Segoe UI" w:cs="Segoe UI"/>
          <w:color w:val="212121"/>
          <w:shd w:val="clear" w:color="auto" w:fill="FFFFFF"/>
        </w:rPr>
        <w:t>Diabetologia</w:t>
      </w:r>
      <w:proofErr w:type="spellEnd"/>
      <w:r>
        <w:rPr>
          <w:rFonts w:ascii="Segoe UI" w:hAnsi="Segoe UI" w:cs="Segoe UI"/>
          <w:color w:val="212121"/>
          <w:shd w:val="clear" w:color="auto" w:fill="FFFFFF"/>
        </w:rPr>
        <w:t xml:space="preserve">. 1996 Nov;39(11):1345-50.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10.1007/s001250050581. Erratum in: </w:t>
      </w:r>
      <w:proofErr w:type="spellStart"/>
      <w:r>
        <w:rPr>
          <w:rFonts w:ascii="Segoe UI" w:hAnsi="Segoe UI" w:cs="Segoe UI"/>
          <w:color w:val="212121"/>
          <w:shd w:val="clear" w:color="auto" w:fill="FFFFFF"/>
        </w:rPr>
        <w:t>Diabetologia</w:t>
      </w:r>
      <w:proofErr w:type="spellEnd"/>
      <w:r>
        <w:rPr>
          <w:rFonts w:ascii="Segoe UI" w:hAnsi="Segoe UI" w:cs="Segoe UI"/>
          <w:color w:val="212121"/>
          <w:shd w:val="clear" w:color="auto" w:fill="FFFFFF"/>
        </w:rPr>
        <w:t xml:space="preserve"> 1997 Mar;40(3):366. PMID: 8933003.</w:t>
      </w:r>
    </w:p>
    <w:p w14:paraId="4F43AAE7" w14:textId="2C7D033C" w:rsidR="00C26AB8" w:rsidRPr="00F62D91" w:rsidRDefault="00C26AB8" w:rsidP="00916E47">
      <w:pPr>
        <w:pStyle w:val="c-article-referencestext"/>
        <w:numPr>
          <w:ilvl w:val="0"/>
          <w:numId w:val="1"/>
        </w:numPr>
        <w:shd w:val="clear" w:color="auto" w:fill="FCFCFC"/>
        <w:spacing w:before="0" w:beforeAutospacing="0" w:after="120" w:afterAutospacing="0"/>
        <w:rPr>
          <w:rFonts w:ascii="Cambria" w:hAnsi="Cambria"/>
          <w:color w:val="333333"/>
          <w:sz w:val="27"/>
          <w:szCs w:val="27"/>
        </w:rPr>
      </w:pPr>
      <w:r>
        <w:rPr>
          <w:rFonts w:ascii="Roboto" w:hAnsi="Roboto"/>
          <w:color w:val="212121"/>
          <w:sz w:val="26"/>
          <w:szCs w:val="26"/>
          <w:shd w:val="clear" w:color="auto" w:fill="FFFFFF"/>
        </w:rPr>
        <w:t xml:space="preserve">Thompson AM, Hu T, </w:t>
      </w:r>
      <w:proofErr w:type="spellStart"/>
      <w:r>
        <w:rPr>
          <w:rFonts w:ascii="Roboto" w:hAnsi="Roboto"/>
          <w:color w:val="212121"/>
          <w:sz w:val="26"/>
          <w:szCs w:val="26"/>
          <w:shd w:val="clear" w:color="auto" w:fill="FFFFFF"/>
        </w:rPr>
        <w:t>Eshelbrenner</w:t>
      </w:r>
      <w:proofErr w:type="spellEnd"/>
      <w:r>
        <w:rPr>
          <w:rFonts w:ascii="Roboto" w:hAnsi="Roboto"/>
          <w:color w:val="212121"/>
          <w:sz w:val="26"/>
          <w:szCs w:val="26"/>
          <w:shd w:val="clear" w:color="auto" w:fill="FFFFFF"/>
        </w:rPr>
        <w:t xml:space="preserve"> CL, Reynolds K, He J, </w:t>
      </w:r>
      <w:proofErr w:type="spellStart"/>
      <w:r>
        <w:rPr>
          <w:rFonts w:ascii="Roboto" w:hAnsi="Roboto"/>
          <w:color w:val="212121"/>
          <w:sz w:val="26"/>
          <w:szCs w:val="26"/>
          <w:shd w:val="clear" w:color="auto" w:fill="FFFFFF"/>
        </w:rPr>
        <w:t>Bazzano</w:t>
      </w:r>
      <w:proofErr w:type="spellEnd"/>
      <w:r>
        <w:rPr>
          <w:rFonts w:ascii="Roboto" w:hAnsi="Roboto"/>
          <w:color w:val="212121"/>
          <w:sz w:val="26"/>
          <w:szCs w:val="26"/>
          <w:shd w:val="clear" w:color="auto" w:fill="FFFFFF"/>
        </w:rPr>
        <w:t xml:space="preserve"> LA. Antihypertensive treatment and secondary prevention of cardiovascular disease events among persons without hypertension: a meta-analysis. JAMA. 2011 Mar 2;305(9):913-22. </w:t>
      </w:r>
      <w:proofErr w:type="spellStart"/>
      <w:r>
        <w:rPr>
          <w:rFonts w:ascii="Roboto" w:hAnsi="Roboto"/>
          <w:color w:val="212121"/>
          <w:sz w:val="26"/>
          <w:szCs w:val="26"/>
          <w:shd w:val="clear" w:color="auto" w:fill="FFFFFF"/>
        </w:rPr>
        <w:t>doi</w:t>
      </w:r>
      <w:proofErr w:type="spellEnd"/>
      <w:r>
        <w:rPr>
          <w:rFonts w:ascii="Roboto" w:hAnsi="Roboto"/>
          <w:color w:val="212121"/>
          <w:sz w:val="26"/>
          <w:szCs w:val="26"/>
          <w:shd w:val="clear" w:color="auto" w:fill="FFFFFF"/>
        </w:rPr>
        <w:t>: 10.1001/jama.2011.250. Erratum in: JAMA. 2011 May 11;305(18):1862. PMID: 21364140; PMCID: PMC4313888.</w:t>
      </w:r>
    </w:p>
    <w:p w14:paraId="6906DEFC" w14:textId="77777777" w:rsidR="00F62D91" w:rsidRPr="00193C87" w:rsidRDefault="00F62D91" w:rsidP="00F62D91">
      <w:pPr>
        <w:pStyle w:val="c-article-referencestext"/>
        <w:shd w:val="clear" w:color="auto" w:fill="FCFCFC"/>
        <w:spacing w:before="0" w:beforeAutospacing="0" w:after="120" w:afterAutospacing="0"/>
        <w:ind w:left="756"/>
        <w:rPr>
          <w:rFonts w:ascii="Cambria" w:hAnsi="Cambria"/>
          <w:color w:val="333333"/>
          <w:sz w:val="27"/>
          <w:szCs w:val="27"/>
        </w:rPr>
      </w:pPr>
    </w:p>
    <w:p w14:paraId="1CAB3B64" w14:textId="77777777" w:rsidR="00916E47" w:rsidRDefault="00916E47" w:rsidP="00916E47">
      <w:pPr>
        <w:pStyle w:val="list-inline-item"/>
        <w:shd w:val="clear" w:color="auto" w:fill="FFFFFF"/>
        <w:ind w:left="756"/>
        <w:rPr>
          <w:rFonts w:ascii="Segoe UI" w:hAnsi="Segoe UI" w:cs="Segoe UI"/>
          <w:color w:val="424242"/>
          <w:sz w:val="21"/>
          <w:szCs w:val="21"/>
        </w:rPr>
      </w:pPr>
    </w:p>
    <w:p w14:paraId="5D0FDA97" w14:textId="77777777" w:rsidR="00891135" w:rsidRDefault="00891135" w:rsidP="00916E47">
      <w:pPr>
        <w:pStyle w:val="list-inline-item"/>
        <w:shd w:val="clear" w:color="auto" w:fill="FFFFFF"/>
        <w:ind w:left="645"/>
        <w:rPr>
          <w:rFonts w:ascii="Segoe UI" w:hAnsi="Segoe UI" w:cs="Segoe UI"/>
          <w:color w:val="424242"/>
          <w:sz w:val="21"/>
          <w:szCs w:val="21"/>
        </w:rPr>
      </w:pPr>
    </w:p>
    <w:p w14:paraId="1CA500A1" w14:textId="3DA7AC17" w:rsidR="002800E5" w:rsidRPr="00891135" w:rsidRDefault="002800E5" w:rsidP="00891135">
      <w:pPr>
        <w:pStyle w:val="Heading1"/>
        <w:shd w:val="clear" w:color="auto" w:fill="FFFFFF"/>
        <w:spacing w:before="0" w:beforeAutospacing="0"/>
        <w:rPr>
          <w:rStyle w:val="nowrap"/>
          <w:rFonts w:ascii="Cambria" w:hAnsi="Cambria" w:cs="Open Sans"/>
          <w:b w:val="0"/>
          <w:bCs w:val="0"/>
          <w:color w:val="212121"/>
          <w:sz w:val="24"/>
          <w:szCs w:val="24"/>
        </w:rPr>
      </w:pPr>
    </w:p>
    <w:p w14:paraId="2F1F44B0" w14:textId="77777777" w:rsidR="002800E5" w:rsidRPr="00740CC7" w:rsidRDefault="002800E5" w:rsidP="002800E5">
      <w:pPr>
        <w:pStyle w:val="ListParagraph"/>
        <w:ind w:left="756"/>
        <w:rPr>
          <w:b/>
          <w:bCs/>
          <w:sz w:val="36"/>
          <w:szCs w:val="36"/>
          <w:lang w:val="en-US"/>
        </w:rPr>
      </w:pPr>
    </w:p>
    <w:sectPr w:rsidR="002800E5" w:rsidRPr="00740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oto Sans">
    <w:altName w:val="Noto Sans"/>
    <w:charset w:val="00"/>
    <w:family w:val="swiss"/>
    <w:pitch w:val="variable"/>
    <w:sig w:usb0="E00082FF" w:usb1="400078FF" w:usb2="00000021"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7CA8"/>
    <w:multiLevelType w:val="multilevel"/>
    <w:tmpl w:val="377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01045"/>
    <w:multiLevelType w:val="hybridMultilevel"/>
    <w:tmpl w:val="61322322"/>
    <w:lvl w:ilvl="0" w:tplc="1428B7C4">
      <w:start w:val="1"/>
      <w:numFmt w:val="decimal"/>
      <w:lvlText w:val="%1."/>
      <w:lvlJc w:val="left"/>
      <w:pPr>
        <w:ind w:left="756" w:hanging="396"/>
      </w:pPr>
      <w:rPr>
        <w:rFonts w:asciiTheme="minorHAnsi" w:hAnsiTheme="minorHAnsi" w:hint="default"/>
        <w:b/>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464D21"/>
    <w:multiLevelType w:val="multilevel"/>
    <w:tmpl w:val="61D0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170643">
    <w:abstractNumId w:val="1"/>
  </w:num>
  <w:num w:numId="2" w16cid:durableId="1445996515">
    <w:abstractNumId w:val="2"/>
    <w:lvlOverride w:ilvl="0">
      <w:startOverride w:val="19"/>
    </w:lvlOverride>
  </w:num>
  <w:num w:numId="3" w16cid:durableId="102617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33"/>
    <w:rsid w:val="00056A33"/>
    <w:rsid w:val="00112CD4"/>
    <w:rsid w:val="00150A7E"/>
    <w:rsid w:val="00193C87"/>
    <w:rsid w:val="001A6FD7"/>
    <w:rsid w:val="002800E5"/>
    <w:rsid w:val="002F07DD"/>
    <w:rsid w:val="00524CFA"/>
    <w:rsid w:val="00641452"/>
    <w:rsid w:val="006F7AE2"/>
    <w:rsid w:val="00740CC7"/>
    <w:rsid w:val="00891135"/>
    <w:rsid w:val="00916E47"/>
    <w:rsid w:val="009B4E7A"/>
    <w:rsid w:val="00C26AB8"/>
    <w:rsid w:val="00D45DB5"/>
    <w:rsid w:val="00F62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26C3"/>
  <w15:chartTrackingRefBased/>
  <w15:docId w15:val="{8607ECDB-E229-4A66-B5CD-80F2ECC3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00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ement-citation">
    <w:name w:val="element-citation"/>
    <w:basedOn w:val="DefaultParagraphFont"/>
    <w:rsid w:val="00056A33"/>
  </w:style>
  <w:style w:type="character" w:customStyle="1" w:styleId="ref-journal">
    <w:name w:val="ref-journal"/>
    <w:basedOn w:val="DefaultParagraphFont"/>
    <w:rsid w:val="00056A33"/>
  </w:style>
  <w:style w:type="character" w:customStyle="1" w:styleId="ref-vol">
    <w:name w:val="ref-vol"/>
    <w:basedOn w:val="DefaultParagraphFont"/>
    <w:rsid w:val="00056A33"/>
  </w:style>
  <w:style w:type="character" w:customStyle="1" w:styleId="nowrap">
    <w:name w:val="nowrap"/>
    <w:basedOn w:val="DefaultParagraphFont"/>
    <w:rsid w:val="00056A33"/>
  </w:style>
  <w:style w:type="character" w:styleId="Hyperlink">
    <w:name w:val="Hyperlink"/>
    <w:basedOn w:val="DefaultParagraphFont"/>
    <w:uiPriority w:val="99"/>
    <w:semiHidden/>
    <w:unhideWhenUsed/>
    <w:rsid w:val="00056A33"/>
    <w:rPr>
      <w:color w:val="0000FF"/>
      <w:u w:val="single"/>
    </w:rPr>
  </w:style>
  <w:style w:type="paragraph" w:styleId="ListParagraph">
    <w:name w:val="List Paragraph"/>
    <w:basedOn w:val="Normal"/>
    <w:uiPriority w:val="34"/>
    <w:qFormat/>
    <w:rsid w:val="00740CC7"/>
    <w:pPr>
      <w:ind w:left="720"/>
      <w:contextualSpacing/>
    </w:pPr>
  </w:style>
  <w:style w:type="character" w:customStyle="1" w:styleId="ref-title">
    <w:name w:val="ref-title"/>
    <w:basedOn w:val="DefaultParagraphFont"/>
    <w:rsid w:val="00740CC7"/>
  </w:style>
  <w:style w:type="character" w:customStyle="1" w:styleId="Heading1Char">
    <w:name w:val="Heading 1 Char"/>
    <w:basedOn w:val="DefaultParagraphFont"/>
    <w:link w:val="Heading1"/>
    <w:uiPriority w:val="9"/>
    <w:rsid w:val="002800E5"/>
    <w:rPr>
      <w:rFonts w:ascii="Times New Roman" w:eastAsia="Times New Roman" w:hAnsi="Times New Roman" w:cs="Times New Roman"/>
      <w:b/>
      <w:bCs/>
      <w:kern w:val="36"/>
      <w:sz w:val="48"/>
      <w:szCs w:val="48"/>
      <w:lang w:eastAsia="en-IN"/>
    </w:rPr>
  </w:style>
  <w:style w:type="paragraph" w:customStyle="1" w:styleId="list-inline-item">
    <w:name w:val="list-inline-item"/>
    <w:basedOn w:val="Normal"/>
    <w:rsid w:val="008911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referencestext">
    <w:name w:val="c-article-references__text"/>
    <w:basedOn w:val="Normal"/>
    <w:rsid w:val="00916E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referenceslinks">
    <w:name w:val="c-article-references__links"/>
    <w:basedOn w:val="Normal"/>
    <w:rsid w:val="00916E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7381">
      <w:bodyDiv w:val="1"/>
      <w:marLeft w:val="0"/>
      <w:marRight w:val="0"/>
      <w:marTop w:val="0"/>
      <w:marBottom w:val="0"/>
      <w:divBdr>
        <w:top w:val="none" w:sz="0" w:space="0" w:color="auto"/>
        <w:left w:val="none" w:sz="0" w:space="0" w:color="auto"/>
        <w:bottom w:val="none" w:sz="0" w:space="0" w:color="auto"/>
        <w:right w:val="none" w:sz="0" w:space="0" w:color="auto"/>
      </w:divBdr>
    </w:div>
    <w:div w:id="664430331">
      <w:bodyDiv w:val="1"/>
      <w:marLeft w:val="0"/>
      <w:marRight w:val="0"/>
      <w:marTop w:val="0"/>
      <w:marBottom w:val="0"/>
      <w:divBdr>
        <w:top w:val="none" w:sz="0" w:space="0" w:color="auto"/>
        <w:left w:val="none" w:sz="0" w:space="0" w:color="auto"/>
        <w:bottom w:val="none" w:sz="0" w:space="0" w:color="auto"/>
        <w:right w:val="none" w:sz="0" w:space="0" w:color="auto"/>
      </w:divBdr>
    </w:div>
    <w:div w:id="702905197">
      <w:bodyDiv w:val="1"/>
      <w:marLeft w:val="0"/>
      <w:marRight w:val="0"/>
      <w:marTop w:val="0"/>
      <w:marBottom w:val="0"/>
      <w:divBdr>
        <w:top w:val="none" w:sz="0" w:space="0" w:color="auto"/>
        <w:left w:val="none" w:sz="0" w:space="0" w:color="auto"/>
        <w:bottom w:val="none" w:sz="0" w:space="0" w:color="auto"/>
        <w:right w:val="none" w:sz="0" w:space="0" w:color="auto"/>
      </w:divBdr>
    </w:div>
    <w:div w:id="151417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0069784" TargetMode="External"/><Relationship Id="rId13" Type="http://schemas.openxmlformats.org/officeDocument/2006/relationships/hyperlink" Target="https://www.omicsonline.org/author-profile/marieisabel-k-murray-337072/" TargetMode="External"/><Relationship Id="rId18"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micsonline.org/author-profile/andreas-m-zeiher-337077/" TargetMode="External"/><Relationship Id="rId7" Type="http://schemas.openxmlformats.org/officeDocument/2006/relationships/hyperlink" Target="https://scholar.google.com/scholar_lookup?journal=Vasc+Health+Risk+Manag&amp;title=Premature+coronary+artery+disease+in+Indians+and+its+associated+risk+factors&amp;author=M+Sharma&amp;author=NK+Ganguly&amp;volume=1&amp;publication_year=2005&amp;pages=217-225&amp;pmid=17319107&amp;" TargetMode="External"/><Relationship Id="rId12" Type="http://schemas.openxmlformats.org/officeDocument/2006/relationships/hyperlink" Target="https://scholar.google.com/scholar_lookup?journal=Am+J+Epidemiol&amp;title=Long+working+hours+and+coronary+heart+disease:+a+systematic+review+and+meta-analysis&amp;author=M.+Virtanen&amp;author=K.+Heikkil%C3%A4&amp;author=M.+Jokela&amp;author=J.E.+Ferrie&amp;author=G.D.+Batty&amp;volume=176&amp;publication_year=2012&amp;pages=586-596&amp;pmid=22952309&amp;" TargetMode="External"/><Relationship Id="rId17" Type="http://schemas.openxmlformats.org/officeDocument/2006/relationships/hyperlink" Target="https://www.omicsonline.org/author-profile/inna-n-thalmann-33707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20"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1" Type="http://schemas.openxmlformats.org/officeDocument/2006/relationships/numbering" Target="numbering.xml"/><Relationship Id="rId6" Type="http://schemas.openxmlformats.org/officeDocument/2006/relationships/hyperlink" Target="https://pubmed.ncbi.nlm.nih.gov/17319107" TargetMode="External"/><Relationship Id="rId11" Type="http://schemas.openxmlformats.org/officeDocument/2006/relationships/hyperlink" Target="https://pubmed.ncbi.nlm.nih.gov/22952309" TargetMode="External"/><Relationship Id="rId24" Type="http://schemas.openxmlformats.org/officeDocument/2006/relationships/hyperlink" Target="http://scholar.google.com/scholar_lookup?&amp;title=Dual%20antiplatelet%20therapy%20for%20secondary%20prevention%20of%20coronary%20artery%20disease&amp;journal=Open%20Heart&amp;volume=4&amp;issue=2&amp;publication_year=2017&amp;author=Degrauwe%2CS&amp;author=Pilgrim%2CT&amp;author=Aminian%2CA" TargetMode="External"/><Relationship Id="rId5" Type="http://schemas.openxmlformats.org/officeDocument/2006/relationships/hyperlink" Target="https://www.ncbi.nlm.nih.gov/pmc/articles/PMC1993956/" TargetMode="External"/><Relationship Id="rId15"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23" Type="http://schemas.openxmlformats.org/officeDocument/2006/relationships/hyperlink" Target="https://doi.org/10.1136%2Fopenhrt-2017-000651" TargetMode="External"/><Relationship Id="rId10" Type="http://schemas.openxmlformats.org/officeDocument/2006/relationships/hyperlink" Target="https://www.ncbi.nlm.nih.gov/pmc/articles/PMC3458589/" TargetMode="External"/><Relationship Id="rId19" Type="http://schemas.openxmlformats.org/officeDocument/2006/relationships/hyperlink" Target="https://www.omicsonline.org/author-profile/elias-a-mossialos-337076/" TargetMode="External"/><Relationship Id="rId4" Type="http://schemas.openxmlformats.org/officeDocument/2006/relationships/webSettings" Target="webSettings.xml"/><Relationship Id="rId9" Type="http://schemas.openxmlformats.org/officeDocument/2006/relationships/hyperlink" Target="https://scholar.google.com/scholar_lookup?journal=Circulation&amp;title=Sex,+age,+cardiovascular+risk+factors,+and+coronary+heart+disease:+a+prospective+follow-up+study+of+14+786+middle-aged+men+and+women+in+Finland&amp;author=P+Jousilahti&amp;author=E+Vartiainen&amp;author=J+Tuomilehto&amp;author=P+Puska&amp;volume=99&amp;publication_year=1999&amp;pages=1165-72&amp;pmid=10069784&amp;" TargetMode="External"/><Relationship Id="rId14" Type="http://schemas.openxmlformats.org/officeDocument/2006/relationships/hyperlink" Target="https://www.omicsonline.org/open-access/comorbidities-of-coronary-heart-disease-and-the-impact-on-healthcare-usage-and-productivity-loss-in-a-nationallybased-study-2161-1165-1000347-103392.html" TargetMode="External"/><Relationship Id="rId22" Type="http://schemas.openxmlformats.org/officeDocument/2006/relationships/hyperlink" Target="https://www.omicsonline.org/open-access/comorbidities-of-coronary-heart-disease-and-the-impact-on-healthcare-usage-and-productivity-loss-in-a-nationallybased-study-2161-1165-1000347-1033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10</cp:revision>
  <dcterms:created xsi:type="dcterms:W3CDTF">2022-06-23T04:56:00Z</dcterms:created>
  <dcterms:modified xsi:type="dcterms:W3CDTF">2022-06-30T04:36:00Z</dcterms:modified>
</cp:coreProperties>
</file>