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4C8D" w14:textId="15299A92" w:rsidR="00A45D7D" w:rsidRDefault="003464E3">
      <w:r>
        <w:t xml:space="preserve">Q: What is the Compliance Dashboard? </w:t>
      </w:r>
    </w:p>
    <w:p w14:paraId="1A21A1F1" w14:textId="48AEAA1D" w:rsidR="003F0A10" w:rsidRDefault="003F0A10">
      <w:r>
        <w:t xml:space="preserve">A: </w:t>
      </w:r>
      <w:r w:rsidR="004B6F49">
        <w:t>This is the place where the US</w:t>
      </w:r>
      <w:r>
        <w:t xml:space="preserve"> and Canada employees can view their pending Documents, Trainings and Timesheets, whichever of the above 3 are applicable to their location.</w:t>
      </w:r>
    </w:p>
    <w:p w14:paraId="6FC0FDD0" w14:textId="7F8BF6AF" w:rsidR="003F0A10" w:rsidRDefault="003F0A10">
      <w:r>
        <w:t>Q: How to Navigate to the Compliance DashBoard?</w:t>
      </w:r>
    </w:p>
    <w:p w14:paraId="3783A471" w14:textId="43F16743" w:rsidR="003F0A10" w:rsidRDefault="003F0A10">
      <w:r>
        <w:t xml:space="preserve">A: </w:t>
      </w:r>
      <w:r w:rsidR="00B160A3">
        <w:t>There are two ways of navigating to the Compliance dashboard.</w:t>
      </w:r>
    </w:p>
    <w:p w14:paraId="1F135D1E" w14:textId="62A49BD0" w:rsidR="00B160A3" w:rsidRDefault="00B160A3" w:rsidP="00B160A3">
      <w:pPr>
        <w:pStyle w:val="ListParagraph"/>
        <w:numPr>
          <w:ilvl w:val="0"/>
          <w:numId w:val="2"/>
        </w:numPr>
      </w:pPr>
      <w:r>
        <w:t xml:space="preserve">Clicking the </w:t>
      </w:r>
      <w:r w:rsidR="0019353C">
        <w:t>“</w:t>
      </w:r>
      <w:r w:rsidR="00EC3458">
        <w:t>Take Action</w:t>
      </w:r>
      <w:r w:rsidR="0019353C">
        <w:t>”</w:t>
      </w:r>
      <w:r>
        <w:t xml:space="preserve"> button on the Compliance card in infyme home.</w:t>
      </w:r>
    </w:p>
    <w:p w14:paraId="311D4490" w14:textId="25EC769C" w:rsidR="009972BE" w:rsidRDefault="005D58A4" w:rsidP="009972BE">
      <w:pPr>
        <w:pStyle w:val="ListParagraph"/>
        <w:ind w:left="1080"/>
      </w:pPr>
      <w:r>
        <w:rPr>
          <w:noProof/>
        </w:rPr>
        <w:drawing>
          <wp:inline distT="0" distB="0" distL="0" distR="0" wp14:anchorId="7EC8ECC9" wp14:editId="61175CD0">
            <wp:extent cx="939800" cy="120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9800" cy="1206500"/>
                    </a:xfrm>
                    <a:prstGeom prst="rect">
                      <a:avLst/>
                    </a:prstGeom>
                    <a:noFill/>
                    <a:ln>
                      <a:noFill/>
                    </a:ln>
                  </pic:spPr>
                </pic:pic>
              </a:graphicData>
            </a:graphic>
          </wp:inline>
        </w:drawing>
      </w:r>
    </w:p>
    <w:p w14:paraId="2CD16442" w14:textId="3913E599" w:rsidR="0019353C" w:rsidRDefault="008A6834" w:rsidP="00FB441A">
      <w:pPr>
        <w:pStyle w:val="ListParagraph"/>
        <w:numPr>
          <w:ilvl w:val="0"/>
          <w:numId w:val="2"/>
        </w:numPr>
      </w:pPr>
      <w:r>
        <w:t xml:space="preserve">Clicking </w:t>
      </w:r>
      <w:r w:rsidR="0019353C">
        <w:t>“View Details”</w:t>
      </w:r>
      <w:r>
        <w:t xml:space="preserve"> on the Compliance card present on the top right corner of Official tab under Profile.</w:t>
      </w:r>
      <w:r w:rsidR="0019353C" w:rsidRPr="0019353C">
        <w:t xml:space="preserve"> </w:t>
      </w:r>
      <w:r w:rsidR="0089417F">
        <w:rPr>
          <w:noProof/>
        </w:rPr>
        <w:drawing>
          <wp:inline distT="0" distB="0" distL="0" distR="0" wp14:anchorId="4C23C6D3" wp14:editId="7318F8F4">
            <wp:extent cx="6858000" cy="1600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600200"/>
                    </a:xfrm>
                    <a:prstGeom prst="rect">
                      <a:avLst/>
                    </a:prstGeom>
                    <a:noFill/>
                    <a:ln>
                      <a:noFill/>
                    </a:ln>
                  </pic:spPr>
                </pic:pic>
              </a:graphicData>
            </a:graphic>
          </wp:inline>
        </w:drawing>
      </w:r>
    </w:p>
    <w:p w14:paraId="6BB23C71" w14:textId="1D075CE2" w:rsidR="008F7ADA" w:rsidRDefault="008F7ADA" w:rsidP="008F7ADA">
      <w:r>
        <w:t>Q: Why is there a “</w:t>
      </w:r>
      <w:r w:rsidR="009F586D">
        <w:rPr>
          <w:rFonts w:ascii="Roboto" w:hAnsi="Roboto"/>
          <w:color w:val="000000"/>
          <w:shd w:val="clear" w:color="auto" w:fill="DEEBFF"/>
        </w:rPr>
        <w:t>For the submission of timesheets and acknowledgement of documents, please ensure VPN connection.</w:t>
      </w:r>
      <w:r w:rsidR="00D3286A">
        <w:rPr>
          <w:rFonts w:ascii="Roboto" w:hAnsi="Roboto"/>
          <w:color w:val="000000"/>
          <w:shd w:val="clear" w:color="auto" w:fill="DEEBFF"/>
        </w:rPr>
        <w:t>.</w:t>
      </w:r>
      <w:r>
        <w:t>”</w:t>
      </w:r>
      <w:r w:rsidR="00095667">
        <w:t xml:space="preserve"> band at the top of the Compliance Dashboard Page?</w:t>
      </w:r>
    </w:p>
    <w:p w14:paraId="7B1F0540" w14:textId="3B246734" w:rsidR="00095667" w:rsidRDefault="00095667" w:rsidP="008F7ADA">
      <w:r>
        <w:t xml:space="preserve">A: </w:t>
      </w:r>
      <w:r w:rsidR="00D3286A">
        <w:t xml:space="preserve">This is added because Some of the “click here” links to complete the pending actions can be accessed through the intranet only </w:t>
      </w:r>
      <w:r w:rsidR="00DF7FCC">
        <w:t>and</w:t>
      </w:r>
      <w:r w:rsidR="00D3286A">
        <w:t xml:space="preserve"> require VPN enablement. </w:t>
      </w:r>
    </w:p>
    <w:p w14:paraId="0C85D459" w14:textId="77777777" w:rsidR="003F7AE2" w:rsidRDefault="003F7AE2" w:rsidP="003F7AE2">
      <w:r>
        <w:t>Q: How to I increase my Compliance Score?</w:t>
      </w:r>
    </w:p>
    <w:p w14:paraId="0885C88C" w14:textId="0BF778A1" w:rsidR="003F7AE2" w:rsidRDefault="003F7AE2" w:rsidP="008F7ADA">
      <w:r>
        <w:t xml:space="preserve">A: By clicking the click here link next to the pending items, you will be taken to the corresponding page, viz TimeIt for timesheets, Harmony for documents or Lex for Trainings. After completing the item, you can come back to the compliance dashboard and refresh, your increased score will be reflected in the dashboard. </w:t>
      </w:r>
    </w:p>
    <w:p w14:paraId="5158A617" w14:textId="77777777" w:rsidR="003F7AE2" w:rsidRDefault="003F7AE2" w:rsidP="003F7AE2">
      <w:r>
        <w:t>Q: After submitting my timesheet, the score change isn’t immediately reflected in the Compliance Dashboard. Why is this?</w:t>
      </w:r>
    </w:p>
    <w:p w14:paraId="7B784E16" w14:textId="50E8A32F" w:rsidR="003F7AE2" w:rsidRDefault="003F7AE2" w:rsidP="003F7AE2">
      <w:r>
        <w:t>A: Due to certain constraints, the timesheet score change will not be immediately reflected. However, it will be reflected in 15 minutes.</w:t>
      </w:r>
    </w:p>
    <w:p w14:paraId="6EDE21E6" w14:textId="3A704B39" w:rsidR="00C32611" w:rsidRDefault="00C32611" w:rsidP="008F7ADA">
      <w:r>
        <w:t>Q: What are the Score Card Parameters displayed on the top right corner of the Dashboard?</w:t>
      </w:r>
    </w:p>
    <w:p w14:paraId="0102AFFD" w14:textId="2F8E4066" w:rsidR="00C32611" w:rsidRDefault="00C32611" w:rsidP="008F7ADA">
      <w:r>
        <w:t xml:space="preserve">A: </w:t>
      </w:r>
      <w:r w:rsidR="001427B6">
        <w:t>This card</w:t>
      </w:r>
      <w:r>
        <w:t xml:space="preserve"> </w:t>
      </w:r>
      <w:r w:rsidR="001427B6">
        <w:t xml:space="preserve">has information about the significance of your compliance score and the benefits you achieve by maintaining a high compliance score. </w:t>
      </w:r>
    </w:p>
    <w:p w14:paraId="3DD07705" w14:textId="55EB7AFC" w:rsidR="00DD5339" w:rsidRDefault="00F43BCE" w:rsidP="00837B36">
      <w:r>
        <w:t xml:space="preserve">Q: </w:t>
      </w:r>
      <w:r w:rsidR="00A45D7D">
        <w:t xml:space="preserve">How should my compliance dashboard look if </w:t>
      </w:r>
      <w:r w:rsidR="00DD5339">
        <w:t>I have completed all my compliances?</w:t>
      </w:r>
    </w:p>
    <w:p w14:paraId="000E9FC5" w14:textId="779B4D1E" w:rsidR="00F43BCE" w:rsidRDefault="00F43BCE" w:rsidP="00837B36">
      <w:r>
        <w:t xml:space="preserve">A: It should look as shown below. 100% overall score and 100% score in all the individual categories. </w:t>
      </w:r>
    </w:p>
    <w:p w14:paraId="66ACBFF7" w14:textId="412F5C74" w:rsidR="00A256C5" w:rsidRDefault="009F586D">
      <w:r>
        <w:rPr>
          <w:noProof/>
        </w:rPr>
        <w:lastRenderedPageBreak/>
        <w:drawing>
          <wp:inline distT="0" distB="0" distL="0" distR="0" wp14:anchorId="10C76F46" wp14:editId="7D9E90EC">
            <wp:extent cx="544830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1695450"/>
                    </a:xfrm>
                    <a:prstGeom prst="rect">
                      <a:avLst/>
                    </a:prstGeom>
                    <a:noFill/>
                    <a:ln>
                      <a:noFill/>
                    </a:ln>
                  </pic:spPr>
                </pic:pic>
              </a:graphicData>
            </a:graphic>
          </wp:inline>
        </w:drawing>
      </w:r>
    </w:p>
    <w:p w14:paraId="2FAA0ABA" w14:textId="614223FA" w:rsidR="00841467" w:rsidRDefault="00841467" w:rsidP="00841467">
      <w:r>
        <w:t xml:space="preserve">Q : What if I have no pending compliances in </w:t>
      </w:r>
      <w:r w:rsidR="001175ED">
        <w:t>one</w:t>
      </w:r>
      <w:r>
        <w:t xml:space="preserve"> </w:t>
      </w:r>
      <w:r w:rsidR="001175ED">
        <w:t xml:space="preserve">or more </w:t>
      </w:r>
      <w:r>
        <w:t>category?</w:t>
      </w:r>
    </w:p>
    <w:p w14:paraId="0FC86FD8" w14:textId="6D86D73F" w:rsidR="00841467" w:rsidRDefault="00841467" w:rsidP="00841467">
      <w:r>
        <w:t xml:space="preserve">A: </w:t>
      </w:r>
      <w:r w:rsidR="002F6D38">
        <w:t>If you have no trainings pending, You will see 0 Trainings pending</w:t>
      </w:r>
      <w:r w:rsidR="00D564A0">
        <w:t xml:space="preserve"> as shown in the below screenshot. </w:t>
      </w:r>
    </w:p>
    <w:p w14:paraId="5E13D56A" w14:textId="77777777" w:rsidR="00841467" w:rsidRDefault="00841467" w:rsidP="00841467">
      <w:pPr>
        <w:pStyle w:val="ListParagraph"/>
      </w:pPr>
    </w:p>
    <w:p w14:paraId="6F240D80" w14:textId="0A1A7942" w:rsidR="00DD5339" w:rsidRDefault="009F586D" w:rsidP="00EF7D0A">
      <w:r>
        <w:rPr>
          <w:noProof/>
        </w:rPr>
        <w:drawing>
          <wp:inline distT="0" distB="0" distL="0" distR="0" wp14:anchorId="5B7AB63A" wp14:editId="5D0B0061">
            <wp:extent cx="5715000" cy="1860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860550"/>
                    </a:xfrm>
                    <a:prstGeom prst="rect">
                      <a:avLst/>
                    </a:prstGeom>
                    <a:noFill/>
                    <a:ln>
                      <a:noFill/>
                    </a:ln>
                  </pic:spPr>
                </pic:pic>
              </a:graphicData>
            </a:graphic>
          </wp:inline>
        </w:drawing>
      </w:r>
    </w:p>
    <w:p w14:paraId="43A6FDD5" w14:textId="27F3E3DD" w:rsidR="001175ED" w:rsidRDefault="001175ED" w:rsidP="00EF7D0A">
      <w:r>
        <w:t>Q:  How is the overall score calculated?</w:t>
      </w:r>
    </w:p>
    <w:p w14:paraId="52795A71" w14:textId="7998CFCD" w:rsidR="001175ED" w:rsidRDefault="001175ED" w:rsidP="00EF7D0A">
      <w:r>
        <w:t xml:space="preserve">A: The overall score is the average of the </w:t>
      </w:r>
      <w:r w:rsidR="005153F5">
        <w:t xml:space="preserve">categories for which the user has compliances. For example, in the above screenshot, overall score = </w:t>
      </w:r>
      <w:r w:rsidR="000670F8">
        <w:t>(Documents score + Timesheet score)/2. For a user who has compliances in all 3 categories, overall = sum of 3 scores/3</w:t>
      </w:r>
      <w:r w:rsidR="005D374C">
        <w:t xml:space="preserve">. </w:t>
      </w:r>
    </w:p>
    <w:p w14:paraId="3B7A6165" w14:textId="4A5272B1" w:rsidR="00D564A0" w:rsidRDefault="00D564A0" w:rsidP="00EF7D0A">
      <w:r>
        <w:t>Q: What if no compliances</w:t>
      </w:r>
      <w:r w:rsidR="008268AD">
        <w:t xml:space="preserve"> have been assigned to me</w:t>
      </w:r>
      <w:r>
        <w:t>?</w:t>
      </w:r>
    </w:p>
    <w:p w14:paraId="20B3613F" w14:textId="77777777" w:rsidR="006D064F" w:rsidRDefault="00D564A0" w:rsidP="00EF7D0A">
      <w:pPr>
        <w:rPr>
          <w:noProof/>
        </w:rPr>
      </w:pPr>
      <w:r>
        <w:t>A:</w:t>
      </w:r>
      <w:r w:rsidR="008268AD" w:rsidRPr="008268AD">
        <w:t xml:space="preserve"> </w:t>
      </w:r>
      <w:r w:rsidR="008268AD">
        <w:t xml:space="preserve">Your overall score will be N/a and you will see 0 pending in each individual card. </w:t>
      </w:r>
    </w:p>
    <w:p w14:paraId="66F1124E" w14:textId="47F25B61" w:rsidR="00D564A0" w:rsidRDefault="009F586D" w:rsidP="00EF7D0A">
      <w:r>
        <w:rPr>
          <w:noProof/>
        </w:rPr>
        <w:drawing>
          <wp:inline distT="0" distB="0" distL="0" distR="0" wp14:anchorId="4BC3A638" wp14:editId="120FAD66">
            <wp:extent cx="5715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18600EED" w14:textId="76D232A8" w:rsidR="00052287" w:rsidRDefault="00052287" w:rsidP="00EF7D0A">
      <w:r>
        <w:t>Q: How is my documents score calculated?</w:t>
      </w:r>
    </w:p>
    <w:p w14:paraId="78EE5F66" w14:textId="02BBF013" w:rsidR="00052287" w:rsidRDefault="00052287" w:rsidP="00EF7D0A">
      <w:r>
        <w:lastRenderedPageBreak/>
        <w:t xml:space="preserve">A: You will be assigned a </w:t>
      </w:r>
      <w:r w:rsidR="00435B3B">
        <w:t>fixed number of documents/policy compliances for your entire tenure at I</w:t>
      </w:r>
      <w:r w:rsidR="00117563">
        <w:t xml:space="preserve">nfosys. So your score will be calculated as (number of completed </w:t>
      </w:r>
      <w:r w:rsidR="00172895">
        <w:t>document/policy compliances</w:t>
      </w:r>
      <w:r w:rsidR="00117563">
        <w:t>)</w:t>
      </w:r>
      <w:r w:rsidR="00172895">
        <w:t>*100/ total number</w:t>
      </w:r>
      <w:r w:rsidR="00911D8E">
        <w:t>.</w:t>
      </w:r>
    </w:p>
    <w:p w14:paraId="7EF5A838" w14:textId="64B51B4F" w:rsidR="00911D8E" w:rsidRDefault="00911D8E" w:rsidP="00EF7D0A">
      <w:r>
        <w:t>Q: How is my trainings score calculated?</w:t>
      </w:r>
    </w:p>
    <w:p w14:paraId="12E59B91" w14:textId="4EE56066" w:rsidR="00911D8E" w:rsidRDefault="00911D8E" w:rsidP="00EF7D0A">
      <w:r>
        <w:t xml:space="preserve">A: Your trainings score is calculated for </w:t>
      </w:r>
      <w:r w:rsidR="00A40DED">
        <w:t>every</w:t>
      </w:r>
      <w:r>
        <w:t xml:space="preserve"> service anniversary</w:t>
      </w:r>
      <w:r w:rsidR="00A40DED">
        <w:t xml:space="preserve">. There are recurrent trainings which will be reassigned to you annually/ biannually. Ie. These will be reassigned, and not added to the total number of trainings that you have. </w:t>
      </w:r>
      <w:r w:rsidR="006E2B49">
        <w:t>Suppose, you had a total of 8 trainings to complete, out of which 1 was recurrent,</w:t>
      </w:r>
      <w:r w:rsidR="004D2AE3">
        <w:t xml:space="preserve"> and you completed only that in that year, your score = completed/total = (1/8) *100</w:t>
      </w:r>
      <w:r w:rsidR="00D233F6">
        <w:t>.</w:t>
      </w:r>
    </w:p>
    <w:p w14:paraId="50B01391" w14:textId="4B9FD383" w:rsidR="00D233F6" w:rsidRDefault="00D233F6" w:rsidP="00EF7D0A">
      <w:r>
        <w:t xml:space="preserve">If in the next year, this recurrent training was assigned again, your score =0/8 . Note that the completion level of the recurrent training is reset, while the total remains unchanged. </w:t>
      </w:r>
    </w:p>
    <w:p w14:paraId="148BE4D7" w14:textId="3687AB54" w:rsidR="00D233F6" w:rsidRDefault="00D233F6" w:rsidP="00EF7D0A">
      <w:r>
        <w:t>Q: How is my timesheet Score calc</w:t>
      </w:r>
      <w:r w:rsidR="00991A1E">
        <w:t>ulated?</w:t>
      </w:r>
    </w:p>
    <w:p w14:paraId="0DC4973A" w14:textId="6786F7BB" w:rsidR="00991A1E" w:rsidRDefault="00991A1E" w:rsidP="00EF7D0A">
      <w:r>
        <w:t>A: Timesheet score is calculated based on 2 cycles per year</w:t>
      </w:r>
      <w:r w:rsidR="006A0E3C">
        <w:t xml:space="preserve">. </w:t>
      </w:r>
    </w:p>
    <w:p w14:paraId="3FDAA56A" w14:textId="3FE942DF" w:rsidR="006A0E3C" w:rsidRDefault="006A0E3C" w:rsidP="00EF7D0A">
      <w:r>
        <w:tab/>
        <w:t>Cycle 1: April 1 to September</w:t>
      </w:r>
      <w:r w:rsidR="009A59BE">
        <w:t xml:space="preserve"> 30.</w:t>
      </w:r>
    </w:p>
    <w:p w14:paraId="72B7425F" w14:textId="6CA6F7F9" w:rsidR="009A59BE" w:rsidRDefault="009A59BE" w:rsidP="00EF7D0A">
      <w:r>
        <w:tab/>
        <w:t>Cyce 2: October 1 to March 31.</w:t>
      </w:r>
    </w:p>
    <w:p w14:paraId="5C83EEE3" w14:textId="4ACA03F3" w:rsidR="00FF6DE3" w:rsidRDefault="00FF6DE3" w:rsidP="00EF7D0A">
      <w:r>
        <w:t xml:space="preserve">Total is calculated as the number of </w:t>
      </w:r>
      <w:r w:rsidR="007B07EE">
        <w:t xml:space="preserve">completed </w:t>
      </w:r>
      <w:r>
        <w:t>weeks from the start of cycle till current date</w:t>
      </w:r>
      <w:r w:rsidR="007B07EE">
        <w:t>.</w:t>
      </w:r>
    </w:p>
    <w:p w14:paraId="43065C77" w14:textId="304093D4" w:rsidR="007B07EE" w:rsidRDefault="007B07EE" w:rsidP="00EF7D0A">
      <w:r>
        <w:t>Score = Number of Submitted TimeSheets</w:t>
      </w:r>
      <w:r w:rsidR="00B17D48">
        <w:t>*100</w:t>
      </w:r>
      <w:r>
        <w:t>/ Total number of weeks till now</w:t>
      </w:r>
      <w:r w:rsidR="00B17D48">
        <w:t>.</w:t>
      </w:r>
    </w:p>
    <w:p w14:paraId="3873E87C" w14:textId="226418B7" w:rsidR="00B26DE5" w:rsidRDefault="00B26DE5" w:rsidP="00EF7D0A">
      <w:r>
        <w:t xml:space="preserve">Q: </w:t>
      </w:r>
      <w:r w:rsidR="000E4C51">
        <w:t xml:space="preserve">In which cycle will I see the pending timesheet </w:t>
      </w:r>
      <w:r w:rsidR="00782571">
        <w:t xml:space="preserve">or the last week of a cycle, say from 25 Sep 2022 to </w:t>
      </w:r>
      <w:r w:rsidR="000E4C51">
        <w:t>1 Oct 2022?</w:t>
      </w:r>
    </w:p>
    <w:p w14:paraId="7514D7E1" w14:textId="499B2AD1" w:rsidR="000E4C51" w:rsidRDefault="000E4C51" w:rsidP="00EF7D0A">
      <w:r>
        <w:t>A:</w:t>
      </w:r>
      <w:r w:rsidR="00AB0428">
        <w:t xml:space="preserve">The timesheet for any week will be appearing under pending compliances in  the subsequent week. Therefore, the timesheet for </w:t>
      </w:r>
      <w:r w:rsidR="00A47D61">
        <w:t xml:space="preserve">25 Sep 2022 to 1 Oct 2022  will be appearing in the October cycle only. </w:t>
      </w:r>
    </w:p>
    <w:p w14:paraId="20409B37" w14:textId="77777777" w:rsidR="00D25FCE" w:rsidRDefault="00D25FCE" w:rsidP="00D25FCE">
      <w:r>
        <w:t>Q: What do the colors of the piechart signify?</w:t>
      </w:r>
    </w:p>
    <w:p w14:paraId="698F4AA5" w14:textId="77777777" w:rsidR="00D25FCE" w:rsidRDefault="00D25FCE" w:rsidP="00D25FCE">
      <w:r>
        <w:t xml:space="preserve">A: Color of the piecharts signify the level of completion. Also the messages vary according to the score. </w:t>
      </w:r>
    </w:p>
    <w:p w14:paraId="392F8897" w14:textId="77777777" w:rsidR="00D25FCE" w:rsidRDefault="00D25FCE" w:rsidP="00D25FCE">
      <w:r>
        <w:t>For individual category cards:</w:t>
      </w:r>
    </w:p>
    <w:tbl>
      <w:tblPr>
        <w:tblW w:w="4800" w:type="dxa"/>
        <w:tblCellMar>
          <w:left w:w="0" w:type="dxa"/>
          <w:right w:w="0" w:type="dxa"/>
        </w:tblCellMar>
        <w:tblLook w:val="04A0" w:firstRow="1" w:lastRow="0" w:firstColumn="1" w:lastColumn="0" w:noHBand="0" w:noVBand="1"/>
      </w:tblPr>
      <w:tblGrid>
        <w:gridCol w:w="960"/>
        <w:gridCol w:w="960"/>
        <w:gridCol w:w="1920"/>
        <w:gridCol w:w="960"/>
      </w:tblGrid>
      <w:tr w:rsidR="00D25FCE" w14:paraId="7AFE78AD" w14:textId="77777777" w:rsidTr="00A13E96">
        <w:trPr>
          <w:trHeight w:val="290"/>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F97CADD"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Score</w:t>
            </w:r>
          </w:p>
        </w:tc>
        <w:tc>
          <w:tcPr>
            <w:tcW w:w="9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D4E8177"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piechart</w:t>
            </w:r>
          </w:p>
        </w:tc>
        <w:tc>
          <w:tcPr>
            <w:tcW w:w="192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37C96B67"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message and color</w:t>
            </w:r>
          </w:p>
        </w:tc>
        <w:tc>
          <w:tcPr>
            <w:tcW w:w="960" w:type="dxa"/>
            <w:tcBorders>
              <w:top w:val="single" w:sz="8" w:space="0" w:color="auto"/>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14:paraId="452A1899"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 </w:t>
            </w:r>
          </w:p>
        </w:tc>
      </w:tr>
      <w:tr w:rsidR="00D25FCE" w14:paraId="5E5312A9" w14:textId="77777777" w:rsidTr="00A13E96">
        <w:trPr>
          <w:trHeight w:val="300"/>
        </w:trPr>
        <w:tc>
          <w:tcPr>
            <w:tcW w:w="960" w:type="dxa"/>
            <w:tcBorders>
              <w:top w:val="nil"/>
              <w:left w:val="single" w:sz="8" w:space="0" w:color="auto"/>
              <w:bottom w:val="single" w:sz="8" w:space="0" w:color="D1D1D1"/>
              <w:right w:val="single" w:sz="8" w:space="0" w:color="D1D1D1"/>
            </w:tcBorders>
            <w:shd w:val="clear" w:color="auto" w:fill="FFFFFF"/>
            <w:tcMar>
              <w:top w:w="0" w:type="dxa"/>
              <w:left w:w="108" w:type="dxa"/>
              <w:bottom w:w="0" w:type="dxa"/>
              <w:right w:w="108" w:type="dxa"/>
            </w:tcMar>
            <w:vAlign w:val="center"/>
            <w:hideMark/>
          </w:tcPr>
          <w:p w14:paraId="0F686F8D" w14:textId="77777777" w:rsidR="00D25FCE" w:rsidRDefault="00D25FCE" w:rsidP="00A13E96">
            <w:pPr>
              <w:jc w:val="right"/>
              <w:rPr>
                <w:rFonts w:ascii="Segoe UI" w:hAnsi="Segoe UI" w:cs="Segoe UI"/>
                <w:color w:val="242424"/>
                <w:sz w:val="16"/>
                <w:szCs w:val="16"/>
              </w:rPr>
            </w:pPr>
            <w:r>
              <w:rPr>
                <w:rFonts w:ascii="Segoe UI" w:hAnsi="Segoe UI" w:cs="Segoe UI"/>
                <w:color w:val="242424"/>
                <w:sz w:val="16"/>
                <w:szCs w:val="16"/>
              </w:rPr>
              <w:t>100</w:t>
            </w:r>
          </w:p>
        </w:tc>
        <w:tc>
          <w:tcPr>
            <w:tcW w:w="960" w:type="dxa"/>
            <w:tcBorders>
              <w:top w:val="nil"/>
              <w:left w:val="nil"/>
              <w:bottom w:val="single" w:sz="8" w:space="0" w:color="D1D1D1"/>
              <w:right w:val="single" w:sz="8" w:space="0" w:color="D1D1D1"/>
            </w:tcBorders>
            <w:shd w:val="clear" w:color="auto" w:fill="FFFFFF"/>
            <w:tcMar>
              <w:top w:w="0" w:type="dxa"/>
              <w:left w:w="108" w:type="dxa"/>
              <w:bottom w:w="0" w:type="dxa"/>
              <w:right w:w="108" w:type="dxa"/>
            </w:tcMar>
            <w:vAlign w:val="center"/>
            <w:hideMark/>
          </w:tcPr>
          <w:p w14:paraId="348C1A83"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green</w:t>
            </w:r>
          </w:p>
        </w:tc>
        <w:tc>
          <w:tcPr>
            <w:tcW w:w="2880" w:type="dxa"/>
            <w:gridSpan w:val="2"/>
            <w:tcBorders>
              <w:top w:val="nil"/>
              <w:left w:val="nil"/>
              <w:bottom w:val="single" w:sz="8" w:space="0" w:color="D1D1D1"/>
              <w:right w:val="single" w:sz="8" w:space="0" w:color="000000"/>
            </w:tcBorders>
            <w:shd w:val="clear" w:color="auto" w:fill="FFFFFF"/>
            <w:tcMar>
              <w:top w:w="0" w:type="dxa"/>
              <w:left w:w="108" w:type="dxa"/>
              <w:bottom w:w="0" w:type="dxa"/>
              <w:right w:w="108" w:type="dxa"/>
            </w:tcMar>
            <w:vAlign w:val="center"/>
            <w:hideMark/>
          </w:tcPr>
          <w:p w14:paraId="7DE1E675"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you are all done, green</w:t>
            </w:r>
          </w:p>
        </w:tc>
      </w:tr>
      <w:tr w:rsidR="00D25FCE" w14:paraId="56CB8DD1" w14:textId="77777777" w:rsidTr="00A13E96">
        <w:trPr>
          <w:trHeight w:val="300"/>
        </w:trPr>
        <w:tc>
          <w:tcPr>
            <w:tcW w:w="960" w:type="dxa"/>
            <w:tcBorders>
              <w:top w:val="nil"/>
              <w:left w:val="single" w:sz="8" w:space="0" w:color="auto"/>
              <w:bottom w:val="single" w:sz="8" w:space="0" w:color="D1D1D1"/>
              <w:right w:val="single" w:sz="8" w:space="0" w:color="D1D1D1"/>
            </w:tcBorders>
            <w:shd w:val="clear" w:color="auto" w:fill="FFFFFF"/>
            <w:tcMar>
              <w:top w:w="0" w:type="dxa"/>
              <w:left w:w="108" w:type="dxa"/>
              <w:bottom w:w="0" w:type="dxa"/>
              <w:right w:w="108" w:type="dxa"/>
            </w:tcMar>
            <w:vAlign w:val="center"/>
            <w:hideMark/>
          </w:tcPr>
          <w:p w14:paraId="33FFB67C"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&gt;=75</w:t>
            </w:r>
          </w:p>
        </w:tc>
        <w:tc>
          <w:tcPr>
            <w:tcW w:w="960" w:type="dxa"/>
            <w:tcBorders>
              <w:top w:val="nil"/>
              <w:left w:val="nil"/>
              <w:bottom w:val="single" w:sz="8" w:space="0" w:color="D1D1D1"/>
              <w:right w:val="single" w:sz="8" w:space="0" w:color="D1D1D1"/>
            </w:tcBorders>
            <w:shd w:val="clear" w:color="auto" w:fill="FFFFFF"/>
            <w:tcMar>
              <w:top w:w="0" w:type="dxa"/>
              <w:left w:w="108" w:type="dxa"/>
              <w:bottom w:w="0" w:type="dxa"/>
              <w:right w:w="108" w:type="dxa"/>
            </w:tcMar>
            <w:vAlign w:val="center"/>
            <w:hideMark/>
          </w:tcPr>
          <w:p w14:paraId="74088BC2"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green </w:t>
            </w:r>
          </w:p>
        </w:tc>
        <w:tc>
          <w:tcPr>
            <w:tcW w:w="2880" w:type="dxa"/>
            <w:gridSpan w:val="2"/>
            <w:tcBorders>
              <w:top w:val="nil"/>
              <w:left w:val="nil"/>
              <w:bottom w:val="single" w:sz="8" w:space="0" w:color="D1D1D1"/>
              <w:right w:val="single" w:sz="8" w:space="0" w:color="000000"/>
            </w:tcBorders>
            <w:shd w:val="clear" w:color="auto" w:fill="FFFFFF"/>
            <w:tcMar>
              <w:top w:w="0" w:type="dxa"/>
              <w:left w:w="108" w:type="dxa"/>
              <w:bottom w:w="0" w:type="dxa"/>
              <w:right w:w="108" w:type="dxa"/>
            </w:tcMar>
            <w:vAlign w:val="center"/>
            <w:hideMark/>
          </w:tcPr>
          <w:p w14:paraId="06E69415"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You are almost done, green</w:t>
            </w:r>
          </w:p>
        </w:tc>
      </w:tr>
      <w:tr w:rsidR="00D25FCE" w14:paraId="5979CF77" w14:textId="77777777" w:rsidTr="00A13E96">
        <w:trPr>
          <w:trHeight w:val="300"/>
        </w:trPr>
        <w:tc>
          <w:tcPr>
            <w:tcW w:w="960" w:type="dxa"/>
            <w:tcBorders>
              <w:top w:val="nil"/>
              <w:left w:val="single" w:sz="8" w:space="0" w:color="auto"/>
              <w:bottom w:val="single" w:sz="8" w:space="0" w:color="D1D1D1"/>
              <w:right w:val="single" w:sz="8" w:space="0" w:color="D1D1D1"/>
            </w:tcBorders>
            <w:shd w:val="clear" w:color="auto" w:fill="FFFFFF"/>
            <w:tcMar>
              <w:top w:w="0" w:type="dxa"/>
              <w:left w:w="108" w:type="dxa"/>
              <w:bottom w:w="0" w:type="dxa"/>
              <w:right w:w="108" w:type="dxa"/>
            </w:tcMar>
            <w:vAlign w:val="center"/>
            <w:hideMark/>
          </w:tcPr>
          <w:p w14:paraId="5A0C80DD"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25-75</w:t>
            </w:r>
          </w:p>
        </w:tc>
        <w:tc>
          <w:tcPr>
            <w:tcW w:w="960" w:type="dxa"/>
            <w:tcBorders>
              <w:top w:val="nil"/>
              <w:left w:val="nil"/>
              <w:bottom w:val="single" w:sz="8" w:space="0" w:color="D1D1D1"/>
              <w:right w:val="single" w:sz="8" w:space="0" w:color="D1D1D1"/>
            </w:tcBorders>
            <w:shd w:val="clear" w:color="auto" w:fill="FFFFFF"/>
            <w:tcMar>
              <w:top w:w="0" w:type="dxa"/>
              <w:left w:w="108" w:type="dxa"/>
              <w:bottom w:w="0" w:type="dxa"/>
              <w:right w:w="108" w:type="dxa"/>
            </w:tcMar>
            <w:vAlign w:val="center"/>
            <w:hideMark/>
          </w:tcPr>
          <w:p w14:paraId="2CB87461"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orange</w:t>
            </w:r>
          </w:p>
        </w:tc>
        <w:tc>
          <w:tcPr>
            <w:tcW w:w="2880" w:type="dxa"/>
            <w:gridSpan w:val="2"/>
            <w:tcBorders>
              <w:top w:val="nil"/>
              <w:left w:val="nil"/>
              <w:bottom w:val="single" w:sz="8" w:space="0" w:color="D1D1D1"/>
              <w:right w:val="single" w:sz="8" w:space="0" w:color="000000"/>
            </w:tcBorders>
            <w:shd w:val="clear" w:color="auto" w:fill="FFFFFF"/>
            <w:tcMar>
              <w:top w:w="0" w:type="dxa"/>
              <w:left w:w="108" w:type="dxa"/>
              <w:bottom w:w="0" w:type="dxa"/>
              <w:right w:w="108" w:type="dxa"/>
            </w:tcMar>
            <w:vAlign w:val="center"/>
            <w:hideMark/>
          </w:tcPr>
          <w:p w14:paraId="3B557BC4"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Just few steps to complete, yellow </w:t>
            </w:r>
          </w:p>
        </w:tc>
      </w:tr>
      <w:tr w:rsidR="00D25FCE" w14:paraId="4A033BA6" w14:textId="77777777" w:rsidTr="00A13E96">
        <w:trPr>
          <w:trHeight w:val="290"/>
        </w:trPr>
        <w:tc>
          <w:tcPr>
            <w:tcW w:w="960" w:type="dxa"/>
            <w:tcBorders>
              <w:top w:val="nil"/>
              <w:left w:val="single" w:sz="8" w:space="0" w:color="auto"/>
              <w:bottom w:val="single" w:sz="8" w:space="0" w:color="auto"/>
              <w:right w:val="single" w:sz="8" w:space="0" w:color="D1D1D1"/>
            </w:tcBorders>
            <w:shd w:val="clear" w:color="auto" w:fill="FFFFFF"/>
            <w:tcMar>
              <w:top w:w="0" w:type="dxa"/>
              <w:left w:w="108" w:type="dxa"/>
              <w:bottom w:w="0" w:type="dxa"/>
              <w:right w:w="108" w:type="dxa"/>
            </w:tcMar>
            <w:vAlign w:val="center"/>
            <w:hideMark/>
          </w:tcPr>
          <w:p w14:paraId="3118EA17"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0-25</w:t>
            </w:r>
          </w:p>
        </w:tc>
        <w:tc>
          <w:tcPr>
            <w:tcW w:w="960" w:type="dxa"/>
            <w:tcBorders>
              <w:top w:val="nil"/>
              <w:left w:val="nil"/>
              <w:bottom w:val="single" w:sz="8" w:space="0" w:color="auto"/>
              <w:right w:val="single" w:sz="8" w:space="0" w:color="D1D1D1"/>
            </w:tcBorders>
            <w:shd w:val="clear" w:color="auto" w:fill="FFFFFF"/>
            <w:tcMar>
              <w:top w:w="0" w:type="dxa"/>
              <w:left w:w="108" w:type="dxa"/>
              <w:bottom w:w="0" w:type="dxa"/>
              <w:right w:w="108" w:type="dxa"/>
            </w:tcMar>
            <w:vAlign w:val="center"/>
            <w:hideMark/>
          </w:tcPr>
          <w:p w14:paraId="23D93060"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orange</w:t>
            </w:r>
          </w:p>
        </w:tc>
        <w:tc>
          <w:tcPr>
            <w:tcW w:w="2880" w:type="dxa"/>
            <w:gridSpan w:val="2"/>
            <w:tcBorders>
              <w:top w:val="nil"/>
              <w:left w:val="nil"/>
              <w:bottom w:val="single" w:sz="8" w:space="0" w:color="auto"/>
              <w:right w:val="single" w:sz="8" w:space="0" w:color="000000"/>
            </w:tcBorders>
            <w:shd w:val="clear" w:color="auto" w:fill="FFFFFF"/>
            <w:tcMar>
              <w:top w:w="0" w:type="dxa"/>
              <w:left w:w="108" w:type="dxa"/>
              <w:bottom w:w="0" w:type="dxa"/>
              <w:right w:w="108" w:type="dxa"/>
            </w:tcMar>
            <w:vAlign w:val="center"/>
            <w:hideMark/>
          </w:tcPr>
          <w:p w14:paraId="5E21994E"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Some steps to complete, red</w:t>
            </w:r>
          </w:p>
        </w:tc>
      </w:tr>
    </w:tbl>
    <w:p w14:paraId="791421DF" w14:textId="77777777" w:rsidR="00D25FCE" w:rsidRDefault="00D25FCE" w:rsidP="00D25FCE"/>
    <w:p w14:paraId="14646EA9" w14:textId="77777777" w:rsidR="00D25FCE" w:rsidRDefault="00D25FCE" w:rsidP="00D25FCE">
      <w:r>
        <w:t>For overall card,</w:t>
      </w:r>
    </w:p>
    <w:tbl>
      <w:tblPr>
        <w:tblW w:w="1920" w:type="dxa"/>
        <w:tblCellMar>
          <w:left w:w="0" w:type="dxa"/>
          <w:right w:w="0" w:type="dxa"/>
        </w:tblCellMar>
        <w:tblLook w:val="04A0" w:firstRow="1" w:lastRow="0" w:firstColumn="1" w:lastColumn="0" w:noHBand="0" w:noVBand="1"/>
      </w:tblPr>
      <w:tblGrid>
        <w:gridCol w:w="960"/>
        <w:gridCol w:w="960"/>
      </w:tblGrid>
      <w:tr w:rsidR="00D25FCE" w14:paraId="30CC9801" w14:textId="77777777" w:rsidTr="00A13E96">
        <w:trPr>
          <w:trHeight w:val="460"/>
        </w:trPr>
        <w:tc>
          <w:tcPr>
            <w:tcW w:w="96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BF60C9A"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overall score</w:t>
            </w:r>
          </w:p>
        </w:tc>
        <w:tc>
          <w:tcPr>
            <w:tcW w:w="9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4E6D86"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Piechart Color</w:t>
            </w:r>
          </w:p>
        </w:tc>
      </w:tr>
      <w:tr w:rsidR="00D25FCE" w14:paraId="583FB5CE" w14:textId="77777777" w:rsidTr="00A13E96">
        <w:trPr>
          <w:trHeight w:val="300"/>
        </w:trPr>
        <w:tc>
          <w:tcPr>
            <w:tcW w:w="960" w:type="dxa"/>
            <w:tcBorders>
              <w:top w:val="nil"/>
              <w:left w:val="single" w:sz="8" w:space="0" w:color="auto"/>
              <w:bottom w:val="single" w:sz="8" w:space="0" w:color="D1D1D1"/>
              <w:right w:val="single" w:sz="8" w:space="0" w:color="D1D1D1"/>
            </w:tcBorders>
            <w:shd w:val="clear" w:color="auto" w:fill="FFFFFF"/>
            <w:tcMar>
              <w:top w:w="0" w:type="dxa"/>
              <w:left w:w="108" w:type="dxa"/>
              <w:bottom w:w="0" w:type="dxa"/>
              <w:right w:w="108" w:type="dxa"/>
            </w:tcMar>
            <w:vAlign w:val="center"/>
            <w:hideMark/>
          </w:tcPr>
          <w:p w14:paraId="33F02E8A"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&lt;=50</w:t>
            </w:r>
          </w:p>
        </w:tc>
        <w:tc>
          <w:tcPr>
            <w:tcW w:w="960" w:type="dxa"/>
            <w:tcBorders>
              <w:top w:val="nil"/>
              <w:left w:val="nil"/>
              <w:bottom w:val="single" w:sz="8" w:space="0" w:color="D1D1D1"/>
              <w:right w:val="single" w:sz="8" w:space="0" w:color="auto"/>
            </w:tcBorders>
            <w:shd w:val="clear" w:color="auto" w:fill="FFFFFF"/>
            <w:tcMar>
              <w:top w:w="0" w:type="dxa"/>
              <w:left w:w="108" w:type="dxa"/>
              <w:bottom w:w="0" w:type="dxa"/>
              <w:right w:w="108" w:type="dxa"/>
            </w:tcMar>
            <w:vAlign w:val="center"/>
            <w:hideMark/>
          </w:tcPr>
          <w:p w14:paraId="2036253F"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orange</w:t>
            </w:r>
          </w:p>
        </w:tc>
      </w:tr>
      <w:tr w:rsidR="00D25FCE" w14:paraId="47D67637" w14:textId="77777777" w:rsidTr="00A13E96">
        <w:trPr>
          <w:trHeight w:val="290"/>
        </w:trPr>
        <w:tc>
          <w:tcPr>
            <w:tcW w:w="960" w:type="dxa"/>
            <w:tcBorders>
              <w:top w:val="nil"/>
              <w:left w:val="single" w:sz="8" w:space="0" w:color="auto"/>
              <w:bottom w:val="single" w:sz="8" w:space="0" w:color="auto"/>
              <w:right w:val="single" w:sz="8" w:space="0" w:color="D1D1D1"/>
            </w:tcBorders>
            <w:shd w:val="clear" w:color="auto" w:fill="FFFFFF"/>
            <w:tcMar>
              <w:top w:w="0" w:type="dxa"/>
              <w:left w:w="108" w:type="dxa"/>
              <w:bottom w:w="0" w:type="dxa"/>
              <w:right w:w="108" w:type="dxa"/>
            </w:tcMar>
            <w:vAlign w:val="center"/>
            <w:hideMark/>
          </w:tcPr>
          <w:p w14:paraId="1F2E8A76"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&gt;50</w:t>
            </w:r>
          </w:p>
        </w:tc>
        <w:tc>
          <w:tcPr>
            <w:tcW w:w="9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82968D" w14:textId="77777777" w:rsidR="00D25FCE" w:rsidRDefault="00D25FCE" w:rsidP="00A13E96">
            <w:pPr>
              <w:rPr>
                <w:rFonts w:ascii="Segoe UI" w:hAnsi="Segoe UI" w:cs="Segoe UI"/>
                <w:color w:val="242424"/>
                <w:sz w:val="16"/>
                <w:szCs w:val="16"/>
              </w:rPr>
            </w:pPr>
            <w:r>
              <w:rPr>
                <w:rFonts w:ascii="Segoe UI" w:hAnsi="Segoe UI" w:cs="Segoe UI"/>
                <w:color w:val="242424"/>
                <w:sz w:val="16"/>
                <w:szCs w:val="16"/>
              </w:rPr>
              <w:t>green</w:t>
            </w:r>
          </w:p>
        </w:tc>
      </w:tr>
    </w:tbl>
    <w:p w14:paraId="0981F167" w14:textId="77777777" w:rsidR="00D25FCE" w:rsidRDefault="00D25FCE" w:rsidP="00D25FCE">
      <w:pPr>
        <w:ind w:firstLine="720"/>
      </w:pPr>
      <w:r>
        <w:rPr>
          <w:noProof/>
        </w:rPr>
        <w:lastRenderedPageBreak/>
        <w:drawing>
          <wp:inline distT="0" distB="0" distL="0" distR="0" wp14:anchorId="56CE3135" wp14:editId="268C5F0A">
            <wp:extent cx="4667250" cy="2656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756" cy="2660715"/>
                    </a:xfrm>
                    <a:prstGeom prst="rect">
                      <a:avLst/>
                    </a:prstGeom>
                    <a:noFill/>
                    <a:ln>
                      <a:noFill/>
                    </a:ln>
                  </pic:spPr>
                </pic:pic>
              </a:graphicData>
            </a:graphic>
          </wp:inline>
        </w:drawing>
      </w:r>
    </w:p>
    <w:p w14:paraId="5916B297" w14:textId="77777777" w:rsidR="00D25FCE" w:rsidRDefault="00D25FCE" w:rsidP="00D25FCE"/>
    <w:p w14:paraId="60C67D93" w14:textId="77777777" w:rsidR="00D25FCE" w:rsidRDefault="00D25FCE" w:rsidP="00EF7D0A"/>
    <w:p w14:paraId="7192224F" w14:textId="5049E872" w:rsidR="00A47D61" w:rsidRDefault="00A47D61" w:rsidP="00EF7D0A">
      <w:r>
        <w:t>Q</w:t>
      </w:r>
      <w:r w:rsidR="00EA4A8F">
        <w:t>: What happens if the end of a cycle falls on a Tuesday</w:t>
      </w:r>
      <w:r w:rsidR="00701373">
        <w:t xml:space="preserve"> (eg: Sep 30, 2025)</w:t>
      </w:r>
      <w:r w:rsidR="00EA4A8F">
        <w:t>, and a pending Timesheet record was added to Inbay on that day?</w:t>
      </w:r>
    </w:p>
    <w:p w14:paraId="1365B5C7" w14:textId="41911351" w:rsidR="00EA4A8F" w:rsidRDefault="00EA4A8F" w:rsidP="00EF7D0A">
      <w:r>
        <w:t xml:space="preserve">A: </w:t>
      </w:r>
      <w:r w:rsidR="004207E7">
        <w:t xml:space="preserve">That timesheet will be a part of </w:t>
      </w:r>
      <w:r w:rsidR="0098543B">
        <w:t>the current cycle</w:t>
      </w:r>
      <w:r w:rsidR="00382808">
        <w:t xml:space="preserve"> (ie April 1 – Sep 30) .</w:t>
      </w:r>
      <w:r w:rsidR="00280E85">
        <w:t xml:space="preserve"> </w:t>
      </w:r>
    </w:p>
    <w:p w14:paraId="759EE636" w14:textId="287250FF" w:rsidR="004E4C79" w:rsidRDefault="004E4C79" w:rsidP="00EF7D0A">
      <w:r>
        <w:t xml:space="preserve">This is because, </w:t>
      </w:r>
      <w:r w:rsidR="00185D61">
        <w:t>the timesheet on Sep 30 is for the week</w:t>
      </w:r>
      <w:r w:rsidR="009E1B34">
        <w:t xml:space="preserve"> </w:t>
      </w:r>
      <w:r w:rsidR="00185D61">
        <w:t xml:space="preserve"> </w:t>
      </w:r>
      <w:r w:rsidR="00456F9D">
        <w:t>2</w:t>
      </w:r>
      <w:r w:rsidR="009A0F2F">
        <w:t xml:space="preserve">1 Sep </w:t>
      </w:r>
      <w:r w:rsidR="00456F9D">
        <w:t xml:space="preserve"> to </w:t>
      </w:r>
      <w:r w:rsidR="009E1B34">
        <w:t>28 Sep</w:t>
      </w:r>
      <w:r w:rsidR="0086352B">
        <w:t xml:space="preserve"> </w:t>
      </w:r>
    </w:p>
    <w:p w14:paraId="0ADD1035" w14:textId="511572CE" w:rsidR="00E2497E" w:rsidRDefault="00E2497E" w:rsidP="00EF7D0A">
      <w:r>
        <w:t xml:space="preserve"> </w:t>
      </w:r>
    </w:p>
    <w:sectPr w:rsidR="00E2497E" w:rsidSect="00A45D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5A57"/>
    <w:multiLevelType w:val="hybridMultilevel"/>
    <w:tmpl w:val="FE9424CC"/>
    <w:lvl w:ilvl="0" w:tplc="A0AA24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1B315D"/>
    <w:multiLevelType w:val="hybridMultilevel"/>
    <w:tmpl w:val="64A6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466"/>
    <w:rsid w:val="00052287"/>
    <w:rsid w:val="000670F8"/>
    <w:rsid w:val="00095667"/>
    <w:rsid w:val="000D7A84"/>
    <w:rsid w:val="000E4C51"/>
    <w:rsid w:val="00117563"/>
    <w:rsid w:val="001175ED"/>
    <w:rsid w:val="001427B6"/>
    <w:rsid w:val="00172895"/>
    <w:rsid w:val="00185D61"/>
    <w:rsid w:val="0019353C"/>
    <w:rsid w:val="00257C0A"/>
    <w:rsid w:val="00280E85"/>
    <w:rsid w:val="0029052D"/>
    <w:rsid w:val="002F4466"/>
    <w:rsid w:val="002F6D38"/>
    <w:rsid w:val="00320BF4"/>
    <w:rsid w:val="003464E3"/>
    <w:rsid w:val="00382808"/>
    <w:rsid w:val="003A69D3"/>
    <w:rsid w:val="003F0A10"/>
    <w:rsid w:val="003F7AE2"/>
    <w:rsid w:val="004145F2"/>
    <w:rsid w:val="004207E7"/>
    <w:rsid w:val="00435B3B"/>
    <w:rsid w:val="00453D38"/>
    <w:rsid w:val="00454A4D"/>
    <w:rsid w:val="00456F9D"/>
    <w:rsid w:val="004B6F49"/>
    <w:rsid w:val="004D2AE3"/>
    <w:rsid w:val="004E4C79"/>
    <w:rsid w:val="005153F5"/>
    <w:rsid w:val="00573692"/>
    <w:rsid w:val="00576664"/>
    <w:rsid w:val="00580A82"/>
    <w:rsid w:val="005D374C"/>
    <w:rsid w:val="005D58A4"/>
    <w:rsid w:val="00612FE8"/>
    <w:rsid w:val="006A0E3C"/>
    <w:rsid w:val="006B2EB8"/>
    <w:rsid w:val="006D064F"/>
    <w:rsid w:val="006E2B49"/>
    <w:rsid w:val="00701373"/>
    <w:rsid w:val="00782571"/>
    <w:rsid w:val="007B07EE"/>
    <w:rsid w:val="008268AD"/>
    <w:rsid w:val="00837B36"/>
    <w:rsid w:val="00841467"/>
    <w:rsid w:val="00861529"/>
    <w:rsid w:val="0086352B"/>
    <w:rsid w:val="0089417F"/>
    <w:rsid w:val="008A6834"/>
    <w:rsid w:val="008F7ADA"/>
    <w:rsid w:val="00911D8E"/>
    <w:rsid w:val="00922E21"/>
    <w:rsid w:val="0098543B"/>
    <w:rsid w:val="00991A1E"/>
    <w:rsid w:val="009972BE"/>
    <w:rsid w:val="009A0F2F"/>
    <w:rsid w:val="009A59BE"/>
    <w:rsid w:val="009E1B34"/>
    <w:rsid w:val="009F586D"/>
    <w:rsid w:val="00A11C4F"/>
    <w:rsid w:val="00A256C5"/>
    <w:rsid w:val="00A40DED"/>
    <w:rsid w:val="00A45D7D"/>
    <w:rsid w:val="00A47D61"/>
    <w:rsid w:val="00A83CA7"/>
    <w:rsid w:val="00AB0428"/>
    <w:rsid w:val="00B03A09"/>
    <w:rsid w:val="00B160A3"/>
    <w:rsid w:val="00B17D48"/>
    <w:rsid w:val="00B26DE5"/>
    <w:rsid w:val="00B569FE"/>
    <w:rsid w:val="00BC5F54"/>
    <w:rsid w:val="00C32611"/>
    <w:rsid w:val="00CD46C5"/>
    <w:rsid w:val="00D233F6"/>
    <w:rsid w:val="00D25FCE"/>
    <w:rsid w:val="00D3286A"/>
    <w:rsid w:val="00D564A0"/>
    <w:rsid w:val="00D96486"/>
    <w:rsid w:val="00DD5339"/>
    <w:rsid w:val="00DF7FCC"/>
    <w:rsid w:val="00E2497E"/>
    <w:rsid w:val="00E73D32"/>
    <w:rsid w:val="00EA2B99"/>
    <w:rsid w:val="00EA4A8F"/>
    <w:rsid w:val="00EC3458"/>
    <w:rsid w:val="00EF1B61"/>
    <w:rsid w:val="00EF7D0A"/>
    <w:rsid w:val="00F43BCE"/>
    <w:rsid w:val="00F649A8"/>
    <w:rsid w:val="00FC1528"/>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8F56"/>
  <w15:chartTrackingRefBased/>
  <w15:docId w15:val="{CB695A5C-BCDC-47E7-B26F-A933EC45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0062">
      <w:bodyDiv w:val="1"/>
      <w:marLeft w:val="0"/>
      <w:marRight w:val="0"/>
      <w:marTop w:val="0"/>
      <w:marBottom w:val="0"/>
      <w:divBdr>
        <w:top w:val="none" w:sz="0" w:space="0" w:color="auto"/>
        <w:left w:val="none" w:sz="0" w:space="0" w:color="auto"/>
        <w:bottom w:val="none" w:sz="0" w:space="0" w:color="auto"/>
        <w:right w:val="none" w:sz="0" w:space="0" w:color="auto"/>
      </w:divBdr>
    </w:div>
    <w:div w:id="696154798">
      <w:bodyDiv w:val="1"/>
      <w:marLeft w:val="0"/>
      <w:marRight w:val="0"/>
      <w:marTop w:val="0"/>
      <w:marBottom w:val="0"/>
      <w:divBdr>
        <w:top w:val="none" w:sz="0" w:space="0" w:color="auto"/>
        <w:left w:val="none" w:sz="0" w:space="0" w:color="auto"/>
        <w:bottom w:val="none" w:sz="0" w:space="0" w:color="auto"/>
        <w:right w:val="none" w:sz="0" w:space="0" w:color="auto"/>
      </w:divBdr>
    </w:div>
    <w:div w:id="1505978833">
      <w:bodyDiv w:val="1"/>
      <w:marLeft w:val="0"/>
      <w:marRight w:val="0"/>
      <w:marTop w:val="0"/>
      <w:marBottom w:val="0"/>
      <w:divBdr>
        <w:top w:val="none" w:sz="0" w:space="0" w:color="auto"/>
        <w:left w:val="none" w:sz="0" w:space="0" w:color="auto"/>
        <w:bottom w:val="none" w:sz="0" w:space="0" w:color="auto"/>
        <w:right w:val="none" w:sz="0" w:space="0" w:color="auto"/>
      </w:divBdr>
    </w:div>
    <w:div w:id="20780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2582</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Chacko</dc:creator>
  <cp:keywords/>
  <dc:description/>
  <cp:lastModifiedBy>Catherine Christy Chacko</cp:lastModifiedBy>
  <cp:revision>94</cp:revision>
  <dcterms:created xsi:type="dcterms:W3CDTF">2022-11-16T10:35:00Z</dcterms:created>
  <dcterms:modified xsi:type="dcterms:W3CDTF">2022-11-22T09:11:00Z</dcterms:modified>
</cp:coreProperties>
</file>