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C5915" w14:textId="6760EF2E" w:rsidR="00FE3DD4" w:rsidRDefault="00FE3DD4">
      <w:pP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he medicine highlighted in the plot table exhibits a negative relationship. Despite its initial promise and potential benefits</w:t>
      </w:r>
    </w:p>
    <w:p w14:paraId="506D6744" w14:textId="0B5147E5" w:rsidR="00FE3DD4" w:rsidRDefault="00FE3DD4">
      <w:pP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he results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also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provide compelling evidence that weight is directly related to the volume of the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tumour; t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his direct relationship suggests that there could be underlying factors or mechanisms connecting weight and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tumour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growth.</w:t>
      </w:r>
    </w:p>
    <w:p w14:paraId="5A9A826D" w14:textId="77777777" w:rsidR="00FE3DD4" w:rsidRDefault="00FE3DD4"/>
    <w:sectPr w:rsidR="00FE3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D4"/>
    <w:rsid w:val="00FE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B523"/>
  <w15:chartTrackingRefBased/>
  <w15:docId w15:val="{50CAC3D5-7C6A-423F-80E1-58BB4E60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Arbelaez</dc:creator>
  <cp:keywords/>
  <dc:description/>
  <cp:lastModifiedBy>Sandra Arbelaez</cp:lastModifiedBy>
  <cp:revision>1</cp:revision>
  <dcterms:created xsi:type="dcterms:W3CDTF">2023-07-06T12:40:00Z</dcterms:created>
  <dcterms:modified xsi:type="dcterms:W3CDTF">2023-07-06T12:44:00Z</dcterms:modified>
</cp:coreProperties>
</file>