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Как получить токен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Включить сообщения.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ключ допуска(токен)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2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создать ключ только с правами на сообщения.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0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Включить Long Poll API и выставить версию не ниже 5.103. Более старые версии могут не работать, так как у них разный формат ответа и приема сообщений.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 тут включить все для сообщений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Как получить id группы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умолчанию id группы находится в адресе группы.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изменили адрес на свой можете получить id группы по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sz w:val="24"/>
          <w:szCs w:val="24"/>
          <w:rtl w:val="0"/>
        </w:rPr>
        <w:t xml:space="preserve">. Введите в поле q на свой адрес группы.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7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k.com/dev/search.getHints?params%5Bq%5D=nijigenka_ai&amp;params%5Blimit%5D=2&amp;params%5Bsearch_global%5D=1&amp;params%5Bv%5D=5.103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