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color w:val="163154"/>
          <w:sz w:val="44"/>
        </w:rPr>
        <w:t>qlib-crypto</w:t>
        <w:br/>
        <w:t>开发需求规格说明书（PRD）</w:t>
        <w:br/>
        <w:t>暨研发前实施准备文档包</w:t>
      </w:r>
    </w:p>
    <w:p>
      <w:pPr>
        <w:jc w:val="center"/>
      </w:pPr>
      <w:r>
        <w:rPr>
          <w:rFonts w:ascii="Noto Sans CJK SC" w:hAnsi="Noto Sans CJK SC" w:eastAsia="Noto Sans CJK SC"/>
          <w:color w:val="505050"/>
          <w:sz w:val="22"/>
        </w:rPr>
        <w:t>面向开发团队的完整需求、边界、数据契约、模块拆分、验收与里程碑文档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文档项</w:t>
            </w:r>
          </w:p>
        </w:tc>
        <w:tc>
          <w:tcPr>
            <w:tcW w:type="dxa" w:w="6520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内容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项目名称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qlib-crypto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文档版本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V2.0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文档状态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可交付开发团队实施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文档日期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2026-03-08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文档定位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在开始写代码前，统一研发对目标、范围、数据契约、回测语义和交付边界的理解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核心关键词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Qlib fork / crypto / 7×24 / UTC / 多频率 / 1m-24h / spot / perp / funding / backtest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5FB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0F4C81"/>
              </w:rPr>
              <w:t>本文档的使用方式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本文件不是市场宣讲材料，而是研发前的统一实施规格。开发、测试、数据工程、量化研究需要以本文档为共同基线：先确认范围与数据契约，再确定模块边界与里程碑，最后才进入编码。</w:t>
            </w:r>
          </w:p>
        </w:tc>
      </w:tr>
    </w:tbl>
    <w:p>
      <w:r>
        <w:br w:type="page"/>
      </w:r>
    </w:p>
    <w:p>
      <w:pPr>
        <w:pStyle w:val="Heading1"/>
      </w:pPr>
      <w:r>
        <w:t>0. 文档说明与阅读指南</w:t>
      </w:r>
    </w:p>
    <w:p>
      <w:r>
        <w:rPr>
          <w:rFonts w:ascii="Noto Sans CJK SC" w:hAnsi="Noto Sans CJK SC" w:eastAsia="Noto Sans CJK SC"/>
        </w:rPr>
        <w:t>本文档聚焦 qlib-crypto 本身，不扩写完整 AgentOS，也不替代未来的低延迟实时执行内核。它回答的是：如何 fork 并扩展 Qlib，使其从股票导向研究框架，变成可支撑加密货币 7×24、多频率、现货与永续研究与回测的研发底座。</w:t>
      </w:r>
    </w:p>
    <w:p>
      <w:r>
        <w:rPr>
          <w:rFonts w:ascii="Noto Sans CJK SC" w:hAnsi="Noto Sans CJK SC" w:eastAsia="Noto Sans CJK SC"/>
          <w:b/>
        </w:rPr>
        <w:t>文档包含四类内容：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产品需求：项目目标、范围、非目标、关键约束、成功标准。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系统规格：多频率日历、数据契约、存储与 provider_uri 映射、CryptoExchange、回测语义。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研发实施：模块拆分、目录建议、配置契约、测试/UAT、里程碑和 Definition of Done。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决策前置：必须在编码前冻结的约束与尚待确认的开放问题。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5FB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0F4C81"/>
              </w:rPr>
              <w:t>强制前提（不可回退）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1）时间轴以 UTC 为唯一规范时区；2）交易日历为 7×24 连续时间，不允许沿用股票交易日假设；3）多频率是底层能力，不是事后补丁；4）回测必须支持 1m/5m/15m/1h/4h/12h/24h；5）现货与永续使用不同交易规则模型；6）qlib-crypto 的职责是研究与回测底座，不承担低延迟生产撮合网关。</w:t>
            </w:r>
          </w:p>
        </w:tc>
      </w:tr>
    </w:tbl>
    <w:p>
      <w:pPr>
        <w:pStyle w:val="Heading1"/>
      </w:pPr>
      <w:r>
        <w:t>1. 项目背景与问题定义</w:t>
      </w:r>
    </w:p>
    <w:p>
      <w:r>
        <w:rPr>
          <w:rFonts w:ascii="Noto Sans CJK SC" w:hAnsi="Noto Sans CJK SC" w:eastAsia="Noto Sans CJK SC"/>
        </w:rPr>
        <w:t>官方 Qlib 已经提供了 crypto collector，但当前仓库中的 `scripts/data_collector/crypto` 基于 CoinGecko，支持的是 1d 数据拉取与转换，且官方 README 明确说明该 crypto dataset 只支持 data retrieval、不支持 backtest，因为缺少 OHLC 数据。[R1] 这意味着 qlib-crypto 不是对现有功能做小修小补，而是需要补齐“多频率行情 → 连续 calendar → 动态 instruments → CryptoExchange → 研究与回测”的完整链路。</w:t>
      </w:r>
    </w:p>
    <w:p>
      <w:r>
        <w:rPr>
          <w:rFonts w:ascii="Noto Sans CJK SC" w:hAnsi="Noto Sans CJK SC" w:eastAsia="Noto Sans CJK SC"/>
        </w:rPr>
        <w:t>同时，Qlib 当前的 region 机制本质上只是针对市场默认值的快捷配置，主要包括 trade_unit、limit_threshold、deal_price 等参数；仅新增一个 `REG_CRYPTO` 并不能解决 7×24 日历、永续 funding、最小下单单位、mark price、杠杆与强平等核心问题。[R2] 因此，项目目标不是简单“适配 crypto 标识”，而是把 Qlib 从股票市场假设中解耦出来。</w:t>
      </w:r>
    </w:p>
    <w:p>
      <w:r>
        <w:rPr>
          <w:rFonts w:ascii="Noto Sans CJK SC" w:hAnsi="Noto Sans CJK SC" w:eastAsia="Noto Sans CJK SC"/>
        </w:rPr>
        <w:t>用户补充的关键边界如下：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加密货币是 7×24 连续交易，不存在股票式 T+1 交易日历，也不存在统一的固定日频起点。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研究与回测必须支持多频率，最低到 1m，常用频率至少包含 1m、5m、15m、1h、4h、12h、24h。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不能只支持日频 collector 或日频 backtest；必须将多频率纳入底层模型、数据契约与配置体系。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现货与永续都要纳入规格，永续需要单独建模 funding、mark price、杠杆与保证金规则。</w:t>
      </w:r>
    </w:p>
    <w:p>
      <w:pPr>
        <w:pStyle w:val="Heading1"/>
      </w:pPr>
      <w:r>
        <w:t>2. 产品目标、非目标与成功标准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类别</w:t>
            </w:r>
          </w:p>
        </w:tc>
        <w:tc>
          <w:tcPr>
            <w:tcW w:type="dxa" w:w="7087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内容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产品目标</w:t>
            </w:r>
          </w:p>
        </w:tc>
        <w:tc>
          <w:tcPr>
            <w:tcW w:type="dxa" w:w="70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将 fork 后的 Qlib 扩展为 qlib-crypto，使其支持 7×24 连续市场、多频率数据、spot/perp 因子研究、多频率 bar-based 回测、交易所规则仿真与可复用的 crypto 研究组件。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研发目标</w:t>
            </w:r>
          </w:p>
        </w:tc>
        <w:tc>
          <w:tcPr>
            <w:tcW w:type="dxa" w:w="70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在不推倒 Qlib 原有 Dataset/Workflow/Recorder/Analyzer 的前提下，尽量少改 core，多加 crypto 插件层与必要的基础设施。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业务目标</w:t>
            </w:r>
          </w:p>
        </w:tc>
        <w:tc>
          <w:tcPr>
            <w:tcW w:type="dxa" w:w="70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为后续策略研究、因子挖掘、模型训练、组合研究和实盘系统对接提供稳定、可验证、可扩展的研发底座。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非目标</w:t>
            </w:r>
          </w:p>
        </w:tc>
        <w:tc>
          <w:tcPr>
            <w:tcW w:type="dxa" w:w="70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V1 不承担订单簿级别撮合仿真、不承担生产级毫秒撮合网关、不在本项目中开发完整多智能体控制平面。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成功标准</w:t>
            </w:r>
          </w:p>
        </w:tc>
        <w:tc>
          <w:tcPr>
            <w:tcW w:type="dxa" w:w="70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开发团队能够依据本文档独立完成：多频率数据接入、连续 calendar、instruments/provider、CryptoExchange、多频率回测、Alpha158Crypto、UAT 验收。</w:t>
            </w:r>
          </w:p>
        </w:tc>
      </w:tr>
    </w:tbl>
    <w:p>
      <w:pPr>
        <w:pStyle w:val="Heading1"/>
      </w:pPr>
      <w:r>
        <w:t>3. 产品原则与核心设计决策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原则 P1：保留 Qlib 作为研究工作流与表达式引擎底座，不重写 Dataset / Workflow / Recorder。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原则 P2：底层时间语义必须以 UTC 对齐；所有交易所本地时间或 UTC+8、UTC+0 特殊 bar 都需要被标准化。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原则 P3：频率不是展示层标签，而是贯穿 collector、calendar、provider、features、backtest、strategy 的一级概念。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原则 P4：统一以 1m 作为基础连续时间粒度，其他频率通过规则化聚合生成；允许后续补充 1s 或 event-bar，但不影响 V1。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原则 P5：现货规则和永续规则分开建模，不允许在 stock exchange 假设上硬塞 crypto 特性。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原则 P6：研究与回测可复用真实交易所规则，但不把 qlib-crypto 设计成实时订单网关。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5FB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0F4C81"/>
              </w:rPr>
              <w:t>关键判断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qlib-crypto 的第一交付物不是策略模板，而是统一的数据与回测基础设施：数据契约、calendar、instruments、provider_uri、多频率聚合和 CryptoExchange。没有这些，模型与策略层无法稳定建立。</w:t>
            </w:r>
          </w:p>
        </w:tc>
      </w:tr>
    </w:tbl>
    <w:p>
      <w:pPr>
        <w:pStyle w:val="Heading1"/>
      </w:pPr>
      <w:r>
        <w:t>4. 范围定义（Scope）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438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范围</w:t>
            </w:r>
          </w:p>
        </w:tc>
        <w:tc>
          <w:tcPr>
            <w:tcW w:type="dxa" w:w="1361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V1 是否纳入</w:t>
            </w:r>
          </w:p>
        </w:tc>
        <w:tc>
          <w:tcPr>
            <w:tcW w:type="dxa" w:w="4989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说明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Fork Qlib 并建立 qlib-crypto repo 结构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纳入</w:t>
            </w:r>
          </w:p>
        </w:tc>
        <w:tc>
          <w:tcPr>
            <w:tcW w:type="dxa" w:w="498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基于主干版本进行 fork，保留 upstream 同步策略。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REG_CRYPTO 与 crypto 默认配置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纳入</w:t>
            </w:r>
          </w:p>
        </w:tc>
        <w:tc>
          <w:tcPr>
            <w:tcW w:type="dxa" w:w="498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作为薄配置层存在，但不是主要改造点。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7×24 UTC calendar 与多频率 calendar provider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纳入</w:t>
            </w:r>
          </w:p>
        </w:tc>
        <w:tc>
          <w:tcPr>
            <w:tcW w:type="dxa" w:w="498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必须支持 1m/5m/15m/1h/4h/12h/24h。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Crypto instruments/provider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纳入</w:t>
            </w:r>
          </w:p>
        </w:tc>
        <w:tc>
          <w:tcPr>
            <w:tcW w:type="dxa" w:w="498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 spot、swap/perp、上线/下线时间、交易所、状态。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多交易所 collector（Binance/OKX/Bybit）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纳入</w:t>
            </w:r>
          </w:p>
        </w:tc>
        <w:tc>
          <w:tcPr>
            <w:tcW w:type="dxa" w:w="498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至少覆盖 spot kline、perp kline、基础元数据。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Funding / mark price / index price / open interest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纳入</w:t>
            </w:r>
          </w:p>
        </w:tc>
        <w:tc>
          <w:tcPr>
            <w:tcW w:type="dxa" w:w="498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至少定义数据契约与 provider；不同交易所允许分阶段接入。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多频率回测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纳入</w:t>
            </w:r>
          </w:p>
        </w:tc>
        <w:tc>
          <w:tcPr>
            <w:tcW w:type="dxa" w:w="498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bar-based 回测频率至少覆盖 1m 到 24h。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CryptoExchange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纳入</w:t>
            </w:r>
          </w:p>
        </w:tc>
        <w:tc>
          <w:tcPr>
            <w:tcW w:type="dxa" w:w="498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spot/perp 规则、费用、precision、min notional、funding。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Alpha158Crypto / 自定义 operator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纳入</w:t>
            </w:r>
          </w:p>
        </w:tc>
        <w:tc>
          <w:tcPr>
            <w:tcW w:type="dxa" w:w="498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形成 crypto 研究默认组件。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订单簿级仿真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不纳入 V1</w:t>
            </w:r>
          </w:p>
        </w:tc>
        <w:tc>
          <w:tcPr>
            <w:tcW w:type="dxa" w:w="498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后续扩展。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生产级低延迟 execution kernel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不纳入 V1</w:t>
            </w:r>
          </w:p>
        </w:tc>
        <w:tc>
          <w:tcPr>
            <w:tcW w:type="dxa" w:w="498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仅定义接口边界，不在本 PRD 内实施。</w:t>
            </w:r>
          </w:p>
        </w:tc>
      </w:tr>
    </w:tbl>
    <w:p>
      <w:pPr>
        <w:pStyle w:val="Heading1"/>
      </w:pPr>
      <w:r>
        <w:t>5. 角色与主要使用者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角色</w:t>
            </w:r>
          </w:p>
        </w:tc>
        <w:tc>
          <w:tcPr>
            <w:tcW w:type="dxa" w:w="3402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主要诉求</w:t>
            </w:r>
          </w:p>
        </w:tc>
        <w:tc>
          <w:tcPr>
            <w:tcW w:type="dxa" w:w="3685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本文档关心的交付物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量化研究员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可在统一多频率数据上做因子、标签、模型、回测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 Handler、custom ops、统一 schema、实验模板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数据工程师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可稳定拉取并标准化多交易所数据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collector、normalize、calendar、instrument、provider_uri 方案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后端/平台开发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可在明确模块边界下 fork 并实施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repo 结构、模块职责、配置契约、错误语义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测试工程师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有清晰验收样例与 UAT 标准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验收矩阵、回测对账规则、数据完整性检查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项目负责人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能控制范围、防止从研究框架滑向重写交易系统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范围/非目标/里程碑/风险清单</w:t>
            </w:r>
          </w:p>
        </w:tc>
      </w:tr>
    </w:tbl>
    <w:p>
      <w:pPr>
        <w:pStyle w:val="Heading1"/>
      </w:pPr>
      <w:r>
        <w:t>6. 官方现状与改造依据</w:t>
      </w:r>
    </w:p>
    <w:p>
      <w:r>
        <w:rPr>
          <w:rFonts w:ascii="Noto Sans CJK SC" w:hAnsi="Noto Sans CJK SC" w:eastAsia="Noto Sans CJK SC"/>
        </w:rPr>
        <w:t>设计本项目时，需要以 Qlib 与交易所官方文档为现实边界，而不是按股票场景进行想象式设计。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Qlib 官方 crypto README：当前 crypto dataset 来源为 CoinGecko，默认 1d，且只支持 data retrieval，不支持 backtest。[R1]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Qlib 配置层：provider_uri 原生支持字符串或 dict 形式的多频率路径映射；配置中也明确提示高频数据推荐将 kernels 设得更保守。[R2]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Qlib 数据层：底层数据结构依赖 calendars/、instruments/、features/ 的 bin-format 组织方式，理论上可承载自定义 OHLCV 与扩展字段。[R3]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Qlib 高频能力：已有 nested decision execution framework 和高频数据读取优化，说明 Qlib 具备承载多层/高频研究框架的基础，但 crypto collector 与 exchange 仍需扩展。[R4]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交易所官方文档：Binance、OKX、Bybit 均提供多频率 K 线、交易规则、WebSocket 约束以及永续相关公开数据接口；因此 qlib-crypto 的需求规格必须直接面向这些真实数据约束。[R5][R6][R7]</w:t>
      </w:r>
    </w:p>
    <w:p>
      <w:pPr>
        <w:pStyle w:val="Heading1"/>
      </w:pPr>
      <w:r>
        <w:t>7. 总体方案概览</w:t>
      </w:r>
    </w:p>
    <w:p>
      <w:r>
        <w:rPr>
          <w:rFonts w:ascii="Noto Sans CJK SC" w:hAnsi="Noto Sans CJK SC" w:eastAsia="Noto Sans CJK SC"/>
        </w:rPr>
        <w:t>总体思路：fork Qlib 主仓，在保持原有研究工作流的前提下，新增 qlib-crypto 插件层与少量必要 core 改造，使系统从“股票日历 + 股票交易规则 + 现成 region”转变为“crypto calendar + multi-frequency provider + CryptoExchange”。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531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层级</w:t>
            </w:r>
          </w:p>
        </w:tc>
        <w:tc>
          <w:tcPr>
            <w:tcW w:type="dxa" w:w="2948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设计选择</w:t>
            </w:r>
          </w:p>
        </w:tc>
        <w:tc>
          <w:tcPr>
            <w:tcW w:type="dxa" w:w="4139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原因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仓库策略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fork 主仓并保持 upstream 可追踪</w:t>
            </w:r>
          </w:p>
        </w:tc>
        <w:tc>
          <w:tcPr>
            <w:tcW w:type="dxa" w:w="413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便于复用原有研究工作流与后续同步上游修复。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时间轴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UTC 统一时间，连续 7×24</w:t>
            </w:r>
          </w:p>
        </w:tc>
        <w:tc>
          <w:tcPr>
            <w:tcW w:type="dxa" w:w="413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避免交易所时区差异、funding 结算点差异和 12h/24h bar 锚点混乱。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频率策略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以 1m 为基础频率，派生 5m/15m/1h/4h/12h/24h</w:t>
            </w:r>
          </w:p>
        </w:tc>
        <w:tc>
          <w:tcPr>
            <w:tcW w:type="dxa" w:w="413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减少底层重复存储，保证跨频率聚合一致性。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数据源策略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Binance / OKX / Bybit 三交易所优先</w:t>
            </w:r>
          </w:p>
        </w:tc>
        <w:tc>
          <w:tcPr>
            <w:tcW w:type="dxa" w:w="413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覆盖主流 spot/perp、K线、规则、funding/OI 等数据。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回测策略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bar-based 为主，先做 Close/VWAP/TWAP/Mark 模型</w:t>
            </w:r>
          </w:p>
        </w:tc>
        <w:tc>
          <w:tcPr>
            <w:tcW w:type="dxa" w:w="413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满足研究与组合评估，避免过早进入订单簿仿真。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市场模型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Spot 与 Perp 分离</w:t>
            </w:r>
          </w:p>
        </w:tc>
        <w:tc>
          <w:tcPr>
            <w:tcW w:type="dxa" w:w="413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两者在 short、funding、杠杆、强平与价格语义上完全不同。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研究组件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Alpha158Crypto + custom ops</w:t>
            </w:r>
          </w:p>
        </w:tc>
        <w:tc>
          <w:tcPr>
            <w:tcW w:type="dxa" w:w="413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降低研究员接入成本，形成默认起步包。</w:t>
            </w:r>
          </w:p>
        </w:tc>
      </w:tr>
    </w:tbl>
    <w:p>
      <w:pPr>
        <w:pStyle w:val="Heading1"/>
      </w:pPr>
      <w:r>
        <w:t>8. 目标仓库与模块边界</w:t>
      </w:r>
    </w:p>
    <w:p>
      <w:r>
        <w:rPr>
          <w:rFonts w:ascii="Noto Sans CJK SC" w:hAnsi="Noto Sans CJK SC" w:eastAsia="Noto Sans CJK SC"/>
        </w:rPr>
        <w:t>建议仓库目录如下，目的是将 crypto 特有逻辑隔离到插件层，同时只在 Qlib core 中做最小必要修改。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288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路径</w:t>
            </w:r>
          </w:p>
        </w:tc>
        <w:tc>
          <w:tcPr>
            <w:tcW w:type="dxa" w:w="5329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职责</w:t>
            </w:r>
          </w:p>
        </w:tc>
      </w:tr>
      <w:tr>
        <w:tc>
          <w:tcPr>
            <w:tcW w:type="dxa" w:w="3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qlib_crypto/config.py</w:t>
            </w:r>
          </w:p>
        </w:tc>
        <w:tc>
          <w:tcPr>
            <w:tcW w:type="dxa" w:w="53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REG_CRYPTO、默认配置、频率与时区相关常量</w:t>
            </w:r>
          </w:p>
        </w:tc>
      </w:tr>
      <w:tr>
        <w:tc>
          <w:tcPr>
            <w:tcW w:type="dxa" w:w="3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qlib_crypto/freq.py</w:t>
            </w:r>
          </w:p>
        </w:tc>
        <w:tc>
          <w:tcPr>
            <w:tcW w:type="dxa" w:w="53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统一频率枚举、别名、聚合锚点与校验逻辑</w:t>
            </w:r>
          </w:p>
        </w:tc>
      </w:tr>
      <w:tr>
        <w:tc>
          <w:tcPr>
            <w:tcW w:type="dxa" w:w="3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qlib_crypto/collector/</w:t>
            </w:r>
          </w:p>
        </w:tc>
        <w:tc>
          <w:tcPr>
            <w:tcW w:type="dxa" w:w="53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多交易所数据采集器，按 venue 与 market type 组织</w:t>
            </w:r>
          </w:p>
        </w:tc>
      </w:tr>
      <w:tr>
        <w:tc>
          <w:tcPr>
            <w:tcW w:type="dxa" w:w="3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qlib_crypto/data/calendar.py</w:t>
            </w:r>
          </w:p>
        </w:tc>
        <w:tc>
          <w:tcPr>
            <w:tcW w:type="dxa" w:w="53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连续 UTC calendar 构建与多频率派生</w:t>
            </w:r>
          </w:p>
        </w:tc>
      </w:tr>
      <w:tr>
        <w:tc>
          <w:tcPr>
            <w:tcW w:type="dxa" w:w="3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qlib_crypto/data/instruments.py</w:t>
            </w:r>
          </w:p>
        </w:tc>
        <w:tc>
          <w:tcPr>
            <w:tcW w:type="dxa" w:w="53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交易对主数据、上下线时间、market type、状态管理</w:t>
            </w:r>
          </w:p>
        </w:tc>
      </w:tr>
      <w:tr>
        <w:tc>
          <w:tcPr>
            <w:tcW w:type="dxa" w:w="3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qlib_crypto/data/schema.py</w:t>
            </w:r>
          </w:p>
        </w:tc>
        <w:tc>
          <w:tcPr>
            <w:tcW w:type="dxa" w:w="53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统一字段字典与数据契约</w:t>
            </w:r>
          </w:p>
        </w:tc>
      </w:tr>
      <w:tr>
        <w:tc>
          <w:tcPr>
            <w:tcW w:type="dxa" w:w="3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qlib_crypto/data/normalize.py</w:t>
            </w:r>
          </w:p>
        </w:tc>
        <w:tc>
          <w:tcPr>
            <w:tcW w:type="dxa" w:w="53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OHLCV 与 funding/OI 等字段标准化</w:t>
            </w:r>
          </w:p>
        </w:tc>
      </w:tr>
      <w:tr>
        <w:tc>
          <w:tcPr>
            <w:tcW w:type="dxa" w:w="3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qlib_crypto/backtest/exchange.py</w:t>
            </w:r>
          </w:p>
        </w:tc>
        <w:tc>
          <w:tcPr>
            <w:tcW w:type="dxa" w:w="53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CryptoExchange 主体，spot/perp 行为建模</w:t>
            </w:r>
          </w:p>
        </w:tc>
      </w:tr>
      <w:tr>
        <w:tc>
          <w:tcPr>
            <w:tcW w:type="dxa" w:w="3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qlib_crypto/backtest/cost.py</w:t>
            </w:r>
          </w:p>
        </w:tc>
        <w:tc>
          <w:tcPr>
            <w:tcW w:type="dxa" w:w="53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maker/taker/slippage/funding/notional/precision 规则</w:t>
            </w:r>
          </w:p>
        </w:tc>
      </w:tr>
      <w:tr>
        <w:tc>
          <w:tcPr>
            <w:tcW w:type="dxa" w:w="3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qlib_crypto/backtest/executor.py</w:t>
            </w:r>
          </w:p>
        </w:tc>
        <w:tc>
          <w:tcPr>
            <w:tcW w:type="dxa" w:w="53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多频率 bar-based 执行模型</w:t>
            </w:r>
          </w:p>
        </w:tc>
      </w:tr>
      <w:tr>
        <w:tc>
          <w:tcPr>
            <w:tcW w:type="dxa" w:w="3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qlib_crypto/contrib/data/handler.py</w:t>
            </w:r>
          </w:p>
        </w:tc>
        <w:tc>
          <w:tcPr>
            <w:tcW w:type="dxa" w:w="53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Alpha158Crypto 与其他默认 handler</w:t>
            </w:r>
          </w:p>
        </w:tc>
      </w:tr>
      <w:tr>
        <w:tc>
          <w:tcPr>
            <w:tcW w:type="dxa" w:w="3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qlib_crypto/contrib/ops/crypto_ops.py</w:t>
            </w:r>
          </w:p>
        </w:tc>
        <w:tc>
          <w:tcPr>
            <w:tcW w:type="dxa" w:w="53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FundingZ、OIRatio 等 crypto 扩展算子</w:t>
            </w:r>
          </w:p>
        </w:tc>
      </w:tr>
      <w:tr>
        <w:tc>
          <w:tcPr>
            <w:tcW w:type="dxa" w:w="3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qlib_crypto/contrib/strategy/</w:t>
            </w:r>
          </w:p>
        </w:tc>
        <w:tc>
          <w:tcPr>
            <w:tcW w:type="dxa" w:w="53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TopK、多空、轮动等 crypto 默认策略模板</w:t>
            </w:r>
          </w:p>
        </w:tc>
      </w:tr>
      <w:tr>
        <w:tc>
          <w:tcPr>
            <w:tcW w:type="dxa" w:w="3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examples/</w:t>
            </w:r>
          </w:p>
        </w:tc>
        <w:tc>
          <w:tcPr>
            <w:tcW w:type="dxa" w:w="53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 spot/perp、多频率给出 YAML/配置样例</w:t>
            </w:r>
          </w:p>
        </w:tc>
      </w:tr>
      <w:tr>
        <w:tc>
          <w:tcPr>
            <w:tcW w:type="dxa" w:w="3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tests/</w:t>
            </w:r>
          </w:p>
        </w:tc>
        <w:tc>
          <w:tcPr>
            <w:tcW w:type="dxa" w:w="532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单元测试、集成测试、UAT fixture 与黄金样本</w:t>
            </w:r>
          </w:p>
        </w:tc>
      </w:tr>
    </w:tbl>
    <w:p>
      <w:pPr>
        <w:pStyle w:val="Heading1"/>
      </w:pPr>
      <w:r>
        <w:t>9. 多频率系统规格</w:t>
      </w:r>
    </w:p>
    <w:p>
      <w:r>
        <w:rPr>
          <w:rFonts w:ascii="Noto Sans CJK SC" w:hAnsi="Noto Sans CJK SC" w:eastAsia="Noto Sans CJK SC"/>
        </w:rPr>
        <w:t>多频率是本项目最关键的产品要求。V1 不得退化为“底层只支持 day，策略层再自己处理 intraday”。所有核心模块都要接受统一频率枚举。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191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频率</w:t>
            </w:r>
          </w:p>
        </w:tc>
        <w:tc>
          <w:tcPr>
            <w:tcW w:type="dxa" w:w="1417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V1 支持级别</w:t>
            </w:r>
          </w:p>
        </w:tc>
        <w:tc>
          <w:tcPr>
            <w:tcW w:type="dxa" w:w="1134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研究数据</w:t>
            </w:r>
          </w:p>
        </w:tc>
        <w:tc>
          <w:tcPr>
            <w:tcW w:type="dxa" w:w="964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回测</w:t>
            </w:r>
          </w:p>
        </w:tc>
        <w:tc>
          <w:tcPr>
            <w:tcW w:type="dxa" w:w="4535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说明</w:t>
            </w:r>
          </w:p>
        </w:tc>
      </w:tr>
      <w:tr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1m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强制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基础频率，建议作为 canonical bar 存储粒度。</w:t>
            </w:r>
          </w:p>
        </w:tc>
      </w:tr>
      <w:tr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5m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强制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由 1m 聚合而来。</w:t>
            </w:r>
          </w:p>
        </w:tc>
      </w:tr>
      <w:tr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15m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强制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常用 alpha / rebalance 粒度。</w:t>
            </w:r>
          </w:p>
        </w:tc>
      </w:tr>
      <w:tr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1h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强制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常用中短周期粒度。</w:t>
            </w:r>
          </w:p>
        </w:tc>
      </w:tr>
      <w:tr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4h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强制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加密市场常用研究频率。</w:t>
            </w:r>
          </w:p>
        </w:tc>
      </w:tr>
      <w:tr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12h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强制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需固定 UTC 00:00 与 12:00 锚点。</w:t>
            </w:r>
          </w:p>
        </w:tc>
      </w:tr>
      <w:tr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24h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强制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与 1d 等价，但统一按 UTC 日界线定义。</w:t>
            </w:r>
          </w:p>
        </w:tc>
      </w:tr>
      <w:tr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1d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兼容别名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实现上等价于 24h，保留兼容。</w:t>
            </w:r>
          </w:p>
        </w:tc>
      </w:tr>
      <w:tr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3m/30m/2h/6h/8h</w:t>
            </w:r>
          </w:p>
        </w:tc>
        <w:tc>
          <w:tcPr>
            <w:tcW w:type="dxa" w:w="141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可选扩展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建议预留</w:t>
            </w:r>
          </w:p>
        </w:tc>
        <w:tc>
          <w:tcPr>
            <w:tcW w:type="dxa" w:w="9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建议预留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部分交易所原生支持，V1 可不作为核心验收项。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5FB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0F4C81"/>
              </w:rPr>
              <w:t>多频率语义要求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1）所有 bar 的时间戳统一表示 bar 的开盘时间；2）bar 边界采用左闭右开区间；3）24h/1d 必须锚定 UTC 00:00；4）12h 必须锚定 UTC 00:00 和 12:00；5）派生频率必须由统一聚合器产生，不能允许每个策略自行 resample。</w:t>
            </w:r>
          </w:p>
        </w:tc>
      </w:tr>
    </w:tbl>
    <w:p>
      <w:pPr>
        <w:pStyle w:val="Heading1"/>
      </w:pPr>
      <w:r>
        <w:t>10. Calendar 规格</w:t>
      </w:r>
    </w:p>
    <w:p>
      <w:r>
        <w:rPr>
          <w:rFonts w:ascii="Noto Sans CJK SC" w:hAnsi="Noto Sans CJK SC" w:eastAsia="Noto Sans CJK SC"/>
        </w:rPr>
        <w:t>Crypto 不存在股票式‘仅交易日有记录’的 calendar。qlib-crypto 必须提供连续日历，并允许 LocalCalendarProvider 或扩展 provider 读取多频率文件。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531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需求编号</w:t>
            </w:r>
          </w:p>
        </w:tc>
        <w:tc>
          <w:tcPr>
            <w:tcW w:type="dxa" w:w="3685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要求</w:t>
            </w:r>
          </w:p>
        </w:tc>
        <w:tc>
          <w:tcPr>
            <w:tcW w:type="dxa" w:w="3742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验收口径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FR-CAL-001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Calendar 基础时区必须为 UTC</w:t>
            </w:r>
          </w:p>
        </w:tc>
        <w:tc>
          <w:tcPr>
            <w:tcW w:type="dxa" w:w="374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任意交易所原始时区数据导入后，calendar 文件输出仍为 UTC。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FR-CAL-002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1m calendar 必须连续覆盖每一分钟</w:t>
            </w:r>
          </w:p>
        </w:tc>
        <w:tc>
          <w:tcPr>
            <w:tcW w:type="dxa" w:w="374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抽样检查一周数据，不得因周末缺失。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FR-CAL-003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5m/15m/1h/4h/12h/24h calendar 由 1m 规则派生</w:t>
            </w:r>
          </w:p>
        </w:tc>
        <w:tc>
          <w:tcPr>
            <w:tcW w:type="dxa" w:w="374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不同模块读取同一频率时边界一致。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FR-CAL-004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 future=False/True 的 calendar 查询语义</w:t>
            </w:r>
          </w:p>
        </w:tc>
        <w:tc>
          <w:tcPr>
            <w:tcW w:type="dxa" w:w="374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与 Qlib provider 行为兼容。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FR-CAL-005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 provider_uri 的多频率路径映射</w:t>
            </w:r>
          </w:p>
        </w:tc>
        <w:tc>
          <w:tcPr>
            <w:tcW w:type="dxa" w:w="374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初始化时可按 freq 读取对应日历。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FR-CAL-006</w:t>
            </w:r>
          </w:p>
        </w:tc>
        <w:tc>
          <w:tcPr>
            <w:tcW w:type="dxa" w:w="36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允许交易所维护停机造成的数据缺口存在，但不得污染 calendar</w:t>
            </w:r>
          </w:p>
        </w:tc>
        <w:tc>
          <w:tcPr>
            <w:tcW w:type="dxa" w:w="374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gap 以数据质量标识体现，而不是删除日历点。</w:t>
            </w:r>
          </w:p>
        </w:tc>
      </w:tr>
    </w:tbl>
    <w:p>
      <w:pPr>
        <w:pStyle w:val="Heading1"/>
      </w:pPr>
      <w:r>
        <w:t>11. Instruments 与 Universe 规格</w:t>
      </w:r>
    </w:p>
    <w:p>
      <w:r>
        <w:rPr>
          <w:rFonts w:ascii="Noto Sans CJK SC" w:hAnsi="Noto Sans CJK SC" w:eastAsia="Noto Sans CJK SC"/>
        </w:rPr>
        <w:t>股票市场中的 instruments 更像成分股清单；crypto 需要的是‘交易对主数据 + 生命周期 + 市场类型 + 交易所约束’。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814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字段</w:t>
            </w:r>
          </w:p>
        </w:tc>
        <w:tc>
          <w:tcPr>
            <w:tcW w:type="dxa" w:w="1134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类型</w:t>
            </w:r>
          </w:p>
        </w:tc>
        <w:tc>
          <w:tcPr>
            <w:tcW w:type="dxa" w:w="6009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instrument_id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内部唯一标识，建议格式：`BINANCE:SPOT:BTC_USDT`、`BYBIT:PERP:ETH_USDT`。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venue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enum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BINANCE / OKX / BYBIT。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market_type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enum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SPOT / PERP。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symbol_raw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交易所原始 symbol，例如 BTCUSDT、BTC-USDT-SWAP。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base_asset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基础资产。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quote_asset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计价资产。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settle_asset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结算资产；现货可为空。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enum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TRADING / HALT / DELISTED。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list_time_utc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datetime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上线时间。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delist_time_utc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datetime/null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下线时间，可为空。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tick_size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decimal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最小价格跳动。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lot_size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decimal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数量步长。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min_qty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decimal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最小下单数量。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min_notional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decimal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最小名义金额。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contract_size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decimal/null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合约面值或 contract multiplier。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price_type_support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set</w:t>
            </w:r>
          </w:p>
        </w:tc>
        <w:tc>
          <w:tcPr>
            <w:tcW w:type="dxa" w:w="600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是否支持 close / vwap / mark / index 作为回测成交价参考。</w:t>
            </w:r>
          </w:p>
        </w:tc>
      </w:tr>
    </w:tbl>
    <w:p>
      <w:r>
        <w:rPr>
          <w:rFonts w:ascii="Noto Sans CJK SC" w:hAnsi="Noto Sans CJK SC" w:eastAsia="Noto Sans CJK SC"/>
        </w:rPr>
        <w:t>Universe 选择层面，必须支持静态 instruments 与动态 filter pipe 两种方式。动态 universe 至少允许按成交额、上市天数、交易状态、market type 和 venue 过滤。该设计与 Qlib 原生 InstrumentProvider 思路一致，但需要扩展到 crypto 元数据。[R3]</w:t>
      </w:r>
    </w:p>
    <w:p>
      <w:pPr>
        <w:pStyle w:val="Heading1"/>
      </w:pPr>
      <w:r>
        <w:t>12. 数据契约与字段字典</w:t>
      </w:r>
    </w:p>
    <w:p>
      <w:r>
        <w:rPr>
          <w:rFonts w:ascii="Noto Sans CJK SC" w:hAnsi="Noto Sans CJK SC" w:eastAsia="Noto Sans CJK SC"/>
        </w:rPr>
        <w:t>所有 collector、normalize、dump、provider 与 backtest 必须遵循统一 schema。</w:t>
      </w:r>
    </w:p>
    <w:p>
      <w:pPr>
        <w:pStyle w:val="Heading2"/>
      </w:pPr>
      <w:r>
        <w:t>12.1 现货/永续 K 线主表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871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字段</w:t>
            </w:r>
          </w:p>
        </w:tc>
        <w:tc>
          <w:tcPr>
            <w:tcW w:type="dxa" w:w="794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必填</w:t>
            </w:r>
          </w:p>
        </w:tc>
        <w:tc>
          <w:tcPr>
            <w:tcW w:type="dxa" w:w="1134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适用</w:t>
            </w:r>
          </w:p>
        </w:tc>
        <w:tc>
          <w:tcPr>
            <w:tcW w:type="dxa" w:w="5159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说明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ts</w:t>
            </w:r>
          </w:p>
        </w:tc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Spot/Perp</w:t>
            </w:r>
          </w:p>
        </w:tc>
        <w:tc>
          <w:tcPr>
            <w:tcW w:type="dxa" w:w="515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bar 开盘时间（UTC, ms 或标准 datetime）。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open/high/low/close</w:t>
            </w:r>
          </w:p>
        </w:tc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Spot/Perp</w:t>
            </w:r>
          </w:p>
        </w:tc>
        <w:tc>
          <w:tcPr>
            <w:tcW w:type="dxa" w:w="515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OHLC 价格。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volume</w:t>
            </w:r>
          </w:p>
        </w:tc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Spot/Perp</w:t>
            </w:r>
          </w:p>
        </w:tc>
        <w:tc>
          <w:tcPr>
            <w:tcW w:type="dxa" w:w="515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成交量。Spot 为 base 数量；Perp 为按交易所定义的合约数量或 base 数量，需额外标识单位。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quote_volume</w:t>
            </w:r>
          </w:p>
        </w:tc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Spot/Perp</w:t>
            </w:r>
          </w:p>
        </w:tc>
        <w:tc>
          <w:tcPr>
            <w:tcW w:type="dxa" w:w="515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成交额。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trade_count</w:t>
            </w:r>
          </w:p>
        </w:tc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Spot/Perp</w:t>
            </w:r>
          </w:p>
        </w:tc>
        <w:tc>
          <w:tcPr>
            <w:tcW w:type="dxa" w:w="515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成交笔数。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taker_buy_base</w:t>
            </w:r>
          </w:p>
        </w:tc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Spot/Perp</w:t>
            </w:r>
          </w:p>
        </w:tc>
        <w:tc>
          <w:tcPr>
            <w:tcW w:type="dxa" w:w="515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主动买入 base 数量。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taker_buy_quote</w:t>
            </w:r>
          </w:p>
        </w:tc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Spot/Perp</w:t>
            </w:r>
          </w:p>
        </w:tc>
        <w:tc>
          <w:tcPr>
            <w:tcW w:type="dxa" w:w="515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主动买入 quote 金额。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vwap</w:t>
            </w:r>
          </w:p>
        </w:tc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Spot/Perp</w:t>
            </w:r>
          </w:p>
        </w:tc>
        <w:tc>
          <w:tcPr>
            <w:tcW w:type="dxa" w:w="515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可由 quote_volume/volume 得出，允许直接存储。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bar_status</w:t>
            </w:r>
          </w:p>
        </w:tc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Spot/Perp</w:t>
            </w:r>
          </w:p>
        </w:tc>
        <w:tc>
          <w:tcPr>
            <w:tcW w:type="dxa" w:w="515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COMPLETE / PARTIAL / MISSING / SYNTHETIC。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source_venue</w:t>
            </w:r>
          </w:p>
        </w:tc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Spot/Perp</w:t>
            </w:r>
          </w:p>
        </w:tc>
        <w:tc>
          <w:tcPr>
            <w:tcW w:type="dxa" w:w="515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来源交易所。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source_freq</w:t>
            </w:r>
          </w:p>
        </w:tc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Spot/Perp</w:t>
            </w:r>
          </w:p>
        </w:tc>
        <w:tc>
          <w:tcPr>
            <w:tcW w:type="dxa" w:w="515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原始抓取频率。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latency_tag</w:t>
            </w:r>
          </w:p>
        </w:tc>
        <w:tc>
          <w:tcPr>
            <w:tcW w:type="dxa" w:w="7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Spot/Perp</w:t>
            </w:r>
          </w:p>
        </w:tc>
        <w:tc>
          <w:tcPr>
            <w:tcW w:type="dxa" w:w="515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数据到达延迟标签，供数据质量检查。</w:t>
            </w:r>
          </w:p>
        </w:tc>
      </w:tr>
    </w:tbl>
    <w:p>
      <w:pPr>
        <w:pStyle w:val="Heading2"/>
      </w:pPr>
      <w:r>
        <w:t>12.2 永续扩展表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字段</w:t>
            </w:r>
          </w:p>
        </w:tc>
        <w:tc>
          <w:tcPr>
            <w:tcW w:type="dxa" w:w="1020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必填</w:t>
            </w:r>
          </w:p>
        </w:tc>
        <w:tc>
          <w:tcPr>
            <w:tcW w:type="dxa" w:w="5669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说明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funding_rate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资金费率；如果交易所提供离散 funding history，需对齐到结算时间。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next_funding_time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下一次 funding 结算时间。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mark_price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标记价格；回测中可作为价格语义之一。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index_price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指数价格。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basis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mark/index 或 perp/spot 基差。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open_interest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持仓量。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oi_value_usd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可选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统一美元口径 OI，便于横截面对比。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predicted_funding_rate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可选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预估 funding，若交易所提供。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settlement_asset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结算资产。</w:t>
            </w:r>
          </w:p>
        </w:tc>
      </w:tr>
    </w:tbl>
    <w:p>
      <w:pPr>
        <w:pStyle w:val="Heading2"/>
      </w:pPr>
      <w:r>
        <w:t>12.3 统一命名与缺失值规则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字段命名统一使用 snake_case，不允许交易所原始字段名直接下沉到研究层。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价格类字段统一以 decimal string/高精度数保存到原始层，进入研究层前统一转换。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缺失值不能静默前向填充；必须保留数据质量标识并由 processor 明确决定如何处理。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Crypto 不做股票式复权；`factor` 可固定为 1，仅为兼容 Qlib 基础字段要求。[R3]</w:t>
      </w:r>
    </w:p>
    <w:p>
      <w:pPr>
        <w:pStyle w:val="Heading1"/>
      </w:pPr>
      <w:r>
        <w:t>13. Collector 规格</w:t>
      </w:r>
    </w:p>
    <w:p>
      <w:r>
        <w:rPr>
          <w:rFonts w:ascii="Noto Sans CJK SC" w:hAnsi="Noto Sans CJK SC" w:eastAsia="Noto Sans CJK SC"/>
        </w:rPr>
        <w:t>Collector 必须从官方 crypto collector 的 BaseCollector / BaseNormalize / BaseRun 思路扩展，而不是完全脱离 Qlib 的数据接入范式。[R1] 每个交易所按 venue + market_type + dataset 类型拆分。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531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需求编号</w:t>
            </w:r>
          </w:p>
        </w:tc>
        <w:tc>
          <w:tcPr>
            <w:tcW w:type="dxa" w:w="2324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要求</w:t>
            </w:r>
          </w:p>
        </w:tc>
        <w:tc>
          <w:tcPr>
            <w:tcW w:type="dxa" w:w="5783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说明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FR-COL-001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Binance / OKX / Bybit 至少支持 spot/perp K线抓取</w:t>
            </w:r>
          </w:p>
        </w:tc>
        <w:tc>
          <w:tcPr>
            <w:tcW w:type="dxa" w:w="578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 线频率覆盖 V1 核心频率。Bybit 官方 Kline 支持 1/3/5/15/30/60/120/240/360/720/D/W/M，OKX 官方 candles/history-candles 支持 1m 到 1Dutc/12Hutc 等粒度，Binance Futures 公共定义支持 1m 到 12h、1d 等间隔。[R5][R6][R7]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FR-COL-002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至少支持一次性历史拉取 + 增量更新</w:t>
            </w:r>
          </w:p>
        </w:tc>
        <w:tc>
          <w:tcPr>
            <w:tcW w:type="dxa" w:w="578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 start/end 或 after/before 分页抓取。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FR-COL-003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原始层保留交易所原始字段与请求元数据</w:t>
            </w:r>
          </w:p>
        </w:tc>
        <w:tc>
          <w:tcPr>
            <w:tcW w:type="dxa" w:w="578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便于审计与问题排查。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FR-COL-004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标准化层输出统一 schema</w:t>
            </w:r>
          </w:p>
        </w:tc>
        <w:tc>
          <w:tcPr>
            <w:tcW w:type="dxa" w:w="578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避免上层逻辑分支依赖交易所字段。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FR-COL-005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必须支持失败重试、限流、断点续拉</w:t>
            </w:r>
          </w:p>
        </w:tc>
        <w:tc>
          <w:tcPr>
            <w:tcW w:type="dxa" w:w="578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兼容交易所公开接口速率限制。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FR-COL-006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必须支持 market data 与 meta data 分离</w:t>
            </w:r>
          </w:p>
        </w:tc>
        <w:tc>
          <w:tcPr>
            <w:tcW w:type="dxa" w:w="578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K线、funding、OI、mark/index、instrument rules 分开抓取。</w:t>
            </w:r>
          </w:p>
        </w:tc>
      </w:tr>
    </w:tbl>
    <w:p>
      <w:r>
        <w:rPr>
          <w:rFonts w:ascii="Noto Sans CJK SC" w:hAnsi="Noto Sans CJK SC" w:eastAsia="Noto Sans CJK SC"/>
          <w:b/>
        </w:rPr>
        <w:t>V1 推荐的数据源优先级：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行情主表：Binance USDⓈ-M Futures、Binance Spot、OKX MarketData、Bybit Market Kline。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主数据：Binance Exchange Information、OKX Get Instruments、Bybit 对应 instruments / symbol metadata。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永续扩展：Binance funding history、Bybit open interest / mark price / index price Kline、OKX 公共市场与 instruments 相关公开数据。</w:t>
      </w:r>
    </w:p>
    <w:p>
      <w:pPr>
        <w:pStyle w:val="Heading1"/>
      </w:pPr>
      <w:r>
        <w:t>14. 存储与 provider_uri 规格</w:t>
      </w:r>
    </w:p>
    <w:p>
      <w:r>
        <w:rPr>
          <w:rFonts w:ascii="Noto Sans CJK SC" w:hAnsi="Noto Sans CJK SC" w:eastAsia="Noto Sans CJK SC"/>
        </w:rPr>
        <w:t>Qlib 配置允许 `provider_uri` 使用字符串或 dict 映射不同频率路径；这为 qlib-crypto 的多频率 provider 提供了直接切入点。[R2] V1 需要把这项能力写入默认方案，而不是只作为高级用户功能。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要求</w:t>
            </w:r>
          </w:p>
        </w:tc>
        <w:tc>
          <w:tcPr>
            <w:tcW w:type="dxa" w:w="6520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说明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统一 provider_uri_map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初始化时允许 `{"1min": path_a, "5min": path_b, ..., "day": path_n}` 或统一映射到一个 multi-freq data root。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数据文件结构兼容 Qlib bin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保留 calendars/、instruments/、features/ 的基本组织方式。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多频率读取优先级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若某频率有原生存储，优先原生；否则可按聚合器从 1m 推导，但必须经过统一 provider。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缓存策略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高频表达式与 dataset cache 需要单独配置，避免无控制放大磁盘占用。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高频 kernel 策略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默认 kernels 不得沿用日频经验值；参考 Qlib 配置，高频数据建议更保守的并发设置。[R2]</w:t>
            </w:r>
          </w:p>
        </w:tc>
      </w:tr>
    </w:tbl>
    <w:p>
      <w:pPr>
        <w:pStyle w:val="Heading1"/>
      </w:pPr>
      <w:r>
        <w:t>15. Backtest 与 CryptoExchange 规格</w:t>
      </w:r>
    </w:p>
    <w:p>
      <w:r>
        <w:rPr>
          <w:rFonts w:ascii="Noto Sans CJK SC" w:hAnsi="Noto Sans CJK SC" w:eastAsia="Noto Sans CJK SC"/>
        </w:rPr>
        <w:t>回测必须是 qlib-crypto 的核心交付，而不是“先能读数据，回测以后再说”。官方 crypto dataset 目前不支持 backtest 的现实，正是本项目需要补的能力缺口。[R1]</w:t>
      </w:r>
    </w:p>
    <w:p>
      <w:pPr>
        <w:pStyle w:val="Heading2"/>
      </w:pPr>
      <w:r>
        <w:t>15.1 回测频率要求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回测主频率必须支持：1m、5m、15m、1h、4h、12h、24h。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回测时 strategy freq 与 execution freq 允许相同，也允许上层频率嵌套更细粒度执行。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允许使用 Qlib 的 nested decision execution framework 思路，将较粗粒度决策与较细粒度执行结合。[R4]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不允许把回测语义写死为股票日末调仓。</w:t>
      </w:r>
    </w:p>
    <w:p>
      <w:pPr>
        <w:pStyle w:val="Heading2"/>
      </w:pPr>
      <w:r>
        <w:t>15.2 CryptoExchange 行为要求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模块</w:t>
            </w:r>
          </w:p>
        </w:tc>
        <w:tc>
          <w:tcPr>
            <w:tcW w:type="dxa" w:w="3628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Spot</w:t>
            </w:r>
          </w:p>
        </w:tc>
        <w:tc>
          <w:tcPr>
            <w:tcW w:type="dxa" w:w="3458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Perp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方向</w:t>
            </w:r>
          </w:p>
        </w:tc>
        <w:tc>
          <w:tcPr>
            <w:tcW w:type="dxa" w:w="36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仅多头；不允许裸空</w:t>
            </w:r>
          </w:p>
        </w:tc>
        <w:tc>
          <w:tcPr>
            <w:tcW w:type="dxa" w:w="34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必须支持 long / short / flat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价格语义</w:t>
            </w:r>
          </w:p>
        </w:tc>
        <w:tc>
          <w:tcPr>
            <w:tcW w:type="dxa" w:w="36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close / vwap / twap</w:t>
            </w:r>
          </w:p>
        </w:tc>
        <w:tc>
          <w:tcPr>
            <w:tcW w:type="dxa" w:w="34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close / vwap / twap / mark / index（配置化）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成本</w:t>
            </w:r>
          </w:p>
        </w:tc>
        <w:tc>
          <w:tcPr>
            <w:tcW w:type="dxa" w:w="36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maker/taker fee + slippage</w:t>
            </w:r>
          </w:p>
        </w:tc>
        <w:tc>
          <w:tcPr>
            <w:tcW w:type="dxa" w:w="34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maker/taker fee + slippage + funding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精度</w:t>
            </w:r>
          </w:p>
        </w:tc>
        <w:tc>
          <w:tcPr>
            <w:tcW w:type="dxa" w:w="36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tick_size / lot_size / min_qty / min_notional</w:t>
            </w:r>
          </w:p>
        </w:tc>
        <w:tc>
          <w:tcPr>
            <w:tcW w:type="dxa" w:w="34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tick_size / lot_size / contract_size / min_notional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风控</w:t>
            </w:r>
          </w:p>
        </w:tc>
        <w:tc>
          <w:tcPr>
            <w:tcW w:type="dxa" w:w="36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现金余额、最小订单金额</w:t>
            </w:r>
          </w:p>
        </w:tc>
        <w:tc>
          <w:tcPr>
            <w:tcW w:type="dxa" w:w="34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杠杆、保证金、维持保证金、强平阈值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持仓</w:t>
            </w:r>
          </w:p>
        </w:tc>
        <w:tc>
          <w:tcPr>
            <w:tcW w:type="dxa" w:w="36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现货仓位</w:t>
            </w:r>
          </w:p>
        </w:tc>
        <w:tc>
          <w:tcPr>
            <w:tcW w:type="dxa" w:w="34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合约仓位、名义价值与方向分离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收益归因</w:t>
            </w:r>
          </w:p>
        </w:tc>
        <w:tc>
          <w:tcPr>
            <w:tcW w:type="dxa" w:w="36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价格变动 + 费用</w:t>
            </w:r>
          </w:p>
        </w:tc>
        <w:tc>
          <w:tcPr>
            <w:tcW w:type="dxa" w:w="345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价格变动 + 费用 + funding + 强平/减仓事件</w:t>
            </w:r>
          </w:p>
        </w:tc>
      </w:tr>
    </w:tbl>
    <w:p>
      <w:pPr>
        <w:pStyle w:val="Heading2"/>
      </w:pPr>
      <w:r>
        <w:t>15.3 执行语义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531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需求编号</w:t>
            </w:r>
          </w:p>
        </w:tc>
        <w:tc>
          <w:tcPr>
            <w:tcW w:type="dxa" w:w="3402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要求</w:t>
            </w:r>
          </w:p>
        </w:tc>
        <w:tc>
          <w:tcPr>
            <w:tcW w:type="dxa" w:w="3742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验收口径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FR-BT-001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 close、vwap、twap、mark 四类执行价格模型</w:t>
            </w:r>
          </w:p>
        </w:tc>
        <w:tc>
          <w:tcPr>
            <w:tcW w:type="dxa" w:w="374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配置切换后，回测成交价来源可追溯。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FR-BT-002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 volume participation 上限</w:t>
            </w:r>
          </w:p>
        </w:tc>
        <w:tc>
          <w:tcPr>
            <w:tcW w:type="dxa" w:w="374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 bar 成交量不得超过设定比例。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FR-BT-003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 maker/taker 费用模型</w:t>
            </w:r>
          </w:p>
        </w:tc>
        <w:tc>
          <w:tcPr>
            <w:tcW w:type="dxa" w:w="374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可按订单类型与 venue 配置。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FR-BT-004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 slippage 模型</w:t>
            </w:r>
          </w:p>
        </w:tc>
        <w:tc>
          <w:tcPr>
            <w:tcW w:type="dxa" w:w="374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至少包含固定 bps 和与成交量相关的分段模型。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FR-BT-005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 funding 结算</w:t>
            </w:r>
          </w:p>
        </w:tc>
        <w:tc>
          <w:tcPr>
            <w:tcW w:type="dxa" w:w="374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funding 在正确时间点入账/扣费。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FR-BT-006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 precision 与 min-notional 检查</w:t>
            </w:r>
          </w:p>
        </w:tc>
        <w:tc>
          <w:tcPr>
            <w:tcW w:type="dxa" w:w="374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不合规订单需被裁剪、拒绝或记录。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FR-BT-007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支持停牌概念替代为 market_status/gap_status</w:t>
            </w:r>
          </w:p>
        </w:tc>
        <w:tc>
          <w:tcPr>
            <w:tcW w:type="dxa" w:w="374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加密市场没有股票停牌语义，需改为 venue status 与 data gap 语义。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FR-BT-008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 24h bar 与 1d 别名统一</w:t>
            </w:r>
          </w:p>
        </w:tc>
        <w:tc>
          <w:tcPr>
            <w:tcW w:type="dxa" w:w="374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两者结果必须一致。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5FB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0F4C81"/>
              </w:rPr>
              <w:t>不能沿用股票假设的点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不得使用 T+1、涨跌停、复权、固定手数、交易日缺口填充等股票特有语义。对 crypto 来说，最接近的约束来自交易所 tick size、lot size、min notional、mark price、funding 和杠杆规则。[R5][R6][R7]</w:t>
            </w:r>
          </w:p>
        </w:tc>
      </w:tr>
    </w:tbl>
    <w:p>
      <w:pPr>
        <w:pStyle w:val="Heading1"/>
      </w:pPr>
      <w:r>
        <w:t>16. 研究组件规格（Handler / Ops / Strategy）</w:t>
      </w:r>
    </w:p>
    <w:p>
      <w:r>
        <w:rPr>
          <w:rFonts w:ascii="Noto Sans CJK SC" w:hAnsi="Noto Sans CJK SC" w:eastAsia="Noto Sans CJK SC"/>
        </w:rPr>
        <w:t>Qlib 的优势在于表达式引擎、数据处理器、模型训练与工作流。qlib-crypto V1 要形成一套默认起步包，而不是要求研究员从零搭建。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814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组件</w:t>
            </w:r>
          </w:p>
        </w:tc>
        <w:tc>
          <w:tcPr>
            <w:tcW w:type="dxa" w:w="1134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V1 要求</w:t>
            </w:r>
          </w:p>
        </w:tc>
        <w:tc>
          <w:tcPr>
            <w:tcW w:type="dxa" w:w="5839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Alpha158Crypto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</w:t>
            </w:r>
          </w:p>
        </w:tc>
        <w:tc>
          <w:tcPr>
            <w:tcW w:type="dxa" w:w="583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以 Alpha158 为蓝本，但替换为 crypto 常用动量、波动、量价、funding/OI/basis 类特征。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Custom Ops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</w:t>
            </w:r>
          </w:p>
        </w:tc>
        <w:tc>
          <w:tcPr>
            <w:tcW w:type="dxa" w:w="583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至少包含 FundingZScore、BasisPct、OIRatio、LiquidityMask、VolatilityBucket 等。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 Handler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</w:t>
            </w:r>
          </w:p>
        </w:tc>
        <w:tc>
          <w:tcPr>
            <w:tcW w:type="dxa" w:w="583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支持多频率输入、缺失值策略、横截面标准化与 market-type 过滤。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Strategy Templates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建议</w:t>
            </w:r>
          </w:p>
        </w:tc>
        <w:tc>
          <w:tcPr>
            <w:tcW w:type="dxa" w:w="583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至少给出现货 TopK、永续多空、多频率轮动三类模板。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Label Templates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建议</w:t>
            </w:r>
          </w:p>
        </w:tc>
        <w:tc>
          <w:tcPr>
            <w:tcW w:type="dxa" w:w="583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给出 future return、risk-adjusted return、cost-adjusted return 等模板。</w:t>
            </w:r>
          </w:p>
        </w:tc>
      </w:tr>
    </w:tbl>
    <w:p>
      <w:pPr>
        <w:pStyle w:val="Heading1"/>
      </w:pPr>
      <w:r>
        <w:t>17. 与实时执行系统的边界</w:t>
      </w:r>
    </w:p>
    <w:p>
      <w:r>
        <w:rPr>
          <w:rFonts w:ascii="Noto Sans CJK SC" w:hAnsi="Noto Sans CJK SC" w:eastAsia="Noto Sans CJK SC"/>
        </w:rPr>
        <w:t>本项目不是实时执行网关，但必须清楚边界。Qlib-crypto 定位为研究与慢频决策内核。低延迟执行核心应独立建设；qlib-crypto 对其输出的是目标仓位、订单意图或研究产物，而不是直接承担毫秒级连接管理。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835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边界项</w:t>
            </w:r>
          </w:p>
        </w:tc>
        <w:tc>
          <w:tcPr>
            <w:tcW w:type="dxa" w:w="1474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qlib-crypto 是否负责</w:t>
            </w:r>
          </w:p>
        </w:tc>
        <w:tc>
          <w:tcPr>
            <w:tcW w:type="dxa" w:w="4479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说明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研究数据接入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447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面向研究与回测的数据采集、清洗与存储。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回测执行仿真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447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在研究层模拟成交、费用与 funding。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实时 WebSocket 连接生命周期管理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447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生产级连接管理应由 execution kernel 负责。Binance Futures WebSocket 连接只有 24 小时有效，需要 ping/pong；OKX 也明确推荐用 WebSocket 获取市场与深度数据，并设置订阅限制。[R5][R6]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生产下单、撤单、对账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447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只定义接口契约，不在本项目中实现。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研究结果输出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447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signal、target position、配置与实验记录。</w:t>
            </w:r>
          </w:p>
        </w:tc>
      </w:tr>
    </w:tbl>
    <w:p>
      <w:pPr>
        <w:pStyle w:val="Heading1"/>
      </w:pPr>
      <w:r>
        <w:t>18. 配置契约（非代码版）</w:t>
      </w:r>
    </w:p>
    <w:p>
      <w:r>
        <w:rPr>
          <w:rFonts w:ascii="Noto Sans CJK SC" w:hAnsi="Noto Sans CJK SC" w:eastAsia="Noto Sans CJK SC"/>
        </w:rPr>
        <w:t>为了让开发团队在编码前统一接口，V1 需要冻结最小配置契约。下面列的是配置项类别，而非代码实现。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配置域</w:t>
            </w:r>
          </w:p>
        </w:tc>
        <w:tc>
          <w:tcPr>
            <w:tcW w:type="dxa" w:w="6803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关键项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global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timezone=UTC；market=crypto；default_freq；provider_uri_map；cache_path；kernels。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collector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venue；market_type；symbol_universe；start/end；rate_limit_policy；retry_policy；raw_store_path。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calendar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base_freq=1m；supported_freqs；anchor_rule；gap_policy。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instrument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include_venues；include_market_types；listing_age_min；liquidity_threshold；status_filter。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backtest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freq；execution_price_model；fee_model；slippage_model；volume_limit_pct；funding_model；leverage/margin_policy。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handler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feature_set；label_set；fillna_policy；winsorize/normalize；market_neutralize。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workflow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experiment_name；train/test split；rolling window；recorder uri。</w:t>
            </w:r>
          </w:p>
        </w:tc>
      </w:tr>
    </w:tbl>
    <w:p>
      <w:pPr>
        <w:pStyle w:val="Heading1"/>
      </w:pPr>
      <w:r>
        <w:t>19. 功能需求清单（按优先级）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020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优先级</w:t>
            </w:r>
          </w:p>
        </w:tc>
        <w:tc>
          <w:tcPr>
            <w:tcW w:type="dxa" w:w="2551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需求项</w:t>
            </w:r>
          </w:p>
        </w:tc>
        <w:tc>
          <w:tcPr>
            <w:tcW w:type="dxa" w:w="4932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必须满足的结果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7×24 UTC calendar</w:t>
            </w:r>
          </w:p>
        </w:tc>
        <w:tc>
          <w:tcPr>
            <w:tcW w:type="dxa" w:w="49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能对任意起止时间输出 1m 到 24h 连续 calendar。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多频率 provider</w:t>
            </w:r>
          </w:p>
        </w:tc>
        <w:tc>
          <w:tcPr>
            <w:tcW w:type="dxa" w:w="49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能按 freq 读到对应数据，至少覆盖 1m/5m/15m/1h/4h/12h/24h。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多交易所 collector</w:t>
            </w:r>
          </w:p>
        </w:tc>
        <w:tc>
          <w:tcPr>
            <w:tcW w:type="dxa" w:w="49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能从 Binance/OKX/Bybit 获取至少一类 spot 和一类 perp 的历史 K 线。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CryptoExchange</w:t>
            </w:r>
          </w:p>
        </w:tc>
        <w:tc>
          <w:tcPr>
            <w:tcW w:type="dxa" w:w="49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能在回测中处理 fees/slippage/funding/precision/min notional。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spot/perp 分离建模</w:t>
            </w:r>
          </w:p>
        </w:tc>
        <w:tc>
          <w:tcPr>
            <w:tcW w:type="dxa" w:w="49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同一策略框架下能够区分两种市场规则。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统一 schema</w:t>
            </w:r>
          </w:p>
        </w:tc>
        <w:tc>
          <w:tcPr>
            <w:tcW w:type="dxa" w:w="49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上层研究代码不直接依赖交易所原始字段。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Alpha158Crypto</w:t>
            </w:r>
          </w:p>
        </w:tc>
        <w:tc>
          <w:tcPr>
            <w:tcW w:type="dxa" w:w="49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研究员拿到默认 handler 即可开始实验。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custom ops</w:t>
            </w:r>
          </w:p>
        </w:tc>
        <w:tc>
          <w:tcPr>
            <w:tcW w:type="dxa" w:w="49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Funding/OI/Basis 相关算子可复用。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动态 universe</w:t>
            </w:r>
          </w:p>
        </w:tc>
        <w:tc>
          <w:tcPr>
            <w:tcW w:type="dxa" w:w="49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能按 listing age、成交额、status 做筛选。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数据质量检查</w:t>
            </w:r>
          </w:p>
        </w:tc>
        <w:tc>
          <w:tcPr>
            <w:tcW w:type="dxa" w:w="49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能发现缺失 bar、重复 bar、错序、负值、极端跳点。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P2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更多频率/事件 bar</w:t>
            </w:r>
          </w:p>
        </w:tc>
        <w:tc>
          <w:tcPr>
            <w:tcW w:type="dxa" w:w="49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为 1s、30m、2h 或 volume bar 预留接口。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P2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订单簿级仿真</w:t>
            </w:r>
          </w:p>
        </w:tc>
        <w:tc>
          <w:tcPr>
            <w:tcW w:type="dxa" w:w="49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作为后续扩展，不纳入 V1。</w:t>
            </w:r>
          </w:p>
        </w:tc>
      </w:tr>
    </w:tbl>
    <w:p>
      <w:pPr>
        <w:pStyle w:val="Heading1"/>
      </w:pPr>
      <w:r>
        <w:t>20. 非功能需求（NFR）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191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编号</w:t>
            </w:r>
          </w:p>
        </w:tc>
        <w:tc>
          <w:tcPr>
            <w:tcW w:type="dxa" w:w="1474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类别</w:t>
            </w:r>
          </w:p>
        </w:tc>
        <w:tc>
          <w:tcPr>
            <w:tcW w:type="dxa" w:w="5839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要求</w:t>
            </w:r>
          </w:p>
        </w:tc>
      </w:tr>
      <w:tr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NFR-001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一致性</w:t>
            </w:r>
          </w:p>
        </w:tc>
        <w:tc>
          <w:tcPr>
            <w:tcW w:type="dxa" w:w="583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相同输入数据在相同配置下，聚合 bar、因子值与回测结果必须可复现。</w:t>
            </w:r>
          </w:p>
        </w:tc>
      </w:tr>
      <w:tr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NFR-002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可追溯性</w:t>
            </w:r>
          </w:p>
        </w:tc>
        <w:tc>
          <w:tcPr>
            <w:tcW w:type="dxa" w:w="583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任何回测结果需可追溯到数据版本、provider_uri、频率、费用模型、funding 模型、策略配置。</w:t>
            </w:r>
          </w:p>
        </w:tc>
      </w:tr>
      <w:tr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NFR-003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性能</w:t>
            </w:r>
          </w:p>
        </w:tc>
        <w:tc>
          <w:tcPr>
            <w:tcW w:type="dxa" w:w="583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1m 频率下对 50~200 个高流动性标的的研究回测应在可接受时间内完成；高频 kernels 默认值需保守且可配置。</w:t>
            </w:r>
          </w:p>
        </w:tc>
      </w:tr>
      <w:tr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NFR-004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可扩展性</w:t>
            </w:r>
          </w:p>
        </w:tc>
        <w:tc>
          <w:tcPr>
            <w:tcW w:type="dxa" w:w="583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 venue 或新增字段不应导致上层 handler/strategy 全面重写。</w:t>
            </w:r>
          </w:p>
        </w:tc>
      </w:tr>
      <w:tr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NFR-005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健壮性</w:t>
            </w:r>
          </w:p>
        </w:tc>
        <w:tc>
          <w:tcPr>
            <w:tcW w:type="dxa" w:w="583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collector 具备断点续拉、重试、幂等写入和分页容错。</w:t>
            </w:r>
          </w:p>
        </w:tc>
      </w:tr>
      <w:tr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NFR-006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可观测性</w:t>
            </w:r>
          </w:p>
        </w:tc>
        <w:tc>
          <w:tcPr>
            <w:tcW w:type="dxa" w:w="583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关键模块需要日志、错误码和数据健康检查报告。</w:t>
            </w:r>
          </w:p>
        </w:tc>
      </w:tr>
      <w:tr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NFR-007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兼容性</w:t>
            </w:r>
          </w:p>
        </w:tc>
        <w:tc>
          <w:tcPr>
            <w:tcW w:type="dxa" w:w="583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尽量不破坏原 Qlib daily/1min 数据使用方式；crypto 扩展不应污染 stock 默认行为。</w:t>
            </w:r>
          </w:p>
        </w:tc>
      </w:tr>
      <w:tr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NFR-008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测试性</w:t>
            </w:r>
          </w:p>
        </w:tc>
        <w:tc>
          <w:tcPr>
            <w:tcW w:type="dxa" w:w="583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每个模块必须有可离线执行的 fixture 与黄金样本。</w:t>
            </w:r>
          </w:p>
        </w:tc>
      </w:tr>
    </w:tbl>
    <w:p>
      <w:pPr>
        <w:pStyle w:val="Heading1"/>
      </w:pPr>
      <w:r>
        <w:t>21. 风险清单与易错点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风险 R1：把 24h 当成任意交易所本地日界线，而不是统一 UTC 日界线，会导致跨所对比和 funding 对齐错误。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风险 R2：让每个策略自行 resample，会造成同名 4h/12h 因子在不同团队结果不一致。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风险 R3：沿用股票 exchange 规则，会遗漏 min notional、mark price、funding 与杠杆约束。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风险 R4：不区分 raw / normalized / qlib-bin 三层数据，会导致无法审计数据质量问题。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风险 R5：把 qlib-crypto 做成实时交易引擎，会使范围失控，拖慢核心研究底座交付。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风险 R6：不同交易所对 volume、turnover、contract size 的单位不同，若 schema 不冻结，因子比较会失真。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风险 R7：永续的 funding history 与预估 funding 若未拆开，会导致回测收益归因混淆。</w:t>
      </w:r>
    </w:p>
    <w:p>
      <w:pPr>
        <w:pStyle w:val="Heading1"/>
      </w:pPr>
      <w:r>
        <w:t>22. 测试策略与 UAT 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551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UAT 场景</w:t>
            </w:r>
          </w:p>
        </w:tc>
        <w:tc>
          <w:tcPr>
            <w:tcW w:type="dxa" w:w="5669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验收标准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UAT-01 1m→5m 聚合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随机抽取 BTC/ETH 在某天的 1m 数据聚合成 5m，OHLCV 与 trade_count 规则正确。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UAT-02 12h/24h 锚点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验证 12h bar 仅在 00:00/12:00 UTC 开始，24h/1d 从 00:00 UTC 开始。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UAT-03 多频率读取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 provider 下对 1m、15m、4h、24h 进行 D.features 读取，返回频率正确。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UAT-04 Spot 回测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现货 TopK 轮动策略在 15m/4h/24h 均可运行，订单受到 min notional 与 fee 约束。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UAT-05 Perp 回测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永续多空策略在 1h/4h/12h 可运行，funding 在正确结算点影响 PnL。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UAT-06 交易规则裁剪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故意发送不满足 tick_size / lot_size / min_notional 的订单，系统能裁剪或拒绝并记录。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UAT-07 数据缺口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手工制造一个 bar 缺失样本，研究层不会静默补齐且能被健康检查报出。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UAT-08 动态 universe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按上市天数与流动性过滤后，instruments 集合随时间变化正确。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UAT-09 结果可重现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固定数据版本与配置，两次回测结果逐项一致。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UAT-10 兼容边界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原生股票 region 不受 crypto 扩展破坏。</w:t>
            </w:r>
          </w:p>
        </w:tc>
      </w:tr>
    </w:tbl>
    <w:p>
      <w:pPr>
        <w:pStyle w:val="Heading1"/>
      </w:pPr>
      <w:r>
        <w:t>23. 里程碑与交付物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474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阶段</w:t>
            </w:r>
          </w:p>
        </w:tc>
        <w:tc>
          <w:tcPr>
            <w:tcW w:type="dxa" w:w="2835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目标</w:t>
            </w:r>
          </w:p>
        </w:tc>
        <w:tc>
          <w:tcPr>
            <w:tcW w:type="dxa" w:w="3912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退出标准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M1 设计冻结</w:t>
            </w:r>
          </w:p>
        </w:tc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冻结频率、时区、schema、repo 结构、范围</w:t>
            </w:r>
          </w:p>
        </w:tc>
        <w:tc>
          <w:tcPr>
            <w:tcW w:type="dxa" w:w="3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本文档评审通过；开放问题清单收敛到可编码状态。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M2 数据底座</w:t>
            </w:r>
          </w:p>
        </w:tc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collector、normalize、calendar、instruments、provider_uri_map 打通</w:t>
            </w:r>
          </w:p>
        </w:tc>
        <w:tc>
          <w:tcPr>
            <w:tcW w:type="dxa" w:w="3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能够读取 1m/15m/1h/4h/12h/24h 数据。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M3 回测底座</w:t>
            </w:r>
          </w:p>
        </w:tc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CryptoExchange + 多频率回测 + 成本模型打通</w:t>
            </w:r>
          </w:p>
        </w:tc>
        <w:tc>
          <w:tcPr>
            <w:tcW w:type="dxa" w:w="3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Spot/Perp 各有至少一个 UAT 策略跑通。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M4 研究组件</w:t>
            </w:r>
          </w:p>
        </w:tc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Alpha158Crypto、custom ops、样例 workflow</w:t>
            </w:r>
          </w:p>
        </w:tc>
        <w:tc>
          <w:tcPr>
            <w:tcW w:type="dxa" w:w="3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研究员可直接开始实验。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M5 稳定化</w:t>
            </w:r>
          </w:p>
        </w:tc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测试、文档、样例、健康检查</w:t>
            </w:r>
          </w:p>
        </w:tc>
        <w:tc>
          <w:tcPr>
            <w:tcW w:type="dxa" w:w="3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全部 UAT 通过，形成 V1 交付包。</w:t>
            </w:r>
          </w:p>
        </w:tc>
      </w:tr>
    </w:tbl>
    <w:p>
      <w:pPr>
        <w:pStyle w:val="Heading1"/>
      </w:pPr>
      <w:r>
        <w:t>24. 编码前必须冻结的决策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D1：是否以 1m 作为唯一 canonical 底层 bar；本文档建议是。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D2：24h/1d 是否统一只认 UTC 00:00 锚点；本文档建议是。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D3：instrument_id 是否采用 `VENUE:MARKET_TYPE:BASE_QUOTE` 规范；本文档建议是。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D4：Perp volume 统一口径是否同时保留原始单位与标准化美元口径；本文档建议是。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D5：V1 默认执行价格模型是否至少包含 close、vwap、mark；本文档建议是。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D6：是否把 orderbook 仿真排除在 V1；本文档建议排除。</w:t>
      </w:r>
    </w:p>
    <w:p>
      <w:pPr>
        <w:pStyle w:val="Heading1"/>
      </w:pPr>
      <w:r>
        <w:t>25. 开放问题（允许在评审会上确认）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8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问题</w:t>
            </w:r>
          </w:p>
        </w:tc>
        <w:tc>
          <w:tcPr>
            <w:tcW w:type="dxa" w:w="2551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建议答案</w:t>
            </w:r>
          </w:p>
        </w:tc>
        <w:tc>
          <w:tcPr>
            <w:tcW w:type="dxa" w:w="2381"/>
            <w:vAlign w:val="center"/>
            <w:shd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154"/>
                <w:sz w:val="20"/>
              </w:rPr>
              <w:t>影响</w:t>
            </w:r>
          </w:p>
        </w:tc>
      </w:tr>
      <w:tr>
        <w:tc>
          <w:tcPr>
            <w:tcW w:type="dxa" w:w="3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是否支持 30m / 2h / 6h / 8h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预留但不纳入 V1 强制验收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影响频率注册表与聚合规则。</w:t>
            </w:r>
          </w:p>
        </w:tc>
      </w:tr>
      <w:tr>
        <w:tc>
          <w:tcPr>
            <w:tcW w:type="dxa" w:w="3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是否在 V1 同时接入现货借贷/融币数据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不纳入 V1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避免范围扩大。</w:t>
            </w:r>
          </w:p>
        </w:tc>
      </w:tr>
      <w:tr>
        <w:tc>
          <w:tcPr>
            <w:tcW w:type="dxa" w:w="3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是否引入 event-bar / volume-bar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预留接口，不纳入首版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避免时间轴复杂度暴涨。</w:t>
            </w:r>
          </w:p>
        </w:tc>
      </w:tr>
      <w:tr>
        <w:tc>
          <w:tcPr>
            <w:tcW w:type="dxa" w:w="3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是否把 CCXT 作为 collector 抽象层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可作为工具，但不应替代官方规则校验来源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影响实现方式而非产品边界。</w:t>
            </w:r>
          </w:p>
        </w:tc>
      </w:tr>
      <w:tr>
        <w:tc>
          <w:tcPr>
            <w:tcW w:type="dxa" w:w="3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是否支持更多交易所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V1 先锁 Binance/OKX/Bybit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避免测试矩阵失控。</w:t>
            </w:r>
          </w:p>
        </w:tc>
      </w:tr>
    </w:tbl>
    <w:p>
      <w:pPr>
        <w:pStyle w:val="Heading1"/>
      </w:pPr>
      <w:r>
        <w:t>26. 开发团队交接清单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交接件 1：本文档（PRD + 研发前实施规格）。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交接件 2：评审纪要，冻结 D1~D6 的决定。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交接件 3：字段字典与接口清单的最终版本。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交接件 4：测试样本与目标交易对清单（BTC/ETH/SOL 等）。</w:t>
      </w:r>
    </w:p>
    <w:p>
      <w:pPr>
        <w:ind w:left="283" w:hanging="227"/>
      </w:pPr>
      <w:r>
        <w:rPr>
          <w:rFonts w:ascii="Noto Sans CJK SC" w:hAnsi="Noto Sans CJK SC" w:eastAsia="Noto Sans CJK SC"/>
        </w:rPr>
        <w:t>• 交接件 5：里程碑与责任人矩阵。</w:t>
      </w:r>
    </w:p>
    <w:p>
      <w:pPr>
        <w:pStyle w:val="Heading1"/>
      </w:pPr>
      <w:r>
        <w:t>附录 A. 参考资料（官方与本项目输入）</w:t>
      </w:r>
    </w:p>
    <w:p>
      <w:pPr>
        <w:pStyle w:val="SmallNote"/>
      </w:pPr>
      <w:r>
        <w:rPr>
          <w:rFonts w:ascii="Noto Sans CJK SC" w:hAnsi="Noto Sans CJK SC" w:eastAsia="Noto Sans CJK SC"/>
          <w:sz w:val="18"/>
        </w:rPr>
        <w:t>[R1] Microsoft Qlib 官方 crypto collector README（当前明确说明 CoinGecko 1d dataset 仅支持 data retrieval，不支持 backtest）</w:t>
        <w:br/>
        <w:t>https://raw.githubusercontent.com/microsoft/qlib/main/scripts/data_collector/crypto/README.md</w:t>
      </w:r>
    </w:p>
    <w:p>
      <w:pPr>
        <w:pStyle w:val="SmallNote"/>
      </w:pPr>
      <w:r>
        <w:rPr>
          <w:rFonts w:ascii="Noto Sans CJK SC" w:hAnsi="Noto Sans CJK SC" w:eastAsia="Noto Sans CJK SC"/>
          <w:sz w:val="18"/>
        </w:rPr>
        <w:t>[R2] Microsoft Qlib `qlib/config.py`（provider_uri 可为 dict，多频率路径映射；高频 kernels 提示）</w:t>
        <w:br/>
        <w:t>https://raw.githubusercontent.com/microsoft/qlib/main/qlib/config.py</w:t>
      </w:r>
    </w:p>
    <w:p>
      <w:pPr>
        <w:pStyle w:val="SmallNote"/>
      </w:pPr>
      <w:r>
        <w:rPr>
          <w:rFonts w:ascii="Noto Sans CJK SC" w:hAnsi="Noto Sans CJK SC" w:eastAsia="Noto Sans CJK SC"/>
          <w:sz w:val="18"/>
        </w:rPr>
        <w:t>[R3] Qlib Data Layer 文档（calendars / instruments / features 的组织方式与 bin-format 数据思路）</w:t>
        <w:br/>
        <w:t>https://qlib.readthedocs.io/</w:t>
      </w:r>
    </w:p>
    <w:p>
      <w:pPr>
        <w:pStyle w:val="SmallNote"/>
      </w:pPr>
      <w:r>
        <w:rPr>
          <w:rFonts w:ascii="Noto Sans CJK SC" w:hAnsi="Noto Sans CJK SC" w:eastAsia="Noto Sans CJK SC"/>
          <w:sz w:val="18"/>
        </w:rPr>
        <w:t>[R4] Qlib High Frequency / Nested Decision Execution 文档</w:t>
        <w:br/>
        <w:t>https://qlib.readthedocs.io/en/v0.9.1/component/highfreq.html</w:t>
      </w:r>
    </w:p>
    <w:p>
      <w:pPr>
        <w:pStyle w:val="SmallNote"/>
      </w:pPr>
      <w:r>
        <w:rPr>
          <w:rFonts w:ascii="Noto Sans CJK SC" w:hAnsi="Noto Sans CJK SC" w:eastAsia="Noto Sans CJK SC"/>
          <w:sz w:val="18"/>
        </w:rPr>
        <w:t>[R5] Binance Futures 官方文档（WebSocket 生命周期、Common Definition、Exchange Information、Kline、Funding）</w:t>
        <w:br/>
        <w:t>https://developers.binance.com/docs/derivatives/usds-margined-futures/</w:t>
      </w:r>
    </w:p>
    <w:p>
      <w:pPr>
        <w:pStyle w:val="SmallNote"/>
      </w:pPr>
      <w:r>
        <w:rPr>
          <w:rFonts w:ascii="Noto Sans CJK SC" w:hAnsi="Noto Sans CJK SC" w:eastAsia="Noto Sans CJK SC"/>
          <w:sz w:val="18"/>
        </w:rPr>
        <w:t>[R6] OKX API 官方文档（candles/history-candles、public instruments、WebSocket 订阅限制）</w:t>
        <w:br/>
        <w:t>https://my.okx.com/docs-v5/en/</w:t>
      </w:r>
    </w:p>
    <w:p>
      <w:pPr>
        <w:pStyle w:val="SmallNote"/>
      </w:pPr>
      <w:r>
        <w:rPr>
          <w:rFonts w:ascii="Noto Sans CJK SC" w:hAnsi="Noto Sans CJK SC" w:eastAsia="Noto Sans CJK SC"/>
          <w:sz w:val="18"/>
        </w:rPr>
        <w:t>[R7] Bybit API 官方文档（Kline、WebSocket Kline、Mark/Index Kline、Open Interest）</w:t>
        <w:br/>
        <w:t>https://bybit-exchange.github.io/docs/v5/market/kline</w:t>
      </w:r>
    </w:p>
    <w:p>
      <w:pPr>
        <w:pStyle w:val="SmallNote"/>
      </w:pPr>
      <w:r>
        <w:rPr>
          <w:rFonts w:ascii="Noto Sans CJK SC" w:hAnsi="Noto Sans CJK SC" w:eastAsia="Noto Sans CJK SC"/>
          <w:sz w:val="18"/>
        </w:rPr>
        <w:t>[R8] 用户提供材料：Qlib加密货币量化研究.txt</w:t>
        <w:br/>
        <w:t>用户上传文件</w:t>
      </w:r>
    </w:p>
    <w:p>
      <w:pPr>
        <w:pStyle w:val="SmallNote"/>
      </w:pPr>
      <w:r>
        <w:rPr>
          <w:rFonts w:ascii="Noto Sans CJK SC" w:hAnsi="Noto Sans CJK SC" w:eastAsia="Noto Sans CJK SC"/>
          <w:sz w:val="18"/>
        </w:rPr>
        <w:t>[R9] 用户提供材料：加密货币量化交易系统.txt</w:t>
        <w:br/>
        <w:t>用户上传文件</w:t>
      </w:r>
    </w:p>
    <w:p>
      <w:pPr>
        <w:pStyle w:val="Heading1"/>
      </w:pPr>
      <w:r>
        <w:t>附录 B. 一句话结论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5FB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0F4C81"/>
              </w:rPr>
              <w:t>结论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qlib-crypto 不是“给 Qlib 多加一个 crypto region”这么简单，而是要在官方现有研究框架上补齐 crypto 的现实基础设施：UTC 7×24 日历、多频率 provider、统一 schema、动态 instruments、CryptoExchange 与多频率回测。只要这几项在编码前冻结清楚，开发工作就能显著降低返工率。</w:t>
            </w:r>
          </w:p>
        </w:tc>
      </w:tr>
    </w:tbl>
    <w:p>
      <w:r>
        <w:br w:type="page"/>
      </w:r>
    </w:p>
    <w:p>
      <w:pPr>
        <w:pStyle w:val="Heading1"/>
      </w:pPr>
      <w:r>
        <w:t>27. 研发任务分解（Epic / Story / Task）</w:t>
      </w:r>
    </w:p>
    <w:p>
      <w:r>
        <w:t>本节把前文需求转成研发可排期的任务树，用于立项、估算与责任划分。开发团队在开始编码前，应先按 Epic 拆分负责人、输入依赖、联调顺序和完成定义。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Epic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目标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核心产出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前置依赖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建议负责人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优先级</w:t>
            </w:r>
          </w:p>
        </w:tc>
      </w:tr>
      <w:tr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E1 数据采集与标准化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打通多交易所原始数据入湖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collector/normalize/raw schema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交易所接口、密钥策略（如需）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数据工程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E2 多频率 calendar 与 instruments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形成 7×24 连续时间轴与主数据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calendars/*, instruments/*, metadata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E1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数据平台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E3 qlib-bin 与 provider 扩展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支持 provider_uri 多频率映射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dump 流程、features 读取、freq 解析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E1-E2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平台研发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E4 CryptoExchange 与回测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形成 spot/perp 可运行回测语义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撮合、费用、funding、precision、margin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E2-E3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量化引擎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E5 Handler / Ops / 策略模板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给研究员可直接上手的默认组件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Alpha158Crypto、custom ops、样例策略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E3-E4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量化研究平台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E6 测试与样本数据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建立回归测试与验收样本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golden dataset、UAT 案例、性能报告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E1-E5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QA / SDET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E7 文档与运维交接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确保使用与维护可持续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部署文档、配置说明、FAQ、运维手册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全链路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研发负责人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P1</w:t>
            </w:r>
          </w:p>
        </w:tc>
      </w:tr>
    </w:tbl>
    <w:p/>
    <w:p>
      <w:pPr>
        <w:pStyle w:val="Heading2"/>
      </w:pPr>
      <w:r>
        <w:t>27.1 Epic 到 Story 的拆分建议</w:t>
      </w:r>
    </w:p>
    <w:p>
      <w:pPr>
        <w:pStyle w:val="ListBullet"/>
      </w:pPr>
      <w:r>
        <w:t>E1-S1：接入 Binance Spot / Futures 的 K 线、交易规则、funding 与 metadata 公共数据。</w:t>
      </w:r>
    </w:p>
    <w:p>
      <w:pPr>
        <w:pStyle w:val="ListBullet"/>
      </w:pPr>
      <w:r>
        <w:t>E1-S2：接入 OKX 与 Bybit 的主数据与增量数据，统一落到 raw schema。</w:t>
      </w:r>
    </w:p>
    <w:p>
      <w:pPr>
        <w:pStyle w:val="ListBullet"/>
      </w:pPr>
      <w:r>
        <w:t>E1-S3：实现 normalize 规则：字段重命名、单位标准化、异常值和缺失值标记。</w:t>
      </w:r>
    </w:p>
    <w:p>
      <w:pPr>
        <w:pStyle w:val="ListBullet"/>
      </w:pPr>
      <w:r>
        <w:t>E2-S1：生成 UTC 对齐的 1m canonical calendar；派生 5m/15m/1h/4h/12h/24h。</w:t>
      </w:r>
    </w:p>
    <w:p>
      <w:pPr>
        <w:pStyle w:val="ListBullet"/>
      </w:pPr>
      <w:r>
        <w:t>E2-S2：设计 instrument_id、生命周期、market_type、venue、tick_size、lot_size 主数据模型。</w:t>
      </w:r>
    </w:p>
    <w:p>
      <w:pPr>
        <w:pStyle w:val="ListBullet"/>
      </w:pPr>
      <w:r>
        <w:t>E3-S1：实现 provider_uri 多频率路径配置与 freq parser 兼容层。</w:t>
      </w:r>
    </w:p>
    <w:p>
      <w:pPr>
        <w:pStyle w:val="ListBullet"/>
      </w:pPr>
      <w:r>
        <w:t>E3-S2：完成 qlib-bin dump、校验和回读工具，保证 D.features() 多频率一致。</w:t>
      </w:r>
    </w:p>
    <w:p>
      <w:pPr>
        <w:pStyle w:val="ListBullet"/>
      </w:pPr>
      <w:r>
        <w:t>E4-S1：实现 Spot Exchange：maker/taker、min notional、step size、滑点。</w:t>
      </w:r>
    </w:p>
    <w:p>
      <w:pPr>
        <w:pStyle w:val="ListBullet"/>
      </w:pPr>
      <w:r>
        <w:t>E4-S2：实现 Perp Exchange：mark price、funding、杠杆、保证金与强平检查。</w:t>
      </w:r>
    </w:p>
    <w:p>
      <w:pPr>
        <w:pStyle w:val="ListBullet"/>
      </w:pPr>
      <w:r>
        <w:t>E4-S3：实现 nested execution 的粗粒度决策 / 细粒度执行链路。</w:t>
      </w:r>
    </w:p>
    <w:p>
      <w:pPr>
        <w:pStyle w:val="ListBullet"/>
      </w:pPr>
      <w:r>
        <w:t>E5-S1：交付 Alpha158Crypto、Funding/Basis/OI 系列 custom ops。</w:t>
      </w:r>
    </w:p>
    <w:p>
      <w:pPr>
        <w:pStyle w:val="ListBullet"/>
      </w:pPr>
      <w:r>
        <w:t>E5-S2：交付现货轮动、永续多空、中性组合三个样例策略。</w:t>
      </w:r>
    </w:p>
    <w:p>
      <w:pPr>
        <w:pStyle w:val="ListBullet"/>
      </w:pPr>
      <w:r>
        <w:t>E6-S1：建立 golden dataset 与多频率回测基准结果。</w:t>
      </w:r>
    </w:p>
    <w:p>
      <w:pPr>
        <w:pStyle w:val="ListBullet"/>
      </w:pPr>
      <w:r>
        <w:t>E6-S2：建立性能测试：单频读取、多频切换、回测吞吐与内存曲线。</w:t>
      </w:r>
    </w:p>
    <w:p>
      <w:pPr>
        <w:pStyle w:val="Heading2"/>
      </w:pPr>
      <w:r>
        <w:t>27.2 Story 到 Task 的最小落地粒度</w:t>
      </w:r>
    </w:p>
    <w:p>
      <w:r>
        <w:t>每个 Story 至少拆成以下任务类型：需求澄清、接口设计、数据样本准备、单元测试、集成测试、文档补齐。若 Story 涉及时间语义、频率转换或费用计算，必须单独列出边界测试任务。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任务类型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示例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输出物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验收口径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备注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接口设计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定义 collector 输入/输出契约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接口说明、字段字典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评审通过且可供并行开发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必须先于编码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样本准备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准备 BTC/ETH/SOL 各频率样本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样本包、校验摘要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研发与测试使用同一份样本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避免口径漂移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功能开发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实现 provider/exchange/ops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模块代码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单测通过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代码阶段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回归测试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验证多频率回测结果稳定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测试报告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与 golden result 偏差在阈值内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不可跳过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文档补齐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更新 README / 运维说明 / FAQ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文档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可供新成员独立上手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作为 DoD 条件</w:t>
            </w:r>
          </w:p>
        </w:tc>
      </w:tr>
    </w:tbl>
    <w:p/>
    <w:p>
      <w:pPr>
        <w:pStyle w:val="Heading1"/>
      </w:pPr>
      <w:r>
        <w:t>28. 模块接口清单（研发前冻结版）</w:t>
      </w:r>
    </w:p>
    <w:p>
      <w:r>
        <w:t>本节不提供代码接口，但冻结模块之间必须对齐的输入、输出与责任边界。任何实现方案都不得绕过这些契约，避免出现“各模块各自猜字段”的情况。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模块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输入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输出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关键字段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失败处理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责任边界</w:t>
            </w:r>
          </w:p>
        </w:tc>
      </w:tr>
      <w:tr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Collector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交易所 REST/WS 原始响应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raw parquet/csv/jsonl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venue,symbol,ts,open,high,low,close,volume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重试、限流、落告警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只负责采集，不做研究口径假设</w:t>
            </w:r>
          </w:p>
        </w:tc>
      </w:tr>
      <w:tr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Normalize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raw 数据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normalized 表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instrument_id,bar_start_ts_utc,bar_end_ts_utc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标记 bad_quality，不静默改值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负责字段统一与单位标准化</w:t>
            </w:r>
          </w:p>
        </w:tc>
      </w:tr>
      <w:tr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Dump/Bin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normalized 表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qlib bin + calendars + instruments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freq,date/intraday key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缺文件则阻断发布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负责 qlib 可读格式</w:t>
            </w:r>
          </w:p>
        </w:tc>
      </w:tr>
      <w:tr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Provider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provider_uri / freq / field expr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DataFrame/Series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$open,$close,$volume 等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频率不存在必须显式报错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不做业务回测逻辑</w:t>
            </w:r>
          </w:p>
        </w:tc>
      </w:tr>
      <w:tr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CryptoExchange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订单意图、市场数据、规则元数据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成交回报、费用、持仓变化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side,qty,price,fee,funding,margin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部分成交/拒单/爆仓需可回放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负责执行与账户语义</w:t>
            </w:r>
          </w:p>
        </w:tc>
      </w:tr>
      <w:tr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Strategy/Workflow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features、labels、exchange 回报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信号、订单意图、评估报告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score,target_weight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缺数或频率冲突必须报错</w:t>
            </w:r>
          </w:p>
        </w:tc>
        <w:tc>
          <w:tcPr>
            <w:tcW w:type="dxa" w:w="164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负责研究与调仓逻辑</w:t>
            </w:r>
          </w:p>
        </w:tc>
      </w:tr>
    </w:tbl>
    <w:p/>
    <w:p>
      <w:pPr>
        <w:pStyle w:val="Heading2"/>
      </w:pPr>
      <w:r>
        <w:t>28.1 关键接口字段约束</w:t>
      </w:r>
    </w:p>
    <w:p>
      <w:pPr>
        <w:pStyle w:val="ListBullet"/>
      </w:pPr>
      <w:r>
        <w:t>所有时间字段统一使用 UTC；原始交易所时间若保留，必须显式命名为 exchange_ts 或 local_ts。</w:t>
      </w:r>
    </w:p>
    <w:p>
      <w:pPr>
        <w:pStyle w:val="ListBullet"/>
      </w:pPr>
      <w:r>
        <w:t>所有频率字段统一使用枚举字符串：1m、5m、15m、1h、4h、12h、24h；禁止 day、daily、D 等混写进入契约层。</w:t>
      </w:r>
    </w:p>
    <w:p>
      <w:pPr>
        <w:pStyle w:val="ListBullet"/>
      </w:pPr>
      <w:r>
        <w:t>instrument_id 必须可逆解析出 venue / market_type / base / quote，不允许研究层依赖交易所原始 symbol 进行逻辑判断。</w:t>
      </w:r>
    </w:p>
    <w:p>
      <w:pPr>
        <w:pStyle w:val="ListBullet"/>
      </w:pPr>
      <w:r>
        <w:t>费用类字段需区分 fee_currency、fee_amount、fee_rate，避免只记录单一数值导致归因不完整。</w:t>
      </w:r>
    </w:p>
    <w:p>
      <w:pPr>
        <w:pStyle w:val="ListBullet"/>
      </w:pPr>
      <w:r>
        <w:t>perp 相关字段必须区分 realized_funding 与 expected_funding，避免未来数据泄漏。</w:t>
      </w:r>
    </w:p>
    <w:p>
      <w:pPr>
        <w:pStyle w:val="Heading1"/>
      </w:pPr>
      <w:r>
        <w:t>29. 测试矩阵与验收样例清单</w:t>
      </w:r>
    </w:p>
    <w:p>
      <w:r>
        <w:t>测试矩阵用于保证开发完成后，团队可以系统验证 7×24、多频率、spot/perp、provider 与回测执行的一致性。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测试维度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样例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预期结果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优先级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归属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时间轴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跨月、闰年、夏令时无关场景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UTC 连续时间轴无缺口、无重复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P0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数据平台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频率聚合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1m→5m/15m/1h/4h/12h/24h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OHLCV 聚合规则一致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P0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平台研发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多频读取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同一标的切换 1m 与 1h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字段值与边界时间一致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P0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平台研发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现货撮合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买入、卖出、最小名义额不足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成交/拒单符合规则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P0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量化引擎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永续资金费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funding 时间点前后持仓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收益归因正确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P0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量化引擎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杠杆与强平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高杠杆持仓极端行情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保证金检查与强平事件可回放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P1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量化引擎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策略频率嵌套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4h 决策 + 1m 执行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执行明细可追踪到上层决策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P1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研究平台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性能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100 个标的 1m 回测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在目标硬件上达到约定时延与内存上限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P1</w:t>
            </w:r>
          </w:p>
        </w:tc>
        <w:tc>
          <w:tcPr>
            <w:tcW w:type="dxa" w:w="197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QA</w:t>
            </w:r>
          </w:p>
        </w:tc>
      </w:tr>
    </w:tbl>
    <w:p/>
    <w:p>
      <w:pPr>
        <w:pStyle w:val="Heading1"/>
      </w:pPr>
      <w:r>
        <w:t>30. 项目管理与会议机制</w:t>
      </w:r>
    </w:p>
    <w:p>
      <w:pPr>
        <w:pStyle w:val="ListBullet"/>
      </w:pPr>
      <w:r>
        <w:t>每周一次需求/架构例会：冻结接口、关闭开放问题、确认依赖阻塞。</w:t>
      </w:r>
    </w:p>
    <w:p>
      <w:pPr>
        <w:pStyle w:val="ListBullet"/>
      </w:pPr>
      <w:r>
        <w:t>每周一次数据质量例会：核对样本覆盖、异常数据、交易所规则变更。</w:t>
      </w:r>
    </w:p>
    <w:p>
      <w:pPr>
        <w:pStyle w:val="ListBullet"/>
      </w:pPr>
      <w:r>
        <w:t>每两周一次里程碑验收：按 Epic 提交演示、报告、测试结果，而非仅提交代码。</w:t>
      </w:r>
    </w:p>
    <w:p>
      <w:pPr>
        <w:pStyle w:val="ListBullet"/>
      </w:pPr>
      <w:r>
        <w:t>任何涉及时间语义、频率语义、费用模型的变更，必须走 ADR（Architecture Decision Record）流程。</w:t>
      </w:r>
    </w:p>
    <w:p>
      <w:pPr>
        <w:pStyle w:val="Heading1"/>
      </w:pPr>
      <w:r>
        <w:t>31. Architecture Decision Record（ADR）模板</w:t>
      </w:r>
    </w:p>
    <w:p>
      <w:r>
        <w:t>建议项目启动即采用 ADR 管理关键决策。每个 ADR 至少包含：背景、候选方案、权衡、决定、影响范围、回滚策略、责任人和生效日期。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ADR 编号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决策主题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当前建议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必须确认时间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ADR-001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1m 是否为唯一 canonical base frequency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是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项目启动周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ADR-002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24h bar 的唯一锚点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UTC 00:00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项目启动周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ADR-003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instrument_id 命名规范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VENUE:MARKET_TYPE:BASE_QUOTE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项目启动周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ADR-004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Perp 成交价与估值价字段口径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成交价/mark 分离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E4 开始前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ADR-005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V1 是否支持订单簿级仿真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否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项目启动周</w:t>
            </w:r>
          </w:p>
        </w:tc>
      </w:tr>
    </w:tbl>
    <w:p>
      <w:pPr>
        <w:pStyle w:val="Heading1"/>
      </w:pPr>
      <w:r>
        <w:t>32. 编码启动前检查表（Kickoff Checklist）</w:t>
      </w:r>
    </w:p>
    <w:p>
      <w:pPr>
        <w:pStyle w:val="ListBullet"/>
      </w:pPr>
      <w:r>
        <w:t>PRD 与补充规格已评审通过，D1~D6 / ADR-001~005 已冻结。</w:t>
      </w:r>
    </w:p>
    <w:p>
      <w:pPr>
        <w:pStyle w:val="ListBullet"/>
      </w:pPr>
      <w:r>
        <w:t>交易所范围、市场范围、目标标的样本和 V1 支持频率已确认。</w:t>
      </w:r>
    </w:p>
    <w:p>
      <w:pPr>
        <w:pStyle w:val="ListBullet"/>
      </w:pPr>
      <w:r>
        <w:t>字段字典、时间语义、instrument_id 与 provider_uri 约定已锁定。</w:t>
      </w:r>
    </w:p>
    <w:p>
      <w:pPr>
        <w:pStyle w:val="ListBullet"/>
      </w:pPr>
      <w:r>
        <w:t>golden dataset 样本、验收脚本和回归基准结果已准备。</w:t>
      </w:r>
    </w:p>
    <w:p>
      <w:pPr>
        <w:pStyle w:val="ListBullet"/>
      </w:pPr>
      <w:r>
        <w:t>研发、测试、研究与运维负责人已指定，里程碑日期已排定。</w:t>
      </w:r>
    </w:p>
    <w:p>
      <w:pPr>
        <w:pStyle w:val="ListBullet"/>
      </w:pPr>
      <w:r>
        <w:t>文档仓库、变更流程、ADR 模板和需求追踪表已建立。</w:t>
      </w:r>
    </w:p>
    <w:p>
      <w:pPr>
        <w:pStyle w:val="Heading1"/>
      </w:pPr>
      <w:r>
        <w:t>附录 C. 建议的研发排期视图（12 周示例）</w:t>
      </w:r>
    </w:p>
    <w:p>
      <w:r>
        <w:t>以下排期为建议节奏，用于帮助团队在不写代码之前先完成资源与顺序规划；实际排期可按人力调整。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阶段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周次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核心目标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产出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阶段 1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W1-W2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冻结需求、ADR、样本与 schema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评审纪要、字段字典、样本包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阶段 2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W3-W4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完成 E1-E2 设计与联调方案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collector / calendar / instruments 设计稿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阶段 3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W5-W7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完成 E3-E4 详细设计与测试方案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provider / exchange / backtest 设计稿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阶段 4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W8-W9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完成 E5 研究层默认组件设计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handler / ops / strategy 设计稿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阶段 5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W10-W11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完成 E6 测试矩阵与 UAT 准备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测试计划、golden result</w:t>
            </w:r>
          </w:p>
        </w:tc>
      </w:tr>
      <w:tr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阶段 6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W12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项目启动评审与编码开工</w:t>
            </w:r>
          </w:p>
        </w:tc>
        <w:tc>
          <w:tcPr>
            <w:tcW w:type="dxa" w:w="246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开工会议纪要、任务看板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8"/>
      </w:rPr>
      <w:t>qlib-crypto 开发前实施文档包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4C8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15FA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37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6315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pPr>
      <w:spacing w:after="60" w:line="276" w:lineRule="auto"/>
    </w:pPr>
    <w:rPr>
      <w:rFonts w:ascii="Noto Sans CJK SC" w:hAnsi="Noto Sans CJK SC" w:eastAsia="Noto Sans CJK SC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