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3BFAC" w14:textId="77777777" w:rsidR="009855EC" w:rsidRDefault="009855EC" w:rsidP="00105EA4">
      <w:pPr>
        <w:spacing w:after="120"/>
      </w:pPr>
    </w:p>
    <w:p w14:paraId="0C3137B8" w14:textId="77777777" w:rsidR="00105EA4" w:rsidRDefault="00105EA4" w:rsidP="00105EA4">
      <w:pPr>
        <w:spacing w:after="120"/>
      </w:pPr>
    </w:p>
    <w:p w14:paraId="67C4B146" w14:textId="77777777" w:rsidR="00105EA4" w:rsidRDefault="00105EA4" w:rsidP="00105EA4">
      <w:pPr>
        <w:spacing w:after="960"/>
      </w:pPr>
    </w:p>
    <w:p w14:paraId="2B1E7FA4" w14:textId="4C138986" w:rsidR="00105EA4" w:rsidRDefault="00105EA4" w:rsidP="00105EA4">
      <w:pPr>
        <w:spacing w:after="120"/>
        <w:jc w:val="center"/>
      </w:pPr>
      <w:r>
        <w:t>LAWPD - CIAM Migration  |  System Architecture</w:t>
      </w:r>
    </w:p>
    <w:p w14:paraId="3856E1F2" w14:textId="7826D308" w:rsidR="00105EA4" w:rsidRDefault="00105EA4" w:rsidP="00105EA4">
      <w:pPr>
        <w:spacing w:before="80"/>
        <w:jc w:val="center"/>
      </w:pPr>
      <w:r>
        <w:t>Auth0 Bulk User Migration</w:t>
      </w:r>
    </w:p>
    <w:p w14:paraId="788130BE" w14:textId="0F37E45C" w:rsidR="00105EA4" w:rsidRDefault="00105EA4" w:rsidP="00105EA4">
      <w:pPr>
        <w:spacing w:after="280"/>
        <w:jc w:val="center"/>
      </w:pPr>
      <w:r>
        <w:t>System Design Specification</w:t>
      </w:r>
    </w:p>
    <w:p w14:paraId="34555A43" w14:textId="4974907C" w:rsidR="00105EA4" w:rsidRDefault="00105EA4" w:rsidP="00105EA4">
      <w:pPr>
        <w:pBdr>
          <w:bottom w:val="single" w:sz="4" w:space="1" w:color="C8DCE8"/>
        </w:pBdr>
        <w:spacing w:after="280"/>
        <w:jc w:val="center"/>
      </w:pPr>
      <w:r>
        <w:t xml:space="preserve"> </w:t>
      </w:r>
    </w:p>
    <w:p w14:paraId="4AA8FD4D" w14:textId="77777777" w:rsidR="00105EA4" w:rsidRDefault="00105EA4" w:rsidP="00105EA4">
      <w:pPr>
        <w:pBdr>
          <w:bottom w:val="single" w:sz="4" w:space="1" w:color="C8DCE8"/>
        </w:pBdr>
        <w:spacing w:after="200"/>
        <w:jc w:val="center"/>
      </w:pPr>
    </w:p>
    <w:p w14:paraId="35EF7C36" w14:textId="3F7CE8B4" w:rsidR="00105EA4" w:rsidRDefault="00105EA4" w:rsidP="00105EA4">
      <w:pPr>
        <w:pBdr>
          <w:bottom w:val="single" w:sz="4" w:space="1" w:color="C8DCE8"/>
        </w:pBdr>
        <w:spacing w:after="100"/>
        <w:jc w:val="center"/>
      </w:pPr>
      <w:r>
        <w:t>Prepared for:  Client Review</w:t>
      </w:r>
    </w:p>
    <w:p w14:paraId="07315B07" w14:textId="0B7DCEB9" w:rsidR="00105EA4" w:rsidRDefault="00105EA4" w:rsidP="00105EA4">
      <w:pPr>
        <w:pBdr>
          <w:bottom w:val="single" w:sz="4" w:space="1" w:color="C8DCE8"/>
        </w:pBdr>
        <w:spacing w:after="100"/>
        <w:jc w:val="center"/>
      </w:pPr>
      <w:r>
        <w:t>Classification:  Confidential</w:t>
      </w:r>
    </w:p>
    <w:p w14:paraId="1214213D" w14:textId="294BEDF7" w:rsidR="00105EA4" w:rsidRDefault="00105EA4" w:rsidP="00105EA4">
      <w:pPr>
        <w:pBdr>
          <w:bottom w:val="single" w:sz="4" w:space="1" w:color="C8DCE8"/>
        </w:pBdr>
        <w:spacing w:after="100"/>
        <w:jc w:val="center"/>
      </w:pPr>
      <w:r>
        <w:t>Version:  2.0 - Final</w:t>
      </w:r>
    </w:p>
    <w:p w14:paraId="2BEFA6E6" w14:textId="23E29F52" w:rsidR="00105EA4" w:rsidRDefault="00105EA4" w:rsidP="00105EA4">
      <w:pPr>
        <w:pBdr>
          <w:bottom w:val="single" w:sz="4" w:space="1" w:color="C8DCE8"/>
        </w:pBdr>
        <w:spacing w:after="100"/>
        <w:jc w:val="center"/>
      </w:pPr>
      <w:r>
        <w:t>Go-Live:  23 November 2026  |  2M Users - Big Bang</w:t>
      </w:r>
    </w:p>
    <w:p w14:paraId="4985DA49" w14:textId="2F13F05F" w:rsidR="00105EA4" w:rsidRDefault="00105EA4">
      <w:r>
        <w:br w:type="page"/>
      </w:r>
    </w:p>
    <w:p w14:paraId="2AF93BCA" w14:textId="36776E9A" w:rsidR="00105EA4" w:rsidRDefault="00105EA4" w:rsidP="00105EA4">
      <w:pPr>
        <w:pStyle w:val="Heading1"/>
        <w:spacing w:before="320" w:after="160"/>
      </w:pPr>
      <w:r>
        <w:lastRenderedPageBreak/>
        <w:t>1.  Executive Summary</w:t>
      </w:r>
    </w:p>
    <w:p w14:paraId="4F27BEC4" w14:textId="00A55485" w:rsidR="00105EA4" w:rsidRDefault="00105EA4" w:rsidP="00105EA4">
      <w:r>
        <w:t>This document describes the technical design of the Auth0 Bulk User Migration Pipeline - a production-grade system built to migrate 2 million LADWP user accounts from Oracle OUD/OAM into Auth0, with full auditability and the ability to resume from any point of interruption.</w:t>
      </w:r>
    </w:p>
    <w:p w14:paraId="0C767AA3" w14:textId="40A14BCD" w:rsidR="00105EA4" w:rsidRDefault="00105EA4" w:rsidP="00105EA4">
      <w:r>
        <w:t>The pipeline is built on BullMQ (a Redis-backed job queue) and operates strictly within Auth0 hard platform limits: a 500 KB file size cap per import job and a maximum of two concurrent import jobs per tenant. User records are read from a Redis List, batched into size-bounded JSON files, and imported in parallel via the Auth0 Management API. Failed users are retried individually up to a configurable threshold; users exhausting all retries are written to manual-review.xlsx for human intervention.</w:t>
      </w:r>
    </w:p>
    <w:p w14:paraId="3A7BF1A6" w14:textId="3FF23829" w:rsidR="00105EA4" w:rsidRDefault="00105EA4" w:rsidP="00105EA4">
      <w:pPr>
        <w:spacing w:after="200"/>
      </w:pPr>
      <w:r>
        <w:t>A Redis-backed checkpoint ensures the pipeline resumes exactly where it stopped after any crash, deployment, or intentional pause - no data is re-processed and no in-progress work is lost.</w:t>
      </w:r>
    </w:p>
    <w:tbl>
      <w:tblPr>
        <w:tblW w:w="0" w:type="auto"/>
        <w:shd w:val="clear" w:color="auto" w:fill="C6EFCE"/>
        <w:tblLayout w:type="fixed"/>
        <w:tblLook w:val="0000" w:firstRow="0" w:lastRow="0" w:firstColumn="0" w:lastColumn="0" w:noHBand="0" w:noVBand="0"/>
      </w:tblPr>
      <w:tblGrid>
        <w:gridCol w:w="9072"/>
      </w:tblGrid>
      <w:tr w:rsidR="00105EA4" w14:paraId="2D28B8F9" w14:textId="77777777" w:rsidTr="00105EA4">
        <w:tc>
          <w:tcPr>
            <w:tcW w:w="9072" w:type="dxa"/>
            <w:shd w:val="clear" w:color="auto" w:fill="C6EFCE"/>
          </w:tcPr>
          <w:p w14:paraId="1138051C" w14:textId="0E4CEBF9" w:rsidR="00105EA4" w:rsidRPr="00105EA4" w:rsidRDefault="00105EA4" w:rsidP="00105EA4">
            <w:pPr>
              <w:spacing w:before="80" w:after="80"/>
              <w:rPr>
                <w:color w:val="006100"/>
                <w:sz w:val="20"/>
              </w:rPr>
            </w:pPr>
            <w:r w:rsidRPr="00105EA4">
              <w:rPr>
                <w:color w:val="006100"/>
                <w:sz w:val="20"/>
              </w:rPr>
              <w:t>[OK]  Safe to re-run at any time. The checkpoint ensures already-completed batches are skipped. Resuming after a crash or stop picks up exactly where the migration left off.</w:t>
            </w:r>
          </w:p>
        </w:tc>
      </w:tr>
    </w:tbl>
    <w:p w14:paraId="102CFFCC" w14:textId="77777777" w:rsidR="00105EA4" w:rsidRDefault="00105EA4" w:rsidP="00105EA4">
      <w:pPr>
        <w:spacing w:after="200"/>
      </w:pPr>
    </w:p>
    <w:p w14:paraId="3FBA3321" w14:textId="65484AA8" w:rsidR="00105EA4" w:rsidRDefault="00105EA4" w:rsidP="00105EA4">
      <w:pPr>
        <w:pStyle w:val="Heading1"/>
        <w:spacing w:before="320" w:after="160"/>
      </w:pPr>
      <w:r>
        <w:t>2.  Auth0 API Constraints</w:t>
      </w:r>
    </w:p>
    <w:p w14:paraId="3CF5033F" w14:textId="1E8A53A4" w:rsidR="00105EA4" w:rsidRDefault="00105EA4" w:rsidP="00105EA4">
      <w:pPr>
        <w:spacing w:after="200"/>
      </w:pPr>
      <w:r>
        <w:t>The following limits are enforced by the Auth0 platform and are hard constraints - not configurable without an explicit quota increase request to Auth0 Support. Every architectural decision in this system traces back to one or more of these boundaries.</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68"/>
        <w:gridCol w:w="1440"/>
        <w:gridCol w:w="4320"/>
      </w:tblGrid>
      <w:tr w:rsidR="00105EA4" w14:paraId="54CA531E" w14:textId="77777777" w:rsidTr="00105EA4">
        <w:tc>
          <w:tcPr>
            <w:tcW w:w="3168" w:type="dxa"/>
            <w:tcBorders>
              <w:bottom w:val="single" w:sz="4" w:space="0" w:color="auto"/>
            </w:tcBorders>
            <w:shd w:val="clear" w:color="auto" w:fill="0F2D4A"/>
          </w:tcPr>
          <w:p w14:paraId="3122965F" w14:textId="41758FA5" w:rsidR="00105EA4" w:rsidRPr="00105EA4" w:rsidRDefault="00105EA4" w:rsidP="00105EA4">
            <w:pPr>
              <w:spacing w:after="200"/>
              <w:rPr>
                <w:b/>
                <w:color w:val="FFFFFF"/>
                <w:sz w:val="18"/>
              </w:rPr>
            </w:pPr>
            <w:r w:rsidRPr="00105EA4">
              <w:rPr>
                <w:b/>
                <w:color w:val="FFFFFF"/>
                <w:sz w:val="18"/>
              </w:rPr>
              <w:t>Constraint</w:t>
            </w:r>
          </w:p>
        </w:tc>
        <w:tc>
          <w:tcPr>
            <w:tcW w:w="1440" w:type="dxa"/>
            <w:tcBorders>
              <w:bottom w:val="single" w:sz="4" w:space="0" w:color="auto"/>
            </w:tcBorders>
            <w:shd w:val="clear" w:color="auto" w:fill="0F2D4A"/>
          </w:tcPr>
          <w:p w14:paraId="16EF9A20" w14:textId="56147399" w:rsidR="00105EA4" w:rsidRPr="00105EA4" w:rsidRDefault="00105EA4" w:rsidP="00105EA4">
            <w:pPr>
              <w:spacing w:after="200"/>
              <w:rPr>
                <w:b/>
                <w:color w:val="FFFFFF"/>
                <w:sz w:val="18"/>
              </w:rPr>
            </w:pPr>
            <w:r w:rsidRPr="00105EA4">
              <w:rPr>
                <w:b/>
                <w:color w:val="FFFFFF"/>
                <w:sz w:val="18"/>
              </w:rPr>
              <w:t>Limit</w:t>
            </w:r>
          </w:p>
        </w:tc>
        <w:tc>
          <w:tcPr>
            <w:tcW w:w="4320" w:type="dxa"/>
            <w:tcBorders>
              <w:bottom w:val="single" w:sz="4" w:space="0" w:color="auto"/>
            </w:tcBorders>
            <w:shd w:val="clear" w:color="auto" w:fill="0F2D4A"/>
          </w:tcPr>
          <w:p w14:paraId="00F8686A" w14:textId="69A3996F" w:rsidR="00105EA4" w:rsidRPr="00105EA4" w:rsidRDefault="00105EA4" w:rsidP="00105EA4">
            <w:pPr>
              <w:spacing w:after="200"/>
              <w:rPr>
                <w:b/>
                <w:color w:val="FFFFFF"/>
                <w:sz w:val="18"/>
              </w:rPr>
            </w:pPr>
            <w:r w:rsidRPr="00105EA4">
              <w:rPr>
                <w:b/>
                <w:color w:val="FFFFFF"/>
                <w:sz w:val="18"/>
              </w:rPr>
              <w:t>Design Response</w:t>
            </w:r>
          </w:p>
        </w:tc>
      </w:tr>
      <w:tr w:rsidR="00105EA4" w14:paraId="49D99A12" w14:textId="77777777" w:rsidTr="00105EA4">
        <w:tc>
          <w:tcPr>
            <w:tcW w:w="3168" w:type="dxa"/>
            <w:tcBorders>
              <w:bottom w:val="single" w:sz="4" w:space="0" w:color="auto"/>
            </w:tcBorders>
            <w:shd w:val="clear" w:color="auto" w:fill="FFFFFF"/>
          </w:tcPr>
          <w:p w14:paraId="70E390F8" w14:textId="444223E5" w:rsidR="00105EA4" w:rsidRPr="00105EA4" w:rsidRDefault="00105EA4" w:rsidP="00105EA4">
            <w:pPr>
              <w:spacing w:after="200"/>
              <w:rPr>
                <w:b/>
                <w:color w:val="1A2733"/>
                <w:sz w:val="20"/>
              </w:rPr>
            </w:pPr>
            <w:r w:rsidRPr="00105EA4">
              <w:rPr>
                <w:b/>
                <w:color w:val="1A2733"/>
                <w:sz w:val="20"/>
              </w:rPr>
              <w:t>Maximum file size per import job</w:t>
            </w:r>
          </w:p>
        </w:tc>
        <w:tc>
          <w:tcPr>
            <w:tcW w:w="1440" w:type="dxa"/>
            <w:tcBorders>
              <w:bottom w:val="single" w:sz="4" w:space="0" w:color="auto"/>
            </w:tcBorders>
            <w:shd w:val="clear" w:color="auto" w:fill="FFFFFF"/>
          </w:tcPr>
          <w:p w14:paraId="653D750D" w14:textId="3867E999" w:rsidR="00105EA4" w:rsidRPr="00105EA4" w:rsidRDefault="00105EA4" w:rsidP="00105EA4">
            <w:pPr>
              <w:spacing w:after="200"/>
              <w:rPr>
                <w:color w:val="1A2733"/>
                <w:sz w:val="20"/>
              </w:rPr>
            </w:pPr>
            <w:r w:rsidRPr="00105EA4">
              <w:rPr>
                <w:color w:val="1A2733"/>
                <w:sz w:val="20"/>
              </w:rPr>
              <w:t>500 KB</w:t>
            </w:r>
          </w:p>
        </w:tc>
        <w:tc>
          <w:tcPr>
            <w:tcW w:w="4320" w:type="dxa"/>
            <w:tcBorders>
              <w:bottom w:val="single" w:sz="4" w:space="0" w:color="auto"/>
            </w:tcBorders>
            <w:shd w:val="clear" w:color="auto" w:fill="FFFFFF"/>
          </w:tcPr>
          <w:p w14:paraId="01C0506A" w14:textId="05797185" w:rsidR="00105EA4" w:rsidRPr="00105EA4" w:rsidRDefault="00105EA4" w:rsidP="00105EA4">
            <w:pPr>
              <w:spacing w:after="200"/>
              <w:rPr>
                <w:color w:val="1A2733"/>
                <w:sz w:val="20"/>
              </w:rPr>
            </w:pPr>
            <w:r w:rsidRPr="00105EA4">
              <w:rPr>
                <w:color w:val="1A2733"/>
                <w:sz w:val="20"/>
              </w:rPr>
              <w:t>Chunks are sized to &lt;= 480 KB, leaving a 20 KB buffer for JSON serialisation overhead across platforms.</w:t>
            </w:r>
          </w:p>
        </w:tc>
      </w:tr>
      <w:tr w:rsidR="00105EA4" w14:paraId="7AD86E31" w14:textId="77777777" w:rsidTr="00105EA4">
        <w:tc>
          <w:tcPr>
            <w:tcW w:w="3168" w:type="dxa"/>
            <w:tcBorders>
              <w:bottom w:val="single" w:sz="4" w:space="0" w:color="auto"/>
            </w:tcBorders>
            <w:shd w:val="clear" w:color="auto" w:fill="F4F9FC"/>
          </w:tcPr>
          <w:p w14:paraId="3BF87AC9" w14:textId="1F04B41D" w:rsidR="00105EA4" w:rsidRPr="00105EA4" w:rsidRDefault="00105EA4" w:rsidP="00105EA4">
            <w:pPr>
              <w:spacing w:after="200"/>
              <w:rPr>
                <w:b/>
                <w:color w:val="1A2733"/>
                <w:sz w:val="20"/>
              </w:rPr>
            </w:pPr>
            <w:r w:rsidRPr="00105EA4">
              <w:rPr>
                <w:b/>
                <w:color w:val="1A2733"/>
                <w:sz w:val="20"/>
              </w:rPr>
              <w:t>Concurrent import jobs per tenant</w:t>
            </w:r>
          </w:p>
        </w:tc>
        <w:tc>
          <w:tcPr>
            <w:tcW w:w="1440" w:type="dxa"/>
            <w:tcBorders>
              <w:bottom w:val="single" w:sz="4" w:space="0" w:color="auto"/>
            </w:tcBorders>
            <w:shd w:val="clear" w:color="auto" w:fill="F4F9FC"/>
          </w:tcPr>
          <w:p w14:paraId="468B3E1F" w14:textId="127E8A3D" w:rsidR="00105EA4" w:rsidRPr="00105EA4" w:rsidRDefault="00105EA4" w:rsidP="00105EA4">
            <w:pPr>
              <w:spacing w:after="200"/>
              <w:rPr>
                <w:color w:val="1A2733"/>
                <w:sz w:val="20"/>
              </w:rPr>
            </w:pPr>
            <w:r w:rsidRPr="00105EA4">
              <w:rPr>
                <w:color w:val="1A2733"/>
                <w:sz w:val="20"/>
              </w:rPr>
              <w:t>2 (default)</w:t>
            </w:r>
          </w:p>
        </w:tc>
        <w:tc>
          <w:tcPr>
            <w:tcW w:w="4320" w:type="dxa"/>
            <w:tcBorders>
              <w:bottom w:val="single" w:sz="4" w:space="0" w:color="auto"/>
            </w:tcBorders>
            <w:shd w:val="clear" w:color="auto" w:fill="F4F9FC"/>
          </w:tcPr>
          <w:p w14:paraId="66DB0194" w14:textId="1B8A0780" w:rsidR="00105EA4" w:rsidRPr="00105EA4" w:rsidRDefault="00105EA4" w:rsidP="00105EA4">
            <w:pPr>
              <w:spacing w:after="200"/>
              <w:rPr>
                <w:color w:val="1A2733"/>
                <w:sz w:val="20"/>
              </w:rPr>
            </w:pPr>
            <w:r w:rsidRPr="00105EA4">
              <w:rPr>
                <w:color w:val="1A2733"/>
                <w:sz w:val="20"/>
              </w:rPr>
              <w:t>Worker concurrency is controlled by MAX_CONCURRENT_AUTH0_JOBS. Changing the env var is the only action needed when Auth0 raises the limit.</w:t>
            </w:r>
          </w:p>
        </w:tc>
      </w:tr>
      <w:tr w:rsidR="00105EA4" w14:paraId="11515142" w14:textId="77777777" w:rsidTr="00105EA4">
        <w:tc>
          <w:tcPr>
            <w:tcW w:w="3168" w:type="dxa"/>
            <w:tcBorders>
              <w:bottom w:val="single" w:sz="4" w:space="0" w:color="auto"/>
            </w:tcBorders>
            <w:shd w:val="clear" w:color="auto" w:fill="FFFFFF"/>
          </w:tcPr>
          <w:p w14:paraId="5C084F6D" w14:textId="194E7BF7" w:rsidR="00105EA4" w:rsidRPr="00105EA4" w:rsidRDefault="00105EA4" w:rsidP="00105EA4">
            <w:pPr>
              <w:spacing w:after="200"/>
              <w:rPr>
                <w:b/>
                <w:color w:val="1A2733"/>
                <w:sz w:val="20"/>
              </w:rPr>
            </w:pPr>
            <w:r w:rsidRPr="00105EA4">
              <w:rPr>
                <w:b/>
                <w:color w:val="1A2733"/>
                <w:sz w:val="20"/>
              </w:rPr>
              <w:t>Job completion timeout</w:t>
            </w:r>
          </w:p>
        </w:tc>
        <w:tc>
          <w:tcPr>
            <w:tcW w:w="1440" w:type="dxa"/>
            <w:tcBorders>
              <w:bottom w:val="single" w:sz="4" w:space="0" w:color="auto"/>
            </w:tcBorders>
            <w:shd w:val="clear" w:color="auto" w:fill="FFFFFF"/>
          </w:tcPr>
          <w:p w14:paraId="45DBEBBA" w14:textId="72F66AA0" w:rsidR="00105EA4" w:rsidRPr="00105EA4" w:rsidRDefault="00105EA4" w:rsidP="00105EA4">
            <w:pPr>
              <w:spacing w:after="200"/>
              <w:rPr>
                <w:color w:val="1A2733"/>
                <w:sz w:val="20"/>
              </w:rPr>
            </w:pPr>
            <w:r w:rsidRPr="00105EA4">
              <w:rPr>
                <w:color w:val="1A2733"/>
                <w:sz w:val="20"/>
              </w:rPr>
              <w:t>2 hours</w:t>
            </w:r>
          </w:p>
        </w:tc>
        <w:tc>
          <w:tcPr>
            <w:tcW w:w="4320" w:type="dxa"/>
            <w:tcBorders>
              <w:bottom w:val="single" w:sz="4" w:space="0" w:color="auto"/>
            </w:tcBorders>
            <w:shd w:val="clear" w:color="auto" w:fill="FFFFFF"/>
          </w:tcPr>
          <w:p w14:paraId="20EF2453" w14:textId="7265694B" w:rsidR="00105EA4" w:rsidRPr="00105EA4" w:rsidRDefault="00105EA4" w:rsidP="00105EA4">
            <w:pPr>
              <w:spacing w:after="200"/>
              <w:rPr>
                <w:color w:val="1A2733"/>
                <w:sz w:val="20"/>
              </w:rPr>
            </w:pPr>
            <w:r w:rsidRPr="00105EA4">
              <w:rPr>
                <w:color w:val="1A2733"/>
                <w:sz w:val="20"/>
              </w:rPr>
              <w:t>Status poller caps at 240 attempts x 30 s = 120 min. Jobs that do not complete have their users escalated to the retry queue.</w:t>
            </w:r>
          </w:p>
        </w:tc>
      </w:tr>
      <w:tr w:rsidR="00105EA4" w14:paraId="28871835" w14:textId="77777777" w:rsidTr="00105EA4">
        <w:tc>
          <w:tcPr>
            <w:tcW w:w="3168" w:type="dxa"/>
            <w:tcBorders>
              <w:bottom w:val="single" w:sz="4" w:space="0" w:color="auto"/>
            </w:tcBorders>
            <w:shd w:val="clear" w:color="auto" w:fill="F4F9FC"/>
          </w:tcPr>
          <w:p w14:paraId="77A700ED" w14:textId="3785551D" w:rsidR="00105EA4" w:rsidRPr="00105EA4" w:rsidRDefault="00105EA4" w:rsidP="00105EA4">
            <w:pPr>
              <w:spacing w:after="200"/>
              <w:rPr>
                <w:b/>
                <w:color w:val="1A2733"/>
                <w:sz w:val="20"/>
              </w:rPr>
            </w:pPr>
            <w:r w:rsidRPr="00105EA4">
              <w:rPr>
                <w:b/>
                <w:color w:val="1A2733"/>
                <w:sz w:val="20"/>
              </w:rPr>
              <w:lastRenderedPageBreak/>
              <w:t>Job data TTL (auto-deleted by Auth0)</w:t>
            </w:r>
          </w:p>
        </w:tc>
        <w:tc>
          <w:tcPr>
            <w:tcW w:w="1440" w:type="dxa"/>
            <w:tcBorders>
              <w:bottom w:val="single" w:sz="4" w:space="0" w:color="auto"/>
            </w:tcBorders>
            <w:shd w:val="clear" w:color="auto" w:fill="F4F9FC"/>
          </w:tcPr>
          <w:p w14:paraId="5CDB8DE4" w14:textId="111EFE8C" w:rsidR="00105EA4" w:rsidRPr="00105EA4" w:rsidRDefault="00105EA4" w:rsidP="00105EA4">
            <w:pPr>
              <w:spacing w:after="200"/>
              <w:rPr>
                <w:color w:val="1A2733"/>
                <w:sz w:val="20"/>
              </w:rPr>
            </w:pPr>
            <w:r w:rsidRPr="00105EA4">
              <w:rPr>
                <w:color w:val="1A2733"/>
                <w:sz w:val="20"/>
              </w:rPr>
              <w:t>24 hours</w:t>
            </w:r>
          </w:p>
        </w:tc>
        <w:tc>
          <w:tcPr>
            <w:tcW w:w="4320" w:type="dxa"/>
            <w:tcBorders>
              <w:bottom w:val="single" w:sz="4" w:space="0" w:color="auto"/>
            </w:tcBorders>
            <w:shd w:val="clear" w:color="auto" w:fill="F4F9FC"/>
          </w:tcPr>
          <w:p w14:paraId="6DDF3F2A" w14:textId="6D17FF7F" w:rsidR="00105EA4" w:rsidRPr="00105EA4" w:rsidRDefault="00105EA4" w:rsidP="00105EA4">
            <w:pPr>
              <w:spacing w:after="200"/>
              <w:rPr>
                <w:color w:val="1A2733"/>
                <w:sz w:val="20"/>
              </w:rPr>
            </w:pPr>
            <w:r w:rsidRPr="00105EA4">
              <w:rPr>
                <w:color w:val="1A2733"/>
                <w:sz w:val="20"/>
              </w:rPr>
              <w:t>Status polling must complete before data expires. In practice the 2-hour cap means this is never reached.</w:t>
            </w:r>
          </w:p>
        </w:tc>
      </w:tr>
      <w:tr w:rsidR="00105EA4" w14:paraId="0A217AED" w14:textId="77777777" w:rsidTr="00105EA4">
        <w:tc>
          <w:tcPr>
            <w:tcW w:w="3168" w:type="dxa"/>
            <w:shd w:val="clear" w:color="auto" w:fill="FFFFFF"/>
          </w:tcPr>
          <w:p w14:paraId="61B87D19" w14:textId="4CB1A5A5" w:rsidR="00105EA4" w:rsidRPr="00105EA4" w:rsidRDefault="00105EA4" w:rsidP="00105EA4">
            <w:pPr>
              <w:spacing w:after="200"/>
              <w:rPr>
                <w:b/>
                <w:color w:val="1A2733"/>
                <w:sz w:val="20"/>
              </w:rPr>
            </w:pPr>
            <w:r w:rsidRPr="00105EA4">
              <w:rPr>
                <w:b/>
                <w:color w:val="1A2733"/>
                <w:sz w:val="20"/>
              </w:rPr>
              <w:t>Per-user retry threshold</w:t>
            </w:r>
          </w:p>
        </w:tc>
        <w:tc>
          <w:tcPr>
            <w:tcW w:w="1440" w:type="dxa"/>
            <w:shd w:val="clear" w:color="auto" w:fill="FFFFFF"/>
          </w:tcPr>
          <w:p w14:paraId="7DA40BBC" w14:textId="562C842E" w:rsidR="00105EA4" w:rsidRPr="00105EA4" w:rsidRDefault="00105EA4" w:rsidP="00105EA4">
            <w:pPr>
              <w:spacing w:after="200"/>
              <w:rPr>
                <w:color w:val="1A2733"/>
                <w:sz w:val="20"/>
              </w:rPr>
            </w:pPr>
            <w:r w:rsidRPr="00105EA4">
              <w:rPr>
                <w:color w:val="1A2733"/>
                <w:sz w:val="20"/>
              </w:rPr>
              <w:t>3 (configurable)</w:t>
            </w:r>
          </w:p>
        </w:tc>
        <w:tc>
          <w:tcPr>
            <w:tcW w:w="4320" w:type="dxa"/>
            <w:shd w:val="clear" w:color="auto" w:fill="FFFFFF"/>
          </w:tcPr>
          <w:p w14:paraId="19631B78" w14:textId="04D7BF5E" w:rsidR="00105EA4" w:rsidRPr="00105EA4" w:rsidRDefault="00105EA4" w:rsidP="00105EA4">
            <w:pPr>
              <w:spacing w:after="200"/>
              <w:rPr>
                <w:color w:val="1A2733"/>
                <w:sz w:val="20"/>
              </w:rPr>
            </w:pPr>
            <w:r w:rsidRPr="00105EA4">
              <w:rPr>
                <w:color w:val="1A2733"/>
                <w:sz w:val="20"/>
              </w:rPr>
              <w:t>After 3 failed attempts a user record is written to manual-review.xlsx for human intervention.</w:t>
            </w:r>
          </w:p>
        </w:tc>
      </w:tr>
    </w:tbl>
    <w:p w14:paraId="0AB1D679" w14:textId="77777777" w:rsidR="00105EA4" w:rsidRDefault="00105EA4" w:rsidP="00105EA4">
      <w:pPr>
        <w:spacing w:after="200"/>
      </w:pPr>
    </w:p>
    <w:p w14:paraId="033D91E3" w14:textId="6C127306" w:rsidR="00105EA4" w:rsidRDefault="00105EA4">
      <w:r>
        <w:br w:type="page"/>
      </w:r>
    </w:p>
    <w:p w14:paraId="1AD3AAEA" w14:textId="4550959E" w:rsidR="00105EA4" w:rsidRDefault="00105EA4" w:rsidP="00105EA4">
      <w:pPr>
        <w:pStyle w:val="Heading1"/>
        <w:spacing w:before="320" w:after="160"/>
      </w:pPr>
      <w:r>
        <w:t>3.  System Architecture</w:t>
      </w:r>
    </w:p>
    <w:p w14:paraId="7B6B3E25" w14:textId="0597EEA0" w:rsidR="00105EA4" w:rsidRDefault="00105EA4" w:rsidP="00105EA4">
      <w:pPr>
        <w:spacing w:after="200"/>
      </w:pPr>
      <w:r>
        <w:t>The pipeline is organised as three co-operating BullMQ queues - Import, Status, and Retry - each processed by dedicated worker processes. The orchestrator reads user data from Redis, chunks it, and enqueues it. Workers are the only components that communicate with the Auth0 API.</w:t>
      </w:r>
    </w:p>
    <w:p w14:paraId="074D5D57" w14:textId="3E028C73" w:rsidR="00105EA4" w:rsidRDefault="00105EA4" w:rsidP="00105EA4">
      <w:pPr>
        <w:pStyle w:val="Heading2"/>
        <w:spacing w:before="240" w:after="120"/>
      </w:pPr>
      <w:r>
        <w:t>3.1  Main Migration Flow</w:t>
      </w:r>
    </w:p>
    <w:p w14:paraId="72D97D11" w14:textId="3CDDD236" w:rsidR="00105EA4" w:rsidRDefault="00105EA4" w:rsidP="00105EA4">
      <w:r>
        <w:t>On startup the orchestrator checks Redis for an existing checkpoint. If one is found, already-processed chunk IDs are loaded and excluded from the queue - the run resumes from the point of interruption. On a fresh run the orchestrator streams all users from the Redis source List using LRANGE in batches of 500, validates each record (skipping rows missing an email address), and writes size-bounded chunks to disk as JSON files.</w:t>
      </w:r>
    </w:p>
    <w:p w14:paraId="4840F9DC" w14:textId="7FBE40D7" w:rsidR="00105EA4" w:rsidRDefault="00105EA4" w:rsidP="00105EA4">
      <w:pPr>
        <w:spacing w:after="200"/>
      </w:pPr>
      <w:r>
        <w:t>Each chunk is enqueued as a BullMQ job using its chunkId as the job ID - making duplicate enqueues idempotent. Workers POST the chunk to Auth0, store the resulting Auth0 job ID in Redis, and add a delayed status polling job to the Status Queue.</w:t>
      </w:r>
    </w:p>
    <w:p w14:paraId="2F3A65B1" w14:textId="5DA87CA3" w:rsidR="00105EA4" w:rsidRDefault="00105EA4" w:rsidP="00105EA4">
      <w:pPr>
        <w:spacing w:after="200"/>
      </w:pPr>
      <w:r>
        <w:rPr>
          <w:noProof/>
        </w:rPr>
        <w:drawing>
          <wp:inline distT="0" distB="0" distL="0" distR="0" wp14:anchorId="23C25634" wp14:editId="51DA9F15">
            <wp:extent cx="1721485" cy="8229600"/>
            <wp:effectExtent l="0" t="0" r="0" b="0"/>
            <wp:docPr id="2124732482" name="Picture 1"/>
            <wp:cNvGraphicFramePr/>
            <a:graphic xmlns:a="http://schemas.openxmlformats.org/drawingml/2006/main">
              <a:graphicData uri="http://schemas.openxmlformats.org/drawingml/2006/picture">
                <pic:pic xmlns:pic="http://schemas.openxmlformats.org/drawingml/2006/picture">
                  <pic:nvPicPr>
                    <pic:cNvPr id="2124732482"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1721485" cy="8229600"/>
                    </a:xfrm>
                    <a:prstGeom prst="rect">
                      <a:avLst/>
                    </a:prstGeom>
                  </pic:spPr>
                </pic:pic>
              </a:graphicData>
            </a:graphic>
          </wp:inline>
        </w:drawing>
      </w:r>
    </w:p>
    <w:p w14:paraId="7DD284ED" w14:textId="104266C5" w:rsidR="00105EA4" w:rsidRDefault="00105EA4" w:rsidP="00105EA4">
      <w:pPr>
        <w:spacing w:after="320"/>
        <w:jc w:val="center"/>
      </w:pPr>
      <w:r>
        <w:t>Fig. 1 - Complete pipeline: source streaming, chunking, parallel import, status polling, and failure escalation</w:t>
      </w:r>
    </w:p>
    <w:p w14:paraId="22EEEFCA" w14:textId="4371D78C" w:rsidR="00105EA4" w:rsidRDefault="00105EA4" w:rsidP="00105EA4">
      <w:pPr>
        <w:pStyle w:val="Heading2"/>
        <w:spacing w:before="240" w:after="120"/>
      </w:pPr>
      <w:r>
        <w:t>3.2  Concurrent Job Sequencing</w:t>
      </w:r>
    </w:p>
    <w:p w14:paraId="65BB8F8D" w14:textId="0CC48A57" w:rsidR="00105EA4" w:rsidRDefault="00105EA4" w:rsidP="00105EA4">
      <w:pPr>
        <w:spacing w:after="200"/>
      </w:pPr>
      <w:r>
        <w:t>Two import workers operate in parallel, controlled by a single environment variable. When Auth0 raises your tenant concurrent job limit, only that value changes - no code is deployed. A worker slot is freed only when the Auth0 job it submitted has fully resolved (completed, failed, or timed out), so concurrency is tracked at the Auth0 job level rather than the HTTP request level.</w:t>
      </w:r>
    </w:p>
    <w:p w14:paraId="59991218" w14:textId="2EDC1972" w:rsidR="00105EA4" w:rsidRDefault="00105EA4" w:rsidP="00105EA4">
      <w:pPr>
        <w:spacing w:after="200"/>
      </w:pPr>
      <w:r>
        <w:rPr>
          <w:noProof/>
        </w:rPr>
        <w:drawing>
          <wp:inline distT="0" distB="0" distL="0" distR="0" wp14:anchorId="4CC8E9BA" wp14:editId="5CA1CEE0">
            <wp:extent cx="5415077" cy="3893579"/>
            <wp:effectExtent l="0" t="0" r="0" b="0"/>
            <wp:docPr id="1601986317" name="Picture 2"/>
            <wp:cNvGraphicFramePr/>
            <a:graphic xmlns:a="http://schemas.openxmlformats.org/drawingml/2006/main">
              <a:graphicData uri="http://schemas.openxmlformats.org/drawingml/2006/picture">
                <pic:pic xmlns:pic="http://schemas.openxmlformats.org/drawingml/2006/picture">
                  <pic:nvPicPr>
                    <pic:cNvPr id="1601986317"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15077" cy="3893579"/>
                    </a:xfrm>
                    <a:prstGeom prst="rect">
                      <a:avLst/>
                    </a:prstGeom>
                  </pic:spPr>
                </pic:pic>
              </a:graphicData>
            </a:graphic>
          </wp:inline>
        </w:drawing>
      </w:r>
    </w:p>
    <w:p w14:paraId="7329175D" w14:textId="0A72339D" w:rsidR="00105EA4" w:rsidRDefault="00105EA4" w:rsidP="00105EA4">
      <w:pPr>
        <w:spacing w:after="320"/>
        <w:jc w:val="center"/>
      </w:pPr>
      <w:r>
        <w:t>Fig. 2 - Workers run in parallel; a slot frees only when the Auth0 job fully resolves</w:t>
      </w:r>
    </w:p>
    <w:p w14:paraId="68E30880" w14:textId="68CA052B" w:rsidR="00105EA4" w:rsidRDefault="00105EA4" w:rsidP="00105EA4">
      <w:pPr>
        <w:pStyle w:val="Heading2"/>
        <w:spacing w:before="240" w:after="120"/>
      </w:pPr>
      <w:r>
        <w:t>3.3  Failure and Retry Escalation</w:t>
      </w:r>
    </w:p>
    <w:p w14:paraId="773279C9" w14:textId="7DEE6774" w:rsidR="00105EA4" w:rsidRDefault="00105EA4" w:rsidP="00105EA4">
      <w:r>
        <w:t>Three failure categories all funnel into the same Retry Queue, so retry logic is centralised in a single processor. The retry processor handles both transient and permanent failures by checking the per-user attempt counter before deciding whether to re-submit or escalate to manual review.</w:t>
      </w:r>
    </w:p>
    <w:p w14:paraId="311AAF9D" w14:textId="2DC36175" w:rsidR="00105EA4" w:rsidRDefault="00105EA4" w:rsidP="00105EA4">
      <w:pPr>
        <w:spacing w:after="200"/>
      </w:pPr>
      <w:r>
        <w:t>When a user is escalated to manual review, the record is appended to manual-review.xlsx using proper-lockfile for mutual exclusion between concurrent retry workers and an atomic write pattern (write to a .tmp file, then rename) so the file is never in a half-written state.</w:t>
      </w:r>
    </w:p>
    <w:p w14:paraId="006F4A47" w14:textId="21EBED51" w:rsidR="00105EA4" w:rsidRDefault="00105EA4" w:rsidP="00105EA4">
      <w:pPr>
        <w:spacing w:after="200"/>
      </w:pPr>
      <w:r>
        <w:rPr>
          <w:noProof/>
        </w:rPr>
        <w:drawing>
          <wp:inline distT="0" distB="0" distL="0" distR="0" wp14:anchorId="72FC08A0" wp14:editId="37B2ACF4">
            <wp:extent cx="5415077" cy="1073226"/>
            <wp:effectExtent l="0" t="0" r="0" b="0"/>
            <wp:docPr id="1140310456" name="Picture 3"/>
            <wp:cNvGraphicFramePr/>
            <a:graphic xmlns:a="http://schemas.openxmlformats.org/drawingml/2006/main">
              <a:graphicData uri="http://schemas.openxmlformats.org/drawingml/2006/picture">
                <pic:pic xmlns:pic="http://schemas.openxmlformats.org/drawingml/2006/picture">
                  <pic:nvPicPr>
                    <pic:cNvPr id="114031045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15077" cy="1073226"/>
                    </a:xfrm>
                    <a:prstGeom prst="rect">
                      <a:avLst/>
                    </a:prstGeom>
                  </pic:spPr>
                </pic:pic>
              </a:graphicData>
            </a:graphic>
          </wp:inline>
        </w:drawing>
      </w:r>
    </w:p>
    <w:p w14:paraId="362E5E7F" w14:textId="2BEC0A86" w:rsidR="00105EA4" w:rsidRDefault="00105EA4" w:rsidP="00105EA4">
      <w:pPr>
        <w:spacing w:after="320"/>
        <w:jc w:val="center"/>
      </w:pPr>
      <w:r>
        <w:t>Fig. 3 - All failure paths converge on the Retry Queue; manual review is the terminal escalation after 3 attempts</w:t>
      </w:r>
    </w:p>
    <w:p w14:paraId="0EEA7273" w14:textId="53355A60" w:rsidR="00105EA4" w:rsidRDefault="00105EA4" w:rsidP="00105EA4">
      <w:pPr>
        <w:pStyle w:val="Heading2"/>
        <w:spacing w:before="240" w:after="120"/>
      </w:pPr>
      <w:r>
        <w:t>3.4  Checkpoint and Resume Model</w:t>
      </w:r>
    </w:p>
    <w:p w14:paraId="603BD244" w14:textId="49D7F24D" w:rsidR="00105EA4" w:rsidRDefault="00105EA4" w:rsidP="00105EA4">
      <w:r>
        <w:t>Every processed chunk ID is stored in a Redis SET immediately on completion. On any restart - planned or crash - the orchestrator loads the set and skips matching chunks. BullMQ queue state in Redis provides a second recovery layer: jobs active at the time of a crash are automatically re-queued by BullMQ stall detection.</w:t>
      </w:r>
    </w:p>
    <w:p w14:paraId="058F91A8" w14:textId="208F956B" w:rsidR="00105EA4" w:rsidRDefault="00105EA4" w:rsidP="00105EA4">
      <w:pPr>
        <w:spacing w:after="200"/>
      </w:pPr>
      <w:r>
        <w:t>Six Redis keys collectively represent the full pipeline state: processed_chunks (SET of completed chunk IDs), auth0_jobs (HASH of chunkId to Auth0 job ID), per-user retry counts (STRING), migration status (STRING), total chunk count (STRING), and source list read offset (STRING).</w:t>
      </w:r>
    </w:p>
    <w:p w14:paraId="7A42B68C" w14:textId="0726B211" w:rsidR="00105EA4" w:rsidRDefault="00105EA4" w:rsidP="00105EA4">
      <w:pPr>
        <w:spacing w:after="200"/>
      </w:pPr>
      <w:r>
        <w:rPr>
          <w:noProof/>
        </w:rPr>
        <w:drawing>
          <wp:inline distT="0" distB="0" distL="0" distR="0" wp14:anchorId="7289F616" wp14:editId="39B03374">
            <wp:extent cx="5415077" cy="2727833"/>
            <wp:effectExtent l="0" t="0" r="0" b="0"/>
            <wp:docPr id="1931535475" name="Picture 4"/>
            <wp:cNvGraphicFramePr/>
            <a:graphic xmlns:a="http://schemas.openxmlformats.org/drawingml/2006/main">
              <a:graphicData uri="http://schemas.openxmlformats.org/drawingml/2006/picture">
                <pic:pic xmlns:pic="http://schemas.openxmlformats.org/drawingml/2006/picture">
                  <pic:nvPicPr>
                    <pic:cNvPr id="193153547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15077" cy="2727833"/>
                    </a:xfrm>
                    <a:prstGeom prst="rect">
                      <a:avLst/>
                    </a:prstGeom>
                  </pic:spPr>
                </pic:pic>
              </a:graphicData>
            </a:graphic>
          </wp:inline>
        </w:drawing>
      </w:r>
    </w:p>
    <w:p w14:paraId="0D050258" w14:textId="1437A0E5" w:rsidR="00105EA4" w:rsidRDefault="00105EA4" w:rsidP="00105EA4">
      <w:pPr>
        <w:spacing w:after="320"/>
        <w:jc w:val="center"/>
      </w:pPr>
      <w:r>
        <w:t>Fig. 4 - Redis checkpoint enables safe resume; BullMQ queue state provides in-flight job recovery</w:t>
      </w:r>
    </w:p>
    <w:p w14:paraId="47715C5A" w14:textId="62F0C827" w:rsidR="00105EA4" w:rsidRDefault="00105EA4">
      <w:r>
        <w:br w:type="page"/>
      </w:r>
    </w:p>
    <w:p w14:paraId="4A3B69BE" w14:textId="6454753D" w:rsidR="00105EA4" w:rsidRDefault="00105EA4" w:rsidP="00105EA4">
      <w:pPr>
        <w:pStyle w:val="Heading1"/>
        <w:spacing w:before="320" w:after="160"/>
      </w:pPr>
      <w:r>
        <w:t>4.  Technology Stack</w:t>
      </w:r>
    </w:p>
    <w:p w14:paraId="23E75839" w14:textId="7D3043D1" w:rsidR="00105EA4" w:rsidRDefault="00105EA4" w:rsidP="00105EA4">
      <w:pPr>
        <w:spacing w:after="200"/>
      </w:pPr>
      <w:r>
        <w:t>Dependencies are deliberately minimal - every package listed below earns its place and has no simpler alternative that satisfies the requirement.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84"/>
        <w:gridCol w:w="1008"/>
        <w:gridCol w:w="2160"/>
        <w:gridCol w:w="4176"/>
      </w:tblGrid>
      <w:tr w:rsidR="00105EA4" w14:paraId="2DDA5708" w14:textId="77777777" w:rsidTr="00105EA4">
        <w:tc>
          <w:tcPr>
            <w:tcW w:w="1584" w:type="dxa"/>
            <w:tcBorders>
              <w:bottom w:val="single" w:sz="4" w:space="0" w:color="auto"/>
            </w:tcBorders>
            <w:shd w:val="clear" w:color="auto" w:fill="0F2D4A"/>
          </w:tcPr>
          <w:p w14:paraId="01DAB0AD" w14:textId="3FC37BC6" w:rsidR="00105EA4" w:rsidRPr="00105EA4" w:rsidRDefault="00105EA4" w:rsidP="00105EA4">
            <w:pPr>
              <w:spacing w:after="200"/>
              <w:rPr>
                <w:b/>
                <w:color w:val="FFFFFF"/>
                <w:sz w:val="18"/>
              </w:rPr>
            </w:pPr>
            <w:r w:rsidRPr="00105EA4">
              <w:rPr>
                <w:b/>
                <w:color w:val="FFFFFF"/>
                <w:sz w:val="18"/>
              </w:rPr>
              <w:t>Package</w:t>
            </w:r>
          </w:p>
        </w:tc>
        <w:tc>
          <w:tcPr>
            <w:tcW w:w="1008" w:type="dxa"/>
            <w:tcBorders>
              <w:bottom w:val="single" w:sz="4" w:space="0" w:color="auto"/>
            </w:tcBorders>
            <w:shd w:val="clear" w:color="auto" w:fill="0F2D4A"/>
          </w:tcPr>
          <w:p w14:paraId="3DB88DED" w14:textId="497043C1" w:rsidR="00105EA4" w:rsidRPr="00105EA4" w:rsidRDefault="00105EA4" w:rsidP="00105EA4">
            <w:pPr>
              <w:spacing w:after="200"/>
              <w:rPr>
                <w:b/>
                <w:color w:val="FFFFFF"/>
                <w:sz w:val="18"/>
              </w:rPr>
            </w:pPr>
            <w:r w:rsidRPr="00105EA4">
              <w:rPr>
                <w:b/>
                <w:color w:val="FFFFFF"/>
                <w:sz w:val="18"/>
              </w:rPr>
              <w:t>Version</w:t>
            </w:r>
          </w:p>
        </w:tc>
        <w:tc>
          <w:tcPr>
            <w:tcW w:w="2160" w:type="dxa"/>
            <w:tcBorders>
              <w:bottom w:val="single" w:sz="4" w:space="0" w:color="auto"/>
            </w:tcBorders>
            <w:shd w:val="clear" w:color="auto" w:fill="0F2D4A"/>
          </w:tcPr>
          <w:p w14:paraId="6C2995F6" w14:textId="72E4215F" w:rsidR="00105EA4" w:rsidRPr="00105EA4" w:rsidRDefault="00105EA4" w:rsidP="00105EA4">
            <w:pPr>
              <w:spacing w:after="200"/>
              <w:rPr>
                <w:b/>
                <w:color w:val="FFFFFF"/>
                <w:sz w:val="18"/>
              </w:rPr>
            </w:pPr>
            <w:r w:rsidRPr="00105EA4">
              <w:rPr>
                <w:b/>
                <w:color w:val="FFFFFF"/>
                <w:sz w:val="18"/>
              </w:rPr>
              <w:t>Role</w:t>
            </w:r>
          </w:p>
        </w:tc>
        <w:tc>
          <w:tcPr>
            <w:tcW w:w="4176" w:type="dxa"/>
            <w:tcBorders>
              <w:bottom w:val="single" w:sz="4" w:space="0" w:color="auto"/>
            </w:tcBorders>
            <w:shd w:val="clear" w:color="auto" w:fill="0F2D4A"/>
          </w:tcPr>
          <w:p w14:paraId="126AFF8C" w14:textId="34E126AF" w:rsidR="00105EA4" w:rsidRPr="00105EA4" w:rsidRDefault="00105EA4" w:rsidP="00105EA4">
            <w:pPr>
              <w:spacing w:after="200"/>
              <w:rPr>
                <w:b/>
                <w:color w:val="FFFFFF"/>
                <w:sz w:val="18"/>
              </w:rPr>
            </w:pPr>
            <w:r w:rsidRPr="00105EA4">
              <w:rPr>
                <w:b/>
                <w:color w:val="FFFFFF"/>
                <w:sz w:val="18"/>
              </w:rPr>
              <w:t>Rationale</w:t>
            </w:r>
          </w:p>
        </w:tc>
      </w:tr>
      <w:tr w:rsidR="00105EA4" w14:paraId="41044683" w14:textId="77777777" w:rsidTr="00105EA4">
        <w:tc>
          <w:tcPr>
            <w:tcW w:w="1584" w:type="dxa"/>
            <w:tcBorders>
              <w:bottom w:val="single" w:sz="4" w:space="0" w:color="auto"/>
            </w:tcBorders>
            <w:shd w:val="clear" w:color="auto" w:fill="FFFFFF"/>
          </w:tcPr>
          <w:p w14:paraId="2C499816" w14:textId="3C95D414" w:rsidR="00105EA4" w:rsidRPr="00105EA4" w:rsidRDefault="00105EA4" w:rsidP="00105EA4">
            <w:pPr>
              <w:spacing w:after="200"/>
              <w:rPr>
                <w:b/>
                <w:color w:val="1A2733"/>
                <w:sz w:val="20"/>
              </w:rPr>
            </w:pPr>
            <w:r w:rsidRPr="00105EA4">
              <w:rPr>
                <w:b/>
                <w:color w:val="1A2733"/>
                <w:sz w:val="20"/>
              </w:rPr>
              <w:t>bullmq</w:t>
            </w:r>
          </w:p>
        </w:tc>
        <w:tc>
          <w:tcPr>
            <w:tcW w:w="1008" w:type="dxa"/>
            <w:tcBorders>
              <w:bottom w:val="single" w:sz="4" w:space="0" w:color="auto"/>
            </w:tcBorders>
            <w:shd w:val="clear" w:color="auto" w:fill="FFFFFF"/>
          </w:tcPr>
          <w:p w14:paraId="1E5C5717" w14:textId="5AF5C833" w:rsidR="00105EA4" w:rsidRPr="00105EA4" w:rsidRDefault="00105EA4" w:rsidP="00105EA4">
            <w:pPr>
              <w:spacing w:after="200"/>
              <w:rPr>
                <w:color w:val="1A2733"/>
                <w:sz w:val="20"/>
              </w:rPr>
            </w:pPr>
            <w:r w:rsidRPr="00105EA4">
              <w:rPr>
                <w:color w:val="1A2733"/>
                <w:sz w:val="20"/>
              </w:rPr>
              <w:t>^5.0</w:t>
            </w:r>
          </w:p>
        </w:tc>
        <w:tc>
          <w:tcPr>
            <w:tcW w:w="2160" w:type="dxa"/>
            <w:tcBorders>
              <w:bottom w:val="single" w:sz="4" w:space="0" w:color="auto"/>
            </w:tcBorders>
            <w:shd w:val="clear" w:color="auto" w:fill="FFFFFF"/>
          </w:tcPr>
          <w:p w14:paraId="5785D1B0" w14:textId="220E2A91" w:rsidR="00105EA4" w:rsidRPr="00105EA4" w:rsidRDefault="00105EA4" w:rsidP="00105EA4">
            <w:pPr>
              <w:spacing w:after="200"/>
              <w:rPr>
                <w:color w:val="1A2733"/>
                <w:sz w:val="20"/>
              </w:rPr>
            </w:pPr>
            <w:r w:rsidRPr="00105EA4">
              <w:rPr>
                <w:color w:val="1A2733"/>
                <w:sz w:val="20"/>
              </w:rPr>
              <w:t>Job queue and worker orchestration</w:t>
            </w:r>
          </w:p>
        </w:tc>
        <w:tc>
          <w:tcPr>
            <w:tcW w:w="4176" w:type="dxa"/>
            <w:tcBorders>
              <w:bottom w:val="single" w:sz="4" w:space="0" w:color="auto"/>
            </w:tcBorders>
            <w:shd w:val="clear" w:color="auto" w:fill="FFFFFF"/>
          </w:tcPr>
          <w:p w14:paraId="43CA3FF4" w14:textId="1483AE95" w:rsidR="00105EA4" w:rsidRPr="00105EA4" w:rsidRDefault="00105EA4" w:rsidP="00105EA4">
            <w:pPr>
              <w:spacing w:after="200"/>
              <w:rPr>
                <w:color w:val="1A2733"/>
                <w:sz w:val="20"/>
              </w:rPr>
            </w:pPr>
            <w:r w:rsidRPr="00105EA4">
              <w:rPr>
                <w:color w:val="1A2733"/>
                <w:sz w:val="20"/>
              </w:rPr>
              <w:t>Redis-backed, built-in concurrency control, exponential backoff. BullMQ is the active successor to Bull (v4 is end-of-life). Auth0 batch import maps precisely to its producer-worker model.</w:t>
            </w:r>
          </w:p>
        </w:tc>
      </w:tr>
      <w:tr w:rsidR="00105EA4" w14:paraId="4EB1B594" w14:textId="77777777" w:rsidTr="00105EA4">
        <w:tc>
          <w:tcPr>
            <w:tcW w:w="1584" w:type="dxa"/>
            <w:tcBorders>
              <w:bottom w:val="single" w:sz="4" w:space="0" w:color="auto"/>
            </w:tcBorders>
            <w:shd w:val="clear" w:color="auto" w:fill="F4F9FC"/>
          </w:tcPr>
          <w:p w14:paraId="5C11E562" w14:textId="1ACD3C8F" w:rsidR="00105EA4" w:rsidRPr="00105EA4" w:rsidRDefault="00105EA4" w:rsidP="00105EA4">
            <w:pPr>
              <w:spacing w:after="200"/>
              <w:rPr>
                <w:b/>
                <w:color w:val="1A2733"/>
                <w:sz w:val="20"/>
              </w:rPr>
            </w:pPr>
            <w:r w:rsidRPr="00105EA4">
              <w:rPr>
                <w:b/>
                <w:color w:val="1A2733"/>
                <w:sz w:val="20"/>
              </w:rPr>
              <w:t>ioredis</w:t>
            </w:r>
          </w:p>
        </w:tc>
        <w:tc>
          <w:tcPr>
            <w:tcW w:w="1008" w:type="dxa"/>
            <w:tcBorders>
              <w:bottom w:val="single" w:sz="4" w:space="0" w:color="auto"/>
            </w:tcBorders>
            <w:shd w:val="clear" w:color="auto" w:fill="F4F9FC"/>
          </w:tcPr>
          <w:p w14:paraId="3599B99E" w14:textId="4E98F6CA" w:rsidR="00105EA4" w:rsidRPr="00105EA4" w:rsidRDefault="00105EA4" w:rsidP="00105EA4">
            <w:pPr>
              <w:spacing w:after="200"/>
              <w:rPr>
                <w:color w:val="1A2733"/>
                <w:sz w:val="20"/>
              </w:rPr>
            </w:pPr>
            <w:r w:rsidRPr="00105EA4">
              <w:rPr>
                <w:color w:val="1A2733"/>
                <w:sz w:val="20"/>
              </w:rPr>
              <w:t>^5.3</w:t>
            </w:r>
          </w:p>
        </w:tc>
        <w:tc>
          <w:tcPr>
            <w:tcW w:w="2160" w:type="dxa"/>
            <w:tcBorders>
              <w:bottom w:val="single" w:sz="4" w:space="0" w:color="auto"/>
            </w:tcBorders>
            <w:shd w:val="clear" w:color="auto" w:fill="F4F9FC"/>
          </w:tcPr>
          <w:p w14:paraId="6572B425" w14:textId="5D40901A" w:rsidR="00105EA4" w:rsidRPr="00105EA4" w:rsidRDefault="00105EA4" w:rsidP="00105EA4">
            <w:pPr>
              <w:spacing w:after="200"/>
              <w:rPr>
                <w:color w:val="1A2733"/>
                <w:sz w:val="20"/>
              </w:rPr>
            </w:pPr>
            <w:r w:rsidRPr="00105EA4">
              <w:rPr>
                <w:color w:val="1A2733"/>
                <w:sz w:val="20"/>
              </w:rPr>
              <w:t>Redis client and checkpoint store</w:t>
            </w:r>
          </w:p>
        </w:tc>
        <w:tc>
          <w:tcPr>
            <w:tcW w:w="4176" w:type="dxa"/>
            <w:tcBorders>
              <w:bottom w:val="single" w:sz="4" w:space="0" w:color="auto"/>
            </w:tcBorders>
            <w:shd w:val="clear" w:color="auto" w:fill="F4F9FC"/>
          </w:tcPr>
          <w:p w14:paraId="7C75CFCC" w14:textId="10E524CB" w:rsidR="00105EA4" w:rsidRPr="00105EA4" w:rsidRDefault="00105EA4" w:rsidP="00105EA4">
            <w:pPr>
              <w:spacing w:after="200"/>
              <w:rPr>
                <w:color w:val="1A2733"/>
                <w:sz w:val="20"/>
              </w:rPr>
            </w:pPr>
            <w:r w:rsidRPr="00105EA4">
              <w:rPr>
                <w:color w:val="1A2733"/>
                <w:sz w:val="20"/>
              </w:rPr>
              <w:t>Required by BullMQ. Used directly for checkpoint operations via atomic SADD, SMEMBERS, HSET. maxRetriesPerRequest: null is mandatory for BullMQ compatibility.</w:t>
            </w:r>
          </w:p>
        </w:tc>
      </w:tr>
      <w:tr w:rsidR="00105EA4" w14:paraId="53F45515" w14:textId="77777777" w:rsidTr="00105EA4">
        <w:tc>
          <w:tcPr>
            <w:tcW w:w="1584" w:type="dxa"/>
            <w:tcBorders>
              <w:bottom w:val="single" w:sz="4" w:space="0" w:color="auto"/>
            </w:tcBorders>
            <w:shd w:val="clear" w:color="auto" w:fill="FFFFFF"/>
          </w:tcPr>
          <w:p w14:paraId="128FBAF9" w14:textId="41C13013" w:rsidR="00105EA4" w:rsidRPr="00105EA4" w:rsidRDefault="00105EA4" w:rsidP="00105EA4">
            <w:pPr>
              <w:spacing w:after="200"/>
              <w:rPr>
                <w:b/>
                <w:color w:val="1A2733"/>
                <w:sz w:val="20"/>
              </w:rPr>
            </w:pPr>
            <w:r w:rsidRPr="00105EA4">
              <w:rPr>
                <w:b/>
                <w:color w:val="1A2733"/>
                <w:sz w:val="20"/>
              </w:rPr>
              <w:t>exceljs</w:t>
            </w:r>
          </w:p>
        </w:tc>
        <w:tc>
          <w:tcPr>
            <w:tcW w:w="1008" w:type="dxa"/>
            <w:tcBorders>
              <w:bottom w:val="single" w:sz="4" w:space="0" w:color="auto"/>
            </w:tcBorders>
            <w:shd w:val="clear" w:color="auto" w:fill="FFFFFF"/>
          </w:tcPr>
          <w:p w14:paraId="2F048B85" w14:textId="2B5E28D0" w:rsidR="00105EA4" w:rsidRPr="00105EA4" w:rsidRDefault="00105EA4" w:rsidP="00105EA4">
            <w:pPr>
              <w:spacing w:after="200"/>
              <w:rPr>
                <w:color w:val="1A2733"/>
                <w:sz w:val="20"/>
              </w:rPr>
            </w:pPr>
            <w:r w:rsidRPr="00105EA4">
              <w:rPr>
                <w:color w:val="1A2733"/>
                <w:sz w:val="20"/>
              </w:rPr>
              <w:t>^4.4</w:t>
            </w:r>
          </w:p>
        </w:tc>
        <w:tc>
          <w:tcPr>
            <w:tcW w:w="2160" w:type="dxa"/>
            <w:tcBorders>
              <w:bottom w:val="single" w:sz="4" w:space="0" w:color="auto"/>
            </w:tcBorders>
            <w:shd w:val="clear" w:color="auto" w:fill="FFFFFF"/>
          </w:tcPr>
          <w:p w14:paraId="5C693579" w14:textId="56507A38" w:rsidR="00105EA4" w:rsidRPr="00105EA4" w:rsidRDefault="00105EA4" w:rsidP="00105EA4">
            <w:pPr>
              <w:spacing w:after="200"/>
              <w:rPr>
                <w:color w:val="1A2733"/>
                <w:sz w:val="20"/>
              </w:rPr>
            </w:pPr>
            <w:r w:rsidRPr="00105EA4">
              <w:rPr>
                <w:color w:val="1A2733"/>
                <w:sz w:val="20"/>
              </w:rPr>
              <w:t>Excel writer for manual review output</w:t>
            </w:r>
          </w:p>
        </w:tc>
        <w:tc>
          <w:tcPr>
            <w:tcW w:w="4176" w:type="dxa"/>
            <w:tcBorders>
              <w:bottom w:val="single" w:sz="4" w:space="0" w:color="auto"/>
            </w:tcBorders>
            <w:shd w:val="clear" w:color="auto" w:fill="FFFFFF"/>
          </w:tcPr>
          <w:p w14:paraId="4B3539B9" w14:textId="686D9B32" w:rsidR="00105EA4" w:rsidRPr="00105EA4" w:rsidRDefault="00105EA4" w:rsidP="00105EA4">
            <w:pPr>
              <w:spacing w:after="200"/>
              <w:rPr>
                <w:color w:val="1A2733"/>
                <w:sz w:val="20"/>
              </w:rPr>
            </w:pPr>
            <w:r w:rsidRPr="00105EA4">
              <w:rPr>
                <w:color w:val="1A2733"/>
                <w:sz w:val="20"/>
              </w:rPr>
              <w:t>Writes manual-review.xlsx for users who failed all retries. Excel means the ops team opens it directly without any conversion step.</w:t>
            </w:r>
          </w:p>
        </w:tc>
      </w:tr>
      <w:tr w:rsidR="00105EA4" w14:paraId="3514F1D7" w14:textId="77777777" w:rsidTr="00105EA4">
        <w:tc>
          <w:tcPr>
            <w:tcW w:w="1584" w:type="dxa"/>
            <w:tcBorders>
              <w:bottom w:val="single" w:sz="4" w:space="0" w:color="auto"/>
            </w:tcBorders>
            <w:shd w:val="clear" w:color="auto" w:fill="F4F9FC"/>
          </w:tcPr>
          <w:p w14:paraId="5F70EF87" w14:textId="4FE7B9BC" w:rsidR="00105EA4" w:rsidRPr="00105EA4" w:rsidRDefault="00105EA4" w:rsidP="00105EA4">
            <w:pPr>
              <w:spacing w:after="200"/>
              <w:rPr>
                <w:b/>
                <w:color w:val="1A2733"/>
                <w:sz w:val="20"/>
              </w:rPr>
            </w:pPr>
            <w:r w:rsidRPr="00105EA4">
              <w:rPr>
                <w:b/>
                <w:color w:val="1A2733"/>
                <w:sz w:val="20"/>
              </w:rPr>
              <w:t>axios</w:t>
            </w:r>
          </w:p>
        </w:tc>
        <w:tc>
          <w:tcPr>
            <w:tcW w:w="1008" w:type="dxa"/>
            <w:tcBorders>
              <w:bottom w:val="single" w:sz="4" w:space="0" w:color="auto"/>
            </w:tcBorders>
            <w:shd w:val="clear" w:color="auto" w:fill="F4F9FC"/>
          </w:tcPr>
          <w:p w14:paraId="0AA1F346" w14:textId="07CD42B5" w:rsidR="00105EA4" w:rsidRPr="00105EA4" w:rsidRDefault="00105EA4" w:rsidP="00105EA4">
            <w:pPr>
              <w:spacing w:after="200"/>
              <w:rPr>
                <w:color w:val="1A2733"/>
                <w:sz w:val="20"/>
              </w:rPr>
            </w:pPr>
            <w:r w:rsidRPr="00105EA4">
              <w:rPr>
                <w:color w:val="1A2733"/>
                <w:sz w:val="20"/>
              </w:rPr>
              <w:t>^1.6</w:t>
            </w:r>
          </w:p>
        </w:tc>
        <w:tc>
          <w:tcPr>
            <w:tcW w:w="2160" w:type="dxa"/>
            <w:tcBorders>
              <w:bottom w:val="single" w:sz="4" w:space="0" w:color="auto"/>
            </w:tcBorders>
            <w:shd w:val="clear" w:color="auto" w:fill="F4F9FC"/>
          </w:tcPr>
          <w:p w14:paraId="01FE871F" w14:textId="6884D253" w:rsidR="00105EA4" w:rsidRPr="00105EA4" w:rsidRDefault="00105EA4" w:rsidP="00105EA4">
            <w:pPr>
              <w:spacing w:after="200"/>
              <w:rPr>
                <w:color w:val="1A2733"/>
                <w:sz w:val="20"/>
              </w:rPr>
            </w:pPr>
            <w:r w:rsidRPr="00105EA4">
              <w:rPr>
                <w:color w:val="1A2733"/>
                <w:sz w:val="20"/>
              </w:rPr>
              <w:t>Auth0 Management API HTTP calls</w:t>
            </w:r>
          </w:p>
        </w:tc>
        <w:tc>
          <w:tcPr>
            <w:tcW w:w="4176" w:type="dxa"/>
            <w:tcBorders>
              <w:bottom w:val="single" w:sz="4" w:space="0" w:color="auto"/>
            </w:tcBorders>
            <w:shd w:val="clear" w:color="auto" w:fill="F4F9FC"/>
          </w:tcPr>
          <w:p w14:paraId="1C9256B4" w14:textId="4A859950" w:rsidR="00105EA4" w:rsidRPr="00105EA4" w:rsidRDefault="00105EA4" w:rsidP="00105EA4">
            <w:pPr>
              <w:spacing w:after="200"/>
              <w:rPr>
                <w:color w:val="1A2733"/>
                <w:sz w:val="20"/>
              </w:rPr>
            </w:pPr>
            <w:r w:rsidRPr="00105EA4">
              <w:rPr>
                <w:color w:val="1A2733"/>
                <w:sz w:val="20"/>
              </w:rPr>
              <w:t>Used directly instead of the Auth0 Node SDK because bulk import requires multipart/form-data with a file stream.</w:t>
            </w:r>
          </w:p>
        </w:tc>
      </w:tr>
      <w:tr w:rsidR="00105EA4" w14:paraId="0D676B01" w14:textId="77777777" w:rsidTr="00105EA4">
        <w:tc>
          <w:tcPr>
            <w:tcW w:w="1584" w:type="dxa"/>
            <w:tcBorders>
              <w:bottom w:val="single" w:sz="4" w:space="0" w:color="auto"/>
            </w:tcBorders>
            <w:shd w:val="clear" w:color="auto" w:fill="FFFFFF"/>
          </w:tcPr>
          <w:p w14:paraId="7F8E834B" w14:textId="02575FC4" w:rsidR="00105EA4" w:rsidRPr="00105EA4" w:rsidRDefault="00105EA4" w:rsidP="00105EA4">
            <w:pPr>
              <w:spacing w:after="200"/>
              <w:rPr>
                <w:b/>
                <w:color w:val="1A2733"/>
                <w:sz w:val="20"/>
              </w:rPr>
            </w:pPr>
            <w:r w:rsidRPr="00105EA4">
              <w:rPr>
                <w:b/>
                <w:color w:val="1A2733"/>
                <w:sz w:val="20"/>
              </w:rPr>
              <w:t>form-data</w:t>
            </w:r>
          </w:p>
        </w:tc>
        <w:tc>
          <w:tcPr>
            <w:tcW w:w="1008" w:type="dxa"/>
            <w:tcBorders>
              <w:bottom w:val="single" w:sz="4" w:space="0" w:color="auto"/>
            </w:tcBorders>
            <w:shd w:val="clear" w:color="auto" w:fill="FFFFFF"/>
          </w:tcPr>
          <w:p w14:paraId="194FCB4F" w14:textId="6D01A38A" w:rsidR="00105EA4" w:rsidRPr="00105EA4" w:rsidRDefault="00105EA4" w:rsidP="00105EA4">
            <w:pPr>
              <w:spacing w:after="200"/>
              <w:rPr>
                <w:color w:val="1A2733"/>
                <w:sz w:val="20"/>
              </w:rPr>
            </w:pPr>
            <w:r w:rsidRPr="00105EA4">
              <w:rPr>
                <w:color w:val="1A2733"/>
                <w:sz w:val="20"/>
              </w:rPr>
              <w:t>^4.0</w:t>
            </w:r>
          </w:p>
        </w:tc>
        <w:tc>
          <w:tcPr>
            <w:tcW w:w="2160" w:type="dxa"/>
            <w:tcBorders>
              <w:bottom w:val="single" w:sz="4" w:space="0" w:color="auto"/>
            </w:tcBorders>
            <w:shd w:val="clear" w:color="auto" w:fill="FFFFFF"/>
          </w:tcPr>
          <w:p w14:paraId="2537614E" w14:textId="72EBCDF5" w:rsidR="00105EA4" w:rsidRPr="00105EA4" w:rsidRDefault="00105EA4" w:rsidP="00105EA4">
            <w:pPr>
              <w:spacing w:after="200"/>
              <w:rPr>
                <w:color w:val="1A2733"/>
                <w:sz w:val="20"/>
              </w:rPr>
            </w:pPr>
            <w:r w:rsidRPr="00105EA4">
              <w:rPr>
                <w:color w:val="1A2733"/>
                <w:sz w:val="20"/>
              </w:rPr>
              <w:t>Multipart form builder</w:t>
            </w:r>
          </w:p>
        </w:tc>
        <w:tc>
          <w:tcPr>
            <w:tcW w:w="4176" w:type="dxa"/>
            <w:tcBorders>
              <w:bottom w:val="single" w:sz="4" w:space="0" w:color="auto"/>
            </w:tcBorders>
            <w:shd w:val="clear" w:color="auto" w:fill="FFFFFF"/>
          </w:tcPr>
          <w:p w14:paraId="589CAB60" w14:textId="5B492544" w:rsidR="00105EA4" w:rsidRPr="00105EA4" w:rsidRDefault="00105EA4" w:rsidP="00105EA4">
            <w:pPr>
              <w:spacing w:after="200"/>
              <w:rPr>
                <w:color w:val="1A2733"/>
                <w:sz w:val="20"/>
              </w:rPr>
            </w:pPr>
            <w:r w:rsidRPr="00105EA4">
              <w:rPr>
                <w:color w:val="1A2733"/>
                <w:sz w:val="20"/>
              </w:rPr>
              <w:t>Attaches the JSON chunk as a readable file stream. Provides getHeaders() to set the correct Content-Type boundary automatically.</w:t>
            </w:r>
          </w:p>
        </w:tc>
      </w:tr>
      <w:tr w:rsidR="00105EA4" w14:paraId="2C459257" w14:textId="77777777" w:rsidTr="00105EA4">
        <w:tc>
          <w:tcPr>
            <w:tcW w:w="1584" w:type="dxa"/>
            <w:tcBorders>
              <w:bottom w:val="single" w:sz="4" w:space="0" w:color="auto"/>
            </w:tcBorders>
            <w:shd w:val="clear" w:color="auto" w:fill="F4F9FC"/>
          </w:tcPr>
          <w:p w14:paraId="5380B2C5" w14:textId="202785E2" w:rsidR="00105EA4" w:rsidRPr="00105EA4" w:rsidRDefault="00105EA4" w:rsidP="00105EA4">
            <w:pPr>
              <w:spacing w:after="200"/>
              <w:rPr>
                <w:b/>
                <w:color w:val="1A2733"/>
                <w:sz w:val="20"/>
              </w:rPr>
            </w:pPr>
            <w:r w:rsidRPr="00105EA4">
              <w:rPr>
                <w:b/>
                <w:color w:val="1A2733"/>
                <w:sz w:val="20"/>
              </w:rPr>
              <w:t>proper-lockfile</w:t>
            </w:r>
          </w:p>
        </w:tc>
        <w:tc>
          <w:tcPr>
            <w:tcW w:w="1008" w:type="dxa"/>
            <w:tcBorders>
              <w:bottom w:val="single" w:sz="4" w:space="0" w:color="auto"/>
            </w:tcBorders>
            <w:shd w:val="clear" w:color="auto" w:fill="F4F9FC"/>
          </w:tcPr>
          <w:p w14:paraId="0B570C42" w14:textId="27480353" w:rsidR="00105EA4" w:rsidRPr="00105EA4" w:rsidRDefault="00105EA4" w:rsidP="00105EA4">
            <w:pPr>
              <w:spacing w:after="200"/>
              <w:rPr>
                <w:color w:val="1A2733"/>
                <w:sz w:val="20"/>
              </w:rPr>
            </w:pPr>
            <w:r w:rsidRPr="00105EA4">
              <w:rPr>
                <w:color w:val="1A2733"/>
                <w:sz w:val="20"/>
              </w:rPr>
              <w:t>^4.1</w:t>
            </w:r>
          </w:p>
        </w:tc>
        <w:tc>
          <w:tcPr>
            <w:tcW w:w="2160" w:type="dxa"/>
            <w:tcBorders>
              <w:bottom w:val="single" w:sz="4" w:space="0" w:color="auto"/>
            </w:tcBorders>
            <w:shd w:val="clear" w:color="auto" w:fill="F4F9FC"/>
          </w:tcPr>
          <w:p w14:paraId="257DE78A" w14:textId="10B440ED" w:rsidR="00105EA4" w:rsidRPr="00105EA4" w:rsidRDefault="00105EA4" w:rsidP="00105EA4">
            <w:pPr>
              <w:spacing w:after="200"/>
              <w:rPr>
                <w:color w:val="1A2733"/>
                <w:sz w:val="20"/>
              </w:rPr>
            </w:pPr>
            <w:r w:rsidRPr="00105EA4">
              <w:rPr>
                <w:color w:val="1A2733"/>
                <w:sz w:val="20"/>
              </w:rPr>
              <w:t>File-level mutual exclusion</w:t>
            </w:r>
          </w:p>
        </w:tc>
        <w:tc>
          <w:tcPr>
            <w:tcW w:w="4176" w:type="dxa"/>
            <w:tcBorders>
              <w:bottom w:val="single" w:sz="4" w:space="0" w:color="auto"/>
            </w:tcBorders>
            <w:shd w:val="clear" w:color="auto" w:fill="F4F9FC"/>
          </w:tcPr>
          <w:p w14:paraId="6A286F5F" w14:textId="6E2B794B" w:rsidR="00105EA4" w:rsidRPr="00105EA4" w:rsidRDefault="00105EA4" w:rsidP="00105EA4">
            <w:pPr>
              <w:spacing w:after="200"/>
              <w:rPr>
                <w:color w:val="1A2733"/>
                <w:sz w:val="20"/>
              </w:rPr>
            </w:pPr>
            <w:r w:rsidRPr="00105EA4">
              <w:rPr>
                <w:color w:val="1A2733"/>
                <w:sz w:val="20"/>
              </w:rPr>
              <w:t>Prevents concurrent retry workers from corrupting manual-review.xlsx. Works correctly on Windows unlike flock-based alternatives.</w:t>
            </w:r>
          </w:p>
        </w:tc>
      </w:tr>
      <w:tr w:rsidR="00105EA4" w14:paraId="7AA98B25" w14:textId="77777777" w:rsidTr="00105EA4">
        <w:tc>
          <w:tcPr>
            <w:tcW w:w="1584" w:type="dxa"/>
            <w:tcBorders>
              <w:bottom w:val="single" w:sz="4" w:space="0" w:color="auto"/>
            </w:tcBorders>
            <w:shd w:val="clear" w:color="auto" w:fill="FFFFFF"/>
          </w:tcPr>
          <w:p w14:paraId="040BCCA1" w14:textId="14D9311A" w:rsidR="00105EA4" w:rsidRPr="00105EA4" w:rsidRDefault="00105EA4" w:rsidP="00105EA4">
            <w:pPr>
              <w:spacing w:after="200"/>
              <w:rPr>
                <w:b/>
                <w:color w:val="1A2733"/>
                <w:sz w:val="20"/>
              </w:rPr>
            </w:pPr>
            <w:r w:rsidRPr="00105EA4">
              <w:rPr>
                <w:b/>
                <w:color w:val="1A2733"/>
                <w:sz w:val="20"/>
              </w:rPr>
              <w:t>winston</w:t>
            </w:r>
          </w:p>
        </w:tc>
        <w:tc>
          <w:tcPr>
            <w:tcW w:w="1008" w:type="dxa"/>
            <w:tcBorders>
              <w:bottom w:val="single" w:sz="4" w:space="0" w:color="auto"/>
            </w:tcBorders>
            <w:shd w:val="clear" w:color="auto" w:fill="FFFFFF"/>
          </w:tcPr>
          <w:p w14:paraId="53B5F8BB" w14:textId="6B3D79DA" w:rsidR="00105EA4" w:rsidRPr="00105EA4" w:rsidRDefault="00105EA4" w:rsidP="00105EA4">
            <w:pPr>
              <w:spacing w:after="200"/>
              <w:rPr>
                <w:color w:val="1A2733"/>
                <w:sz w:val="20"/>
              </w:rPr>
            </w:pPr>
            <w:r w:rsidRPr="00105EA4">
              <w:rPr>
                <w:color w:val="1A2733"/>
                <w:sz w:val="20"/>
              </w:rPr>
              <w:t>^3.11</w:t>
            </w:r>
          </w:p>
        </w:tc>
        <w:tc>
          <w:tcPr>
            <w:tcW w:w="2160" w:type="dxa"/>
            <w:tcBorders>
              <w:bottom w:val="single" w:sz="4" w:space="0" w:color="auto"/>
            </w:tcBorders>
            <w:shd w:val="clear" w:color="auto" w:fill="FFFFFF"/>
          </w:tcPr>
          <w:p w14:paraId="0713F946" w14:textId="30787E02" w:rsidR="00105EA4" w:rsidRPr="00105EA4" w:rsidRDefault="00105EA4" w:rsidP="00105EA4">
            <w:pPr>
              <w:spacing w:after="200"/>
              <w:rPr>
                <w:color w:val="1A2733"/>
                <w:sz w:val="20"/>
              </w:rPr>
            </w:pPr>
            <w:r w:rsidRPr="00105EA4">
              <w:rPr>
                <w:color w:val="1A2733"/>
                <w:sz w:val="20"/>
              </w:rPr>
              <w:t>Structured logging</w:t>
            </w:r>
          </w:p>
        </w:tc>
        <w:tc>
          <w:tcPr>
            <w:tcW w:w="4176" w:type="dxa"/>
            <w:tcBorders>
              <w:bottom w:val="single" w:sz="4" w:space="0" w:color="auto"/>
            </w:tcBorders>
            <w:shd w:val="clear" w:color="auto" w:fill="FFFFFF"/>
          </w:tcPr>
          <w:p w14:paraId="244EB604" w14:textId="1986D617" w:rsidR="00105EA4" w:rsidRPr="00105EA4" w:rsidRDefault="00105EA4" w:rsidP="00105EA4">
            <w:pPr>
              <w:spacing w:after="200"/>
              <w:rPr>
                <w:color w:val="1A2733"/>
                <w:sz w:val="20"/>
              </w:rPr>
            </w:pPr>
            <w:r w:rsidRPr="00105EA4">
              <w:rPr>
                <w:color w:val="1A2733"/>
                <w:sz w:val="20"/>
              </w:rPr>
              <w:t>JSON-formatted logs to file plus human-readable console output. Parseable by Datadog, ELK, and CloudWatch out of the box.</w:t>
            </w:r>
          </w:p>
        </w:tc>
      </w:tr>
      <w:tr w:rsidR="00105EA4" w14:paraId="0E431D30" w14:textId="77777777" w:rsidTr="00105EA4">
        <w:tc>
          <w:tcPr>
            <w:tcW w:w="1584" w:type="dxa"/>
            <w:shd w:val="clear" w:color="auto" w:fill="F4F9FC"/>
          </w:tcPr>
          <w:p w14:paraId="554C0686" w14:textId="64CFEF25" w:rsidR="00105EA4" w:rsidRPr="00105EA4" w:rsidRDefault="00105EA4" w:rsidP="00105EA4">
            <w:pPr>
              <w:spacing w:after="200"/>
              <w:rPr>
                <w:b/>
                <w:color w:val="1A2733"/>
                <w:sz w:val="20"/>
              </w:rPr>
            </w:pPr>
            <w:r w:rsidRPr="00105EA4">
              <w:rPr>
                <w:b/>
                <w:color w:val="1A2733"/>
                <w:sz w:val="20"/>
              </w:rPr>
              <w:t>uuid</w:t>
            </w:r>
          </w:p>
        </w:tc>
        <w:tc>
          <w:tcPr>
            <w:tcW w:w="1008" w:type="dxa"/>
            <w:shd w:val="clear" w:color="auto" w:fill="F4F9FC"/>
          </w:tcPr>
          <w:p w14:paraId="60A314B9" w14:textId="18164086" w:rsidR="00105EA4" w:rsidRPr="00105EA4" w:rsidRDefault="00105EA4" w:rsidP="00105EA4">
            <w:pPr>
              <w:spacing w:after="200"/>
              <w:rPr>
                <w:color w:val="1A2733"/>
                <w:sz w:val="20"/>
              </w:rPr>
            </w:pPr>
            <w:r w:rsidRPr="00105EA4">
              <w:rPr>
                <w:color w:val="1A2733"/>
                <w:sz w:val="20"/>
              </w:rPr>
              <w:t>^9.0</w:t>
            </w:r>
          </w:p>
        </w:tc>
        <w:tc>
          <w:tcPr>
            <w:tcW w:w="2160" w:type="dxa"/>
            <w:shd w:val="clear" w:color="auto" w:fill="F4F9FC"/>
          </w:tcPr>
          <w:p w14:paraId="6B5EF970" w14:textId="28B6259B" w:rsidR="00105EA4" w:rsidRPr="00105EA4" w:rsidRDefault="00105EA4" w:rsidP="00105EA4">
            <w:pPr>
              <w:spacing w:after="200"/>
              <w:rPr>
                <w:color w:val="1A2733"/>
                <w:sz w:val="20"/>
              </w:rPr>
            </w:pPr>
            <w:r w:rsidRPr="00105EA4">
              <w:rPr>
                <w:color w:val="1A2733"/>
                <w:sz w:val="20"/>
              </w:rPr>
              <w:t>Chunk ID generation</w:t>
            </w:r>
          </w:p>
        </w:tc>
        <w:tc>
          <w:tcPr>
            <w:tcW w:w="4176" w:type="dxa"/>
            <w:shd w:val="clear" w:color="auto" w:fill="F4F9FC"/>
          </w:tcPr>
          <w:p w14:paraId="35941DAC" w14:textId="6ECD6560" w:rsidR="00105EA4" w:rsidRPr="00105EA4" w:rsidRDefault="00105EA4" w:rsidP="00105EA4">
            <w:pPr>
              <w:spacing w:after="200"/>
              <w:rPr>
                <w:color w:val="1A2733"/>
                <w:sz w:val="20"/>
              </w:rPr>
            </w:pPr>
            <w:r w:rsidRPr="00105EA4">
              <w:rPr>
                <w:color w:val="1A2733"/>
                <w:sz w:val="20"/>
              </w:rPr>
              <w:t>Each chunk needs a stable unique ID for checkpoint tracking, Redis keys, and the Auth0 external_id field for end-to-end traceability.</w:t>
            </w:r>
          </w:p>
        </w:tc>
      </w:tr>
    </w:tbl>
    <w:p w14:paraId="76D012E0" w14:textId="77777777" w:rsidR="00105EA4" w:rsidRDefault="00105EA4" w:rsidP="00105EA4">
      <w:pPr>
        <w:spacing w:after="200"/>
      </w:pPr>
    </w:p>
    <w:p w14:paraId="0139C439" w14:textId="20296F1D" w:rsidR="00105EA4" w:rsidRDefault="00105EA4" w:rsidP="00105EA4">
      <w:pPr>
        <w:pStyle w:val="Heading1"/>
        <w:spacing w:before="320" w:after="160"/>
      </w:pPr>
      <w:r>
        <w:t>5.  Key Design Decisions</w:t>
      </w:r>
    </w:p>
    <w:tbl>
      <w:tblPr>
        <w:tblW w:w="5000" w:type="pct"/>
        <w:tblLayout w:type="fixed"/>
        <w:tblCellMar>
          <w:top w:w="86" w:type="dxa"/>
          <w:left w:w="72" w:type="dxa"/>
          <w:bottom w:w="86" w:type="dxa"/>
          <w:right w:w="72" w:type="dxa"/>
        </w:tblCellMar>
        <w:tblLook w:val="0000" w:firstRow="0" w:lastRow="0" w:firstColumn="0" w:lastColumn="0" w:noHBand="0" w:noVBand="0"/>
      </w:tblPr>
      <w:tblGrid>
        <w:gridCol w:w="749"/>
        <w:gridCol w:w="8323"/>
      </w:tblGrid>
      <w:tr w:rsidR="00105EA4" w14:paraId="4D31E43D" w14:textId="77777777" w:rsidTr="00B2042E">
        <w:tc>
          <w:tcPr>
            <w:tcW w:w="749" w:type="dxa"/>
            <w:shd w:val="clear" w:color="auto" w:fill="0F2D4A"/>
            <w:vAlign w:val="center"/>
          </w:tcPr>
          <w:p w14:paraId="778BC36B" w14:textId="0E0DC770" w:rsidR="00105EA4" w:rsidRPr="00105EA4" w:rsidRDefault="00105EA4" w:rsidP="00105EA4">
            <w:pPr>
              <w:spacing w:before="160"/>
              <w:jc w:val="center"/>
              <w:rPr>
                <w:b/>
                <w:color w:val="FFFFFF"/>
                <w:sz w:val="26"/>
              </w:rPr>
            </w:pPr>
            <w:r w:rsidRPr="00105EA4">
              <w:rPr>
                <w:b/>
                <w:color w:val="FFFFFF"/>
                <w:sz w:val="26"/>
              </w:rPr>
              <w:t>1</w:t>
            </w:r>
          </w:p>
        </w:tc>
        <w:tc>
          <w:tcPr>
            <w:tcW w:w="8323" w:type="dxa"/>
            <w:shd w:val="clear" w:color="auto" w:fill="F4F9FC"/>
          </w:tcPr>
          <w:p w14:paraId="6847BCD5" w14:textId="77777777" w:rsidR="00002006" w:rsidRPr="00002006" w:rsidRDefault="00002006" w:rsidP="00E17C14">
            <w:pPr>
              <w:spacing w:before="120" w:after="120"/>
              <w:rPr>
                <w:color w:val="1A2733"/>
                <w:sz w:val="20"/>
              </w:rPr>
            </w:pPr>
            <w:r w:rsidRPr="00002006">
              <w:rPr>
                <w:b/>
                <w:color w:val="0F2D4A"/>
                <w:sz w:val="22"/>
              </w:rPr>
              <w:t>Redis for checkpoint, not a file</w:t>
            </w:r>
          </w:p>
          <w:p w14:paraId="3B0F651B" w14:textId="77777777" w:rsidR="00002006" w:rsidRPr="00002006" w:rsidRDefault="00002006" w:rsidP="00E17C14">
            <w:pPr>
              <w:spacing w:before="120" w:after="120"/>
              <w:rPr>
                <w:color w:val="1A2733"/>
                <w:sz w:val="20"/>
              </w:rPr>
            </w:pPr>
            <w:r w:rsidRPr="00002006">
              <w:rPr>
                <w:color w:val="1A2733"/>
                <w:sz w:val="20"/>
              </w:rPr>
              <w:t>Redis is already required by BullMQ, so using it for checkpointing adds zero new infrastructure. A Redis SET gives O(1) membership checks and atomic SADD operations - a file-based checkpoint would require locking on every write from every worker.</w:t>
            </w:r>
          </w:p>
          <w:p w14:paraId="47D4E3BF" w14:textId="58A695D2" w:rsidR="00105EA4" w:rsidRPr="00002006" w:rsidRDefault="00002006" w:rsidP="00E17C14">
            <w:pPr>
              <w:spacing w:before="120" w:after="120"/>
              <w:rPr>
                <w:color w:val="1A2733"/>
                <w:sz w:val="20"/>
              </w:rPr>
            </w:pPr>
            <w:r w:rsidRPr="00002006">
              <w:rPr>
                <w:color w:val="1A2733"/>
                <w:sz w:val="20"/>
              </w:rPr>
              <w:t>Risk: Redis loss equals checkpoint loss. Required mitigation: run Redis with AOF persistence (appendonly yes, appendfsync everysec) and a replica or Sentinel.</w:t>
            </w:r>
          </w:p>
        </w:tc>
      </w:tr>
    </w:tbl>
    <w:p w14:paraId="2275FCC3" w14:textId="77777777" w:rsidR="00105EA4" w:rsidRDefault="00105EA4" w:rsidP="00105EA4">
      <w:pPr>
        <w:spacing w:after="40"/>
      </w:pPr>
    </w:p>
    <w:tbl>
      <w:tblPr>
        <w:tblW w:w="5000" w:type="pct"/>
        <w:tblLayout w:type="fixed"/>
        <w:tblCellMar>
          <w:top w:w="86" w:type="dxa"/>
          <w:left w:w="72" w:type="dxa"/>
          <w:bottom w:w="86" w:type="dxa"/>
          <w:right w:w="72" w:type="dxa"/>
        </w:tblCellMar>
        <w:tblLook w:val="0000" w:firstRow="0" w:lastRow="0" w:firstColumn="0" w:lastColumn="0" w:noHBand="0" w:noVBand="0"/>
      </w:tblPr>
      <w:tblGrid>
        <w:gridCol w:w="749"/>
        <w:gridCol w:w="8323"/>
      </w:tblGrid>
      <w:tr w:rsidR="00105EA4" w14:paraId="04C144EF" w14:textId="77777777" w:rsidTr="00B2042E">
        <w:tc>
          <w:tcPr>
            <w:tcW w:w="749" w:type="dxa"/>
            <w:shd w:val="clear" w:color="auto" w:fill="0F2D4A"/>
            <w:vAlign w:val="center"/>
          </w:tcPr>
          <w:p w14:paraId="155EB478" w14:textId="057E3FCC" w:rsidR="00105EA4" w:rsidRPr="00105EA4" w:rsidRDefault="00105EA4" w:rsidP="00105EA4">
            <w:pPr>
              <w:spacing w:before="160" w:after="40"/>
              <w:jc w:val="center"/>
              <w:rPr>
                <w:b/>
                <w:color w:val="FFFFFF"/>
                <w:sz w:val="26"/>
              </w:rPr>
            </w:pPr>
            <w:r w:rsidRPr="00105EA4">
              <w:rPr>
                <w:b/>
                <w:color w:val="FFFFFF"/>
                <w:sz w:val="26"/>
              </w:rPr>
              <w:t>2</w:t>
            </w:r>
          </w:p>
        </w:tc>
        <w:tc>
          <w:tcPr>
            <w:tcW w:w="8323" w:type="dxa"/>
            <w:shd w:val="clear" w:color="auto" w:fill="F4F9FC"/>
          </w:tcPr>
          <w:p w14:paraId="05AA6A9E" w14:textId="77777777" w:rsidR="00002006" w:rsidRPr="00002006" w:rsidRDefault="00002006" w:rsidP="00E17C14">
            <w:pPr>
              <w:spacing w:before="120" w:after="120"/>
              <w:rPr>
                <w:color w:val="1A2733"/>
                <w:sz w:val="20"/>
              </w:rPr>
            </w:pPr>
            <w:r w:rsidRPr="00002006">
              <w:rPr>
                <w:b/>
                <w:color w:val="0F2D4A"/>
                <w:sz w:val="22"/>
              </w:rPr>
              <w:t>Disk-based chunk files, not in-memory arrays</w:t>
            </w:r>
          </w:p>
          <w:p w14:paraId="6D3E293F" w14:textId="34A674B7" w:rsidR="00105EA4" w:rsidRPr="00002006" w:rsidRDefault="00002006" w:rsidP="00E17C14">
            <w:pPr>
              <w:spacing w:before="120" w:after="120"/>
              <w:rPr>
                <w:color w:val="1A2733"/>
                <w:sz w:val="20"/>
              </w:rPr>
            </w:pPr>
            <w:r w:rsidRPr="00002006">
              <w:rPr>
                <w:color w:val="1A2733"/>
                <w:sz w:val="20"/>
              </w:rPr>
              <w:t>Chunks are written to output/chunks/ before upload. This enables: safe resume without re-reading from Redis, re-read of chunk contents when a whole job fails, and no memory pressure from holding all chunks simultaneously. Each chunk is &lt;= 480 KB, so disk I/O cost is negligible.</w:t>
            </w:r>
          </w:p>
        </w:tc>
      </w:tr>
    </w:tbl>
    <w:p w14:paraId="2D7A2903" w14:textId="77777777" w:rsidR="00105EA4" w:rsidRDefault="00105EA4" w:rsidP="00105EA4">
      <w:pPr>
        <w:spacing w:after="40"/>
      </w:pPr>
    </w:p>
    <w:tbl>
      <w:tblPr>
        <w:tblW w:w="5000" w:type="pct"/>
        <w:tblLayout w:type="fixed"/>
        <w:tblCellMar>
          <w:top w:w="86" w:type="dxa"/>
          <w:left w:w="72" w:type="dxa"/>
          <w:bottom w:w="86" w:type="dxa"/>
          <w:right w:w="72" w:type="dxa"/>
        </w:tblCellMar>
        <w:tblLook w:val="0000" w:firstRow="0" w:lastRow="0" w:firstColumn="0" w:lastColumn="0" w:noHBand="0" w:noVBand="0"/>
      </w:tblPr>
      <w:tblGrid>
        <w:gridCol w:w="749"/>
        <w:gridCol w:w="8323"/>
      </w:tblGrid>
      <w:tr w:rsidR="00105EA4" w14:paraId="4BFBE8A2" w14:textId="77777777" w:rsidTr="00B2042E">
        <w:tc>
          <w:tcPr>
            <w:tcW w:w="749" w:type="dxa"/>
            <w:shd w:val="clear" w:color="auto" w:fill="0F2D4A"/>
            <w:vAlign w:val="center"/>
          </w:tcPr>
          <w:p w14:paraId="73012735" w14:textId="1A1869D1" w:rsidR="00105EA4" w:rsidRPr="00105EA4" w:rsidRDefault="00105EA4" w:rsidP="00105EA4">
            <w:pPr>
              <w:spacing w:before="160" w:after="40"/>
              <w:jc w:val="center"/>
              <w:rPr>
                <w:b/>
                <w:color w:val="FFFFFF"/>
                <w:sz w:val="26"/>
              </w:rPr>
            </w:pPr>
            <w:r w:rsidRPr="00105EA4">
              <w:rPr>
                <w:b/>
                <w:color w:val="FFFFFF"/>
                <w:sz w:val="26"/>
              </w:rPr>
              <w:t>3</w:t>
            </w:r>
          </w:p>
        </w:tc>
        <w:tc>
          <w:tcPr>
            <w:tcW w:w="8323" w:type="dxa"/>
            <w:shd w:val="clear" w:color="auto" w:fill="F4F9FC"/>
          </w:tcPr>
          <w:p w14:paraId="19EA1D17" w14:textId="77777777" w:rsidR="00002006" w:rsidRPr="00002006" w:rsidRDefault="00002006" w:rsidP="00E17C14">
            <w:pPr>
              <w:spacing w:before="120" w:after="120"/>
              <w:rPr>
                <w:color w:val="1A2733"/>
                <w:sz w:val="20"/>
              </w:rPr>
            </w:pPr>
            <w:r w:rsidRPr="00002006">
              <w:rPr>
                <w:b/>
                <w:color w:val="0F2D4A"/>
                <w:sz w:val="22"/>
              </w:rPr>
              <w:t>Polling, not webhooks</w:t>
            </w:r>
          </w:p>
          <w:p w14:paraId="0E4A1B09" w14:textId="2A7F7F02" w:rsidR="00105EA4" w:rsidRPr="00002006" w:rsidRDefault="00002006" w:rsidP="00E17C14">
            <w:pPr>
              <w:spacing w:before="120" w:after="120"/>
              <w:rPr>
                <w:color w:val="1A2733"/>
                <w:sz w:val="20"/>
              </w:rPr>
            </w:pPr>
            <w:r w:rsidRPr="00002006">
              <w:rPr>
                <w:color w:val="1A2733"/>
                <w:sz w:val="20"/>
              </w:rPr>
              <w:t>Auth0 POST /api/v2/jobs/users-imports does not support completion webhooks - polling is the only option. The status worker adds a delayed BullMQ job that re-polls every 30 seconds, capped at 240 attempts (2 hours). All polling logic lives inside the queue with no leaked setInterval handles.</w:t>
            </w:r>
          </w:p>
        </w:tc>
      </w:tr>
    </w:tbl>
    <w:p w14:paraId="5AE6D161" w14:textId="77777777" w:rsidR="00105EA4" w:rsidRDefault="00105EA4" w:rsidP="00105EA4">
      <w:pPr>
        <w:spacing w:after="40"/>
      </w:pPr>
    </w:p>
    <w:tbl>
      <w:tblPr>
        <w:tblW w:w="5000" w:type="pct"/>
        <w:tblLayout w:type="fixed"/>
        <w:tblCellMar>
          <w:top w:w="86" w:type="dxa"/>
          <w:left w:w="72" w:type="dxa"/>
          <w:bottom w:w="86" w:type="dxa"/>
          <w:right w:w="72" w:type="dxa"/>
        </w:tblCellMar>
        <w:tblLook w:val="0000" w:firstRow="0" w:lastRow="0" w:firstColumn="0" w:lastColumn="0" w:noHBand="0" w:noVBand="0"/>
      </w:tblPr>
      <w:tblGrid>
        <w:gridCol w:w="749"/>
        <w:gridCol w:w="8323"/>
      </w:tblGrid>
      <w:tr w:rsidR="00105EA4" w14:paraId="31B46AB6" w14:textId="77777777" w:rsidTr="00B2042E">
        <w:tc>
          <w:tcPr>
            <w:tcW w:w="749" w:type="dxa"/>
            <w:shd w:val="clear" w:color="auto" w:fill="0F2D4A"/>
            <w:vAlign w:val="center"/>
          </w:tcPr>
          <w:p w14:paraId="337153D9" w14:textId="716E863B" w:rsidR="00105EA4" w:rsidRPr="00105EA4" w:rsidRDefault="00105EA4" w:rsidP="00105EA4">
            <w:pPr>
              <w:spacing w:before="160" w:after="40"/>
              <w:jc w:val="center"/>
              <w:rPr>
                <w:b/>
                <w:color w:val="FFFFFF"/>
                <w:sz w:val="26"/>
              </w:rPr>
            </w:pPr>
            <w:r w:rsidRPr="00105EA4">
              <w:rPr>
                <w:b/>
                <w:color w:val="FFFFFF"/>
                <w:sz w:val="26"/>
              </w:rPr>
              <w:t>4</w:t>
            </w:r>
          </w:p>
        </w:tc>
        <w:tc>
          <w:tcPr>
            <w:tcW w:w="8323" w:type="dxa"/>
            <w:shd w:val="clear" w:color="auto" w:fill="F4F9FC"/>
          </w:tcPr>
          <w:p w14:paraId="794723DC" w14:textId="77777777" w:rsidR="00002006" w:rsidRPr="00002006" w:rsidRDefault="00002006" w:rsidP="00E17C14">
            <w:pPr>
              <w:spacing w:before="120" w:after="120"/>
              <w:rPr>
                <w:color w:val="1A2733"/>
                <w:sz w:val="20"/>
              </w:rPr>
            </w:pPr>
            <w:r w:rsidRPr="00002006">
              <w:rPr>
                <w:b/>
                <w:color w:val="0F2D4A"/>
                <w:sz w:val="22"/>
              </w:rPr>
              <w:t>Retry at user level, not chunk level</w:t>
            </w:r>
          </w:p>
          <w:p w14:paraId="1DAA84C6" w14:textId="25CAED08" w:rsidR="00105EA4" w:rsidRPr="00002006" w:rsidRDefault="00002006" w:rsidP="00E17C14">
            <w:pPr>
              <w:spacing w:before="120" w:after="120"/>
              <w:rPr>
                <w:color w:val="1A2733"/>
                <w:sz w:val="20"/>
              </w:rPr>
            </w:pPr>
            <w:r w:rsidRPr="00002006">
              <w:rPr>
                <w:color w:val="1A2733"/>
                <w:sz w:val="20"/>
              </w:rPr>
              <w:t>When a job completes with partial failures, re-uploading the entire chunk would risk duplicating already-imported users. The design calls GET /api/v2/jobs/{id}/errors to extract only the failed user records and retries them individually as single-record imports. This eliminates upsert ambiguity entirely.</w:t>
            </w:r>
          </w:p>
        </w:tc>
      </w:tr>
    </w:tbl>
    <w:p w14:paraId="31CD421A" w14:textId="77777777" w:rsidR="00105EA4" w:rsidRDefault="00105EA4" w:rsidP="00105EA4">
      <w:pPr>
        <w:spacing w:after="40"/>
      </w:pPr>
    </w:p>
    <w:tbl>
      <w:tblPr>
        <w:tblW w:w="5000" w:type="pct"/>
        <w:tblLayout w:type="fixed"/>
        <w:tblCellMar>
          <w:top w:w="86" w:type="dxa"/>
          <w:left w:w="72" w:type="dxa"/>
          <w:bottom w:w="86" w:type="dxa"/>
          <w:right w:w="72" w:type="dxa"/>
        </w:tblCellMar>
        <w:tblLook w:val="0000" w:firstRow="0" w:lastRow="0" w:firstColumn="0" w:lastColumn="0" w:noHBand="0" w:noVBand="0"/>
      </w:tblPr>
      <w:tblGrid>
        <w:gridCol w:w="749"/>
        <w:gridCol w:w="8323"/>
      </w:tblGrid>
      <w:tr w:rsidR="00105EA4" w14:paraId="602E364F" w14:textId="77777777" w:rsidTr="00B2042E">
        <w:tc>
          <w:tcPr>
            <w:tcW w:w="749" w:type="dxa"/>
            <w:shd w:val="clear" w:color="auto" w:fill="0F2D4A"/>
            <w:vAlign w:val="center"/>
          </w:tcPr>
          <w:p w14:paraId="1F833006" w14:textId="67E65967" w:rsidR="00105EA4" w:rsidRPr="00105EA4" w:rsidRDefault="00105EA4" w:rsidP="00105EA4">
            <w:pPr>
              <w:spacing w:before="160" w:after="40"/>
              <w:jc w:val="center"/>
              <w:rPr>
                <w:b/>
                <w:color w:val="FFFFFF"/>
                <w:sz w:val="26"/>
              </w:rPr>
            </w:pPr>
            <w:r w:rsidRPr="00105EA4">
              <w:rPr>
                <w:b/>
                <w:color w:val="FFFFFF"/>
                <w:sz w:val="26"/>
              </w:rPr>
              <w:t>5</w:t>
            </w:r>
          </w:p>
        </w:tc>
        <w:tc>
          <w:tcPr>
            <w:tcW w:w="8323" w:type="dxa"/>
            <w:shd w:val="clear" w:color="auto" w:fill="F4F9FC"/>
          </w:tcPr>
          <w:p w14:paraId="7FFEDBC0" w14:textId="77777777" w:rsidR="00002006" w:rsidRPr="00002006" w:rsidRDefault="00002006" w:rsidP="00E17C14">
            <w:pPr>
              <w:spacing w:before="120" w:after="120"/>
              <w:rPr>
                <w:color w:val="1A2733"/>
                <w:sz w:val="20"/>
              </w:rPr>
            </w:pPr>
            <w:r w:rsidRPr="00002006">
              <w:rPr>
                <w:b/>
                <w:color w:val="0F2D4A"/>
                <w:sz w:val="22"/>
              </w:rPr>
              <w:t>Atomic writes for manual-review.xlsx</w:t>
            </w:r>
          </w:p>
          <w:p w14:paraId="06D623F6" w14:textId="3A562FF1" w:rsidR="00105EA4" w:rsidRPr="00002006" w:rsidRDefault="00002006" w:rsidP="00E17C14">
            <w:pPr>
              <w:spacing w:before="120" w:after="120"/>
              <w:rPr>
                <w:color w:val="1A2733"/>
                <w:sz w:val="20"/>
              </w:rPr>
            </w:pPr>
            <w:r w:rsidRPr="00002006">
              <w:rPr>
                <w:color w:val="1A2733"/>
                <w:sz w:val="20"/>
              </w:rPr>
              <w:t>Two mechanisms combined: proper-lockfile for mutual exclusion between concurrent retry workers, and ExcelJS writes to a .tmp file then fs.renameSync() for an atomic swap. The Excel file is never in a half-written, unreadable state even if a worker crashes mid-write.</w:t>
            </w:r>
          </w:p>
        </w:tc>
      </w:tr>
    </w:tbl>
    <w:p w14:paraId="3080E25D" w14:textId="77777777" w:rsidR="00105EA4" w:rsidRDefault="00105EA4" w:rsidP="00105EA4">
      <w:pPr>
        <w:spacing w:after="40"/>
      </w:pPr>
    </w:p>
    <w:tbl>
      <w:tblPr>
        <w:tblW w:w="5000" w:type="pct"/>
        <w:tblLayout w:type="fixed"/>
        <w:tblCellMar>
          <w:top w:w="86" w:type="dxa"/>
          <w:left w:w="72" w:type="dxa"/>
          <w:bottom w:w="86" w:type="dxa"/>
          <w:right w:w="72" w:type="dxa"/>
        </w:tblCellMar>
        <w:tblLook w:val="0000" w:firstRow="0" w:lastRow="0" w:firstColumn="0" w:lastColumn="0" w:noHBand="0" w:noVBand="0"/>
      </w:tblPr>
      <w:tblGrid>
        <w:gridCol w:w="749"/>
        <w:gridCol w:w="8323"/>
      </w:tblGrid>
      <w:tr w:rsidR="00105EA4" w14:paraId="68BEC1F9" w14:textId="77777777" w:rsidTr="00B2042E">
        <w:tc>
          <w:tcPr>
            <w:tcW w:w="749" w:type="dxa"/>
            <w:shd w:val="clear" w:color="auto" w:fill="0F2D4A"/>
            <w:vAlign w:val="center"/>
          </w:tcPr>
          <w:p w14:paraId="6D93AA1E" w14:textId="79244EDC" w:rsidR="00105EA4" w:rsidRPr="00105EA4" w:rsidRDefault="00105EA4" w:rsidP="00105EA4">
            <w:pPr>
              <w:spacing w:before="160" w:after="40"/>
              <w:jc w:val="center"/>
              <w:rPr>
                <w:b/>
                <w:color w:val="FFFFFF"/>
                <w:sz w:val="26"/>
              </w:rPr>
            </w:pPr>
            <w:r w:rsidRPr="00105EA4">
              <w:rPr>
                <w:b/>
                <w:color w:val="FFFFFF"/>
                <w:sz w:val="26"/>
              </w:rPr>
              <w:t>6</w:t>
            </w:r>
          </w:p>
        </w:tc>
        <w:tc>
          <w:tcPr>
            <w:tcW w:w="8323" w:type="dxa"/>
            <w:shd w:val="clear" w:color="auto" w:fill="F4F9FC"/>
          </w:tcPr>
          <w:p w14:paraId="1F50CAA1" w14:textId="77777777" w:rsidR="00002006" w:rsidRPr="00002006" w:rsidRDefault="00002006" w:rsidP="00E17C14">
            <w:pPr>
              <w:spacing w:before="120" w:after="120"/>
              <w:rPr>
                <w:color w:val="1A2733"/>
                <w:sz w:val="20"/>
              </w:rPr>
            </w:pPr>
            <w:r w:rsidRPr="00002006">
              <w:rPr>
                <w:b/>
                <w:color w:val="0F2D4A"/>
                <w:sz w:val="22"/>
              </w:rPr>
              <w:t>Concurrency as a runtime environment variable</w:t>
            </w:r>
          </w:p>
          <w:p w14:paraId="54F22693" w14:textId="64A54629" w:rsidR="00105EA4" w:rsidRPr="00002006" w:rsidRDefault="00002006" w:rsidP="00E17C14">
            <w:pPr>
              <w:spacing w:before="120" w:after="120"/>
              <w:rPr>
                <w:color w:val="1A2733"/>
                <w:sz w:val="20"/>
              </w:rPr>
            </w:pPr>
            <w:r w:rsidRPr="00002006">
              <w:rPr>
                <w:color w:val="1A2733"/>
                <w:sz w:val="20"/>
              </w:rPr>
              <w:t>BullMQ Worker concurrency reads from MAX_CONCURRENT_AUTH0_JOBS. When Auth0 raises your tenant concurrent job limit, only the environment variable changes - no code deployment required. The operational team can tune throughput without involving engineering.</w:t>
            </w:r>
          </w:p>
        </w:tc>
      </w:tr>
    </w:tbl>
    <w:p w14:paraId="5D0001B2" w14:textId="77777777" w:rsidR="00105EA4" w:rsidRDefault="00105EA4" w:rsidP="00105EA4">
      <w:pPr>
        <w:spacing w:after="40"/>
      </w:pPr>
    </w:p>
    <w:p w14:paraId="2C588470" w14:textId="77777777" w:rsidR="00105EA4" w:rsidRDefault="00105EA4" w:rsidP="00105EA4">
      <w:pPr>
        <w:spacing w:after="40"/>
      </w:pPr>
    </w:p>
    <w:p w14:paraId="7F552833" w14:textId="00F418CE" w:rsidR="00105EA4" w:rsidRDefault="00105EA4" w:rsidP="00105EA4">
      <w:pPr>
        <w:pStyle w:val="Heading1"/>
        <w:spacing w:before="320" w:after="160"/>
      </w:pPr>
      <w:r>
        <w:t>6.  Risks and Mitigations</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32"/>
        <w:gridCol w:w="1008"/>
        <w:gridCol w:w="3888"/>
      </w:tblGrid>
      <w:tr w:rsidR="00105EA4" w14:paraId="024EFC7D" w14:textId="77777777" w:rsidTr="00105EA4">
        <w:tc>
          <w:tcPr>
            <w:tcW w:w="4032" w:type="dxa"/>
            <w:tcBorders>
              <w:bottom w:val="single" w:sz="4" w:space="0" w:color="auto"/>
            </w:tcBorders>
            <w:shd w:val="clear" w:color="auto" w:fill="0F2D4A"/>
          </w:tcPr>
          <w:p w14:paraId="3F663C66" w14:textId="05674008" w:rsidR="00105EA4" w:rsidRPr="00105EA4" w:rsidRDefault="00105EA4" w:rsidP="00105EA4">
            <w:pPr>
              <w:rPr>
                <w:b/>
                <w:color w:val="FFFFFF"/>
                <w:sz w:val="18"/>
              </w:rPr>
            </w:pPr>
            <w:r w:rsidRPr="00105EA4">
              <w:rPr>
                <w:b/>
                <w:color w:val="FFFFFF"/>
                <w:sz w:val="18"/>
              </w:rPr>
              <w:t>Risk</w:t>
            </w:r>
          </w:p>
        </w:tc>
        <w:tc>
          <w:tcPr>
            <w:tcW w:w="1008" w:type="dxa"/>
            <w:tcBorders>
              <w:bottom w:val="single" w:sz="4" w:space="0" w:color="auto"/>
            </w:tcBorders>
            <w:shd w:val="clear" w:color="auto" w:fill="0F2D4A"/>
          </w:tcPr>
          <w:p w14:paraId="5027EB99" w14:textId="65101A05" w:rsidR="00105EA4" w:rsidRPr="00105EA4" w:rsidRDefault="00105EA4" w:rsidP="00105EA4">
            <w:pPr>
              <w:rPr>
                <w:b/>
                <w:color w:val="FFFFFF"/>
                <w:sz w:val="18"/>
              </w:rPr>
            </w:pPr>
            <w:r w:rsidRPr="00105EA4">
              <w:rPr>
                <w:b/>
                <w:color w:val="FFFFFF"/>
                <w:sz w:val="18"/>
              </w:rPr>
              <w:t>Severity</w:t>
            </w:r>
          </w:p>
        </w:tc>
        <w:tc>
          <w:tcPr>
            <w:tcW w:w="3888" w:type="dxa"/>
            <w:tcBorders>
              <w:bottom w:val="single" w:sz="4" w:space="0" w:color="auto"/>
            </w:tcBorders>
            <w:shd w:val="clear" w:color="auto" w:fill="0F2D4A"/>
          </w:tcPr>
          <w:p w14:paraId="26861E8E" w14:textId="35C31B9B" w:rsidR="00105EA4" w:rsidRPr="00105EA4" w:rsidRDefault="00105EA4" w:rsidP="00105EA4">
            <w:pPr>
              <w:rPr>
                <w:b/>
                <w:color w:val="FFFFFF"/>
                <w:sz w:val="18"/>
              </w:rPr>
            </w:pPr>
            <w:r w:rsidRPr="00105EA4">
              <w:rPr>
                <w:b/>
                <w:color w:val="FFFFFF"/>
                <w:sz w:val="18"/>
              </w:rPr>
              <w:t>Mitigation</w:t>
            </w:r>
          </w:p>
        </w:tc>
      </w:tr>
      <w:tr w:rsidR="00105EA4" w14:paraId="66ADDE1C" w14:textId="77777777" w:rsidTr="00105EA4">
        <w:tc>
          <w:tcPr>
            <w:tcW w:w="4032" w:type="dxa"/>
            <w:tcBorders>
              <w:bottom w:val="single" w:sz="4" w:space="0" w:color="auto"/>
            </w:tcBorders>
            <w:shd w:val="clear" w:color="auto" w:fill="FFFFFF"/>
          </w:tcPr>
          <w:p w14:paraId="2B390527" w14:textId="1906E626" w:rsidR="00105EA4" w:rsidRPr="00105EA4" w:rsidRDefault="00105EA4" w:rsidP="00105EA4">
            <w:pPr>
              <w:rPr>
                <w:b/>
                <w:color w:val="1A2733"/>
                <w:sz w:val="20"/>
              </w:rPr>
            </w:pPr>
            <w:r w:rsidRPr="00105EA4">
              <w:rPr>
                <w:b/>
                <w:color w:val="1A2733"/>
                <w:sz w:val="20"/>
              </w:rPr>
              <w:t>Redis is a single point of failure. If Redis fails mid-migration, BullMQ loses queue state and the checkpoint becomes inaccessible.</w:t>
            </w:r>
          </w:p>
        </w:tc>
        <w:tc>
          <w:tcPr>
            <w:tcW w:w="1008" w:type="dxa"/>
            <w:tcBorders>
              <w:bottom w:val="single" w:sz="4" w:space="0" w:color="auto"/>
            </w:tcBorders>
            <w:shd w:val="clear" w:color="auto" w:fill="FFFFFF"/>
          </w:tcPr>
          <w:p w14:paraId="4587766C" w14:textId="38B7F54E" w:rsidR="00105EA4" w:rsidRPr="00105EA4" w:rsidRDefault="00105EA4" w:rsidP="00105EA4">
            <w:pPr>
              <w:rPr>
                <w:color w:val="1A2733"/>
                <w:sz w:val="20"/>
              </w:rPr>
            </w:pPr>
            <w:r w:rsidRPr="00105EA4">
              <w:rPr>
                <w:color w:val="1A2733"/>
                <w:sz w:val="20"/>
              </w:rPr>
              <w:t>HIGH</w:t>
            </w:r>
          </w:p>
        </w:tc>
        <w:tc>
          <w:tcPr>
            <w:tcW w:w="3888" w:type="dxa"/>
            <w:tcBorders>
              <w:bottom w:val="single" w:sz="4" w:space="0" w:color="auto"/>
            </w:tcBorders>
            <w:shd w:val="clear" w:color="auto" w:fill="FFFFFF"/>
          </w:tcPr>
          <w:p w14:paraId="78D6E220" w14:textId="044A7F57" w:rsidR="00105EA4" w:rsidRPr="00105EA4" w:rsidRDefault="00105EA4" w:rsidP="00105EA4">
            <w:pPr>
              <w:rPr>
                <w:color w:val="1A2733"/>
                <w:sz w:val="20"/>
              </w:rPr>
            </w:pPr>
            <w:r w:rsidRPr="00105EA4">
              <w:rPr>
                <w:color w:val="1A2733"/>
                <w:sz w:val="20"/>
              </w:rPr>
              <w:t>Enable AOF persistence (appendonly yes, appendfsync everysec). Run Redis Sentinel or Cluster. Do not use ephemeral Redis for this migration.</w:t>
            </w:r>
          </w:p>
        </w:tc>
      </w:tr>
      <w:tr w:rsidR="00105EA4" w14:paraId="458E95C5" w14:textId="77777777" w:rsidTr="00105EA4">
        <w:tc>
          <w:tcPr>
            <w:tcW w:w="4032" w:type="dxa"/>
            <w:tcBorders>
              <w:bottom w:val="single" w:sz="4" w:space="0" w:color="auto"/>
            </w:tcBorders>
            <w:shd w:val="clear" w:color="auto" w:fill="F4F9FC"/>
          </w:tcPr>
          <w:p w14:paraId="372EB502" w14:textId="3903E374" w:rsidR="00105EA4" w:rsidRPr="00105EA4" w:rsidRDefault="00105EA4" w:rsidP="00105EA4">
            <w:pPr>
              <w:rPr>
                <w:b/>
                <w:color w:val="1A2733"/>
                <w:sz w:val="20"/>
              </w:rPr>
            </w:pPr>
            <w:r w:rsidRPr="00105EA4">
              <w:rPr>
                <w:b/>
                <w:color w:val="1A2733"/>
                <w:sz w:val="20"/>
              </w:rPr>
              <w:t>30-second poll interval introduces latency between a job completing and the next chunk uploading.</w:t>
            </w:r>
          </w:p>
        </w:tc>
        <w:tc>
          <w:tcPr>
            <w:tcW w:w="1008" w:type="dxa"/>
            <w:tcBorders>
              <w:bottom w:val="single" w:sz="4" w:space="0" w:color="auto"/>
            </w:tcBorders>
            <w:shd w:val="clear" w:color="auto" w:fill="F4F9FC"/>
          </w:tcPr>
          <w:p w14:paraId="15E2E997" w14:textId="6539B17B" w:rsidR="00105EA4" w:rsidRPr="00105EA4" w:rsidRDefault="00105EA4" w:rsidP="00105EA4">
            <w:pPr>
              <w:rPr>
                <w:color w:val="1A2733"/>
                <w:sz w:val="20"/>
              </w:rPr>
            </w:pPr>
            <w:r w:rsidRPr="00105EA4">
              <w:rPr>
                <w:color w:val="1A2733"/>
                <w:sz w:val="20"/>
              </w:rPr>
              <w:t>LOW</w:t>
            </w:r>
          </w:p>
        </w:tc>
        <w:tc>
          <w:tcPr>
            <w:tcW w:w="3888" w:type="dxa"/>
            <w:tcBorders>
              <w:bottom w:val="single" w:sz="4" w:space="0" w:color="auto"/>
            </w:tcBorders>
            <w:shd w:val="clear" w:color="auto" w:fill="F4F9FC"/>
          </w:tcPr>
          <w:p w14:paraId="3D2813DB" w14:textId="715A9B70" w:rsidR="00105EA4" w:rsidRPr="00105EA4" w:rsidRDefault="00105EA4" w:rsidP="00105EA4">
            <w:pPr>
              <w:rPr>
                <w:color w:val="1A2733"/>
                <w:sz w:val="20"/>
              </w:rPr>
            </w:pPr>
            <w:r w:rsidRPr="00105EA4">
              <w:rPr>
                <w:color w:val="1A2733"/>
                <w:sz w:val="20"/>
              </w:rPr>
              <w:t>Configurable via STATUS_POLL_INTERVAL_MS. Reduce for higher throughput, but monitor Auth0 Management API rate limits on the status endpoint.</w:t>
            </w:r>
          </w:p>
        </w:tc>
      </w:tr>
      <w:tr w:rsidR="00105EA4" w14:paraId="00A6B995" w14:textId="77777777" w:rsidTr="00105EA4">
        <w:tc>
          <w:tcPr>
            <w:tcW w:w="4032" w:type="dxa"/>
            <w:tcBorders>
              <w:bottom w:val="single" w:sz="4" w:space="0" w:color="auto"/>
            </w:tcBorders>
            <w:shd w:val="clear" w:color="auto" w:fill="FFFFFF"/>
          </w:tcPr>
          <w:p w14:paraId="0A147EE9" w14:textId="3C0A1D23" w:rsidR="00105EA4" w:rsidRPr="00105EA4" w:rsidRDefault="00105EA4" w:rsidP="00105EA4">
            <w:pPr>
              <w:rPr>
                <w:b/>
                <w:color w:val="1A2733"/>
                <w:sz w:val="20"/>
              </w:rPr>
            </w:pPr>
            <w:r w:rsidRPr="00105EA4">
              <w:rPr>
                <w:b/>
                <w:color w:val="1A2733"/>
                <w:sz w:val="20"/>
              </w:rPr>
              <w:t>Windows atomic rename is not truly atomic. Renaming over an existing file requires delete-then-rename, leaving a brief window where the file is absent.</w:t>
            </w:r>
          </w:p>
        </w:tc>
        <w:tc>
          <w:tcPr>
            <w:tcW w:w="1008" w:type="dxa"/>
            <w:tcBorders>
              <w:bottom w:val="single" w:sz="4" w:space="0" w:color="auto"/>
            </w:tcBorders>
            <w:shd w:val="clear" w:color="auto" w:fill="FFFFFF"/>
          </w:tcPr>
          <w:p w14:paraId="4F556A0A" w14:textId="6B0C8E85" w:rsidR="00105EA4" w:rsidRPr="00105EA4" w:rsidRDefault="00105EA4" w:rsidP="00105EA4">
            <w:pPr>
              <w:rPr>
                <w:color w:val="1A2733"/>
                <w:sz w:val="20"/>
              </w:rPr>
            </w:pPr>
            <w:r w:rsidRPr="00105EA4">
              <w:rPr>
                <w:color w:val="1A2733"/>
                <w:sz w:val="20"/>
              </w:rPr>
              <w:t>LOW</w:t>
            </w:r>
          </w:p>
        </w:tc>
        <w:tc>
          <w:tcPr>
            <w:tcW w:w="3888" w:type="dxa"/>
            <w:tcBorders>
              <w:bottom w:val="single" w:sz="4" w:space="0" w:color="auto"/>
            </w:tcBorders>
            <w:shd w:val="clear" w:color="auto" w:fill="FFFFFF"/>
          </w:tcPr>
          <w:p w14:paraId="1AD1E0B8" w14:textId="5BC4771B" w:rsidR="00105EA4" w:rsidRPr="00105EA4" w:rsidRDefault="00105EA4" w:rsidP="00105EA4">
            <w:pPr>
              <w:rPr>
                <w:color w:val="1A2733"/>
                <w:sz w:val="20"/>
              </w:rPr>
            </w:pPr>
            <w:r w:rsidRPr="00105EA4">
              <w:rPr>
                <w:color w:val="1A2733"/>
                <w:sz w:val="20"/>
              </w:rPr>
              <w:t>Under proper-lockfile only one process is ever in this window. A crash during the delete leaves the file absent until the next write - acceptable for a manual review log.</w:t>
            </w:r>
          </w:p>
        </w:tc>
      </w:tr>
      <w:tr w:rsidR="00105EA4" w14:paraId="01BE87AA" w14:textId="77777777" w:rsidTr="00105EA4">
        <w:tc>
          <w:tcPr>
            <w:tcW w:w="4032" w:type="dxa"/>
            <w:shd w:val="clear" w:color="auto" w:fill="F4F9FC"/>
          </w:tcPr>
          <w:p w14:paraId="172A283A" w14:textId="1B1A2B24" w:rsidR="00105EA4" w:rsidRPr="00105EA4" w:rsidRDefault="00105EA4" w:rsidP="00105EA4">
            <w:pPr>
              <w:rPr>
                <w:b/>
                <w:color w:val="1A2733"/>
                <w:sz w:val="20"/>
              </w:rPr>
            </w:pPr>
            <w:r w:rsidRPr="00105EA4">
              <w:rPr>
                <w:b/>
                <w:color w:val="1A2733"/>
                <w:sz w:val="20"/>
              </w:rPr>
              <w:t>If the Redis source offset key is lost without the chunk checkpoint, re-chunking from offset 0 may produce duplicate chunk files on disk.</w:t>
            </w:r>
          </w:p>
        </w:tc>
        <w:tc>
          <w:tcPr>
            <w:tcW w:w="1008" w:type="dxa"/>
            <w:shd w:val="clear" w:color="auto" w:fill="F4F9FC"/>
          </w:tcPr>
          <w:p w14:paraId="4755FB28" w14:textId="55F5BFDF" w:rsidR="00105EA4" w:rsidRPr="00105EA4" w:rsidRDefault="00105EA4" w:rsidP="00105EA4">
            <w:pPr>
              <w:rPr>
                <w:color w:val="1A2733"/>
                <w:sz w:val="20"/>
              </w:rPr>
            </w:pPr>
            <w:r w:rsidRPr="00105EA4">
              <w:rPr>
                <w:color w:val="1A2733"/>
                <w:sz w:val="20"/>
              </w:rPr>
              <w:t>MEDIUM</w:t>
            </w:r>
          </w:p>
        </w:tc>
        <w:tc>
          <w:tcPr>
            <w:tcW w:w="3888" w:type="dxa"/>
            <w:shd w:val="clear" w:color="auto" w:fill="F4F9FC"/>
          </w:tcPr>
          <w:p w14:paraId="48911AD0" w14:textId="4FCEA5E7" w:rsidR="00105EA4" w:rsidRPr="00105EA4" w:rsidRDefault="00105EA4" w:rsidP="00105EA4">
            <w:pPr>
              <w:rPr>
                <w:color w:val="1A2733"/>
                <w:sz w:val="20"/>
              </w:rPr>
            </w:pPr>
            <w:r w:rsidRPr="00105EA4">
              <w:rPr>
                <w:color w:val="1A2733"/>
                <w:sz w:val="20"/>
              </w:rPr>
              <w:t>Use --fresh flag only intentionally - it resets both the checkpoint and the source offset atomically at startup. Never delete Redis keys manually mid-migration.</w:t>
            </w:r>
          </w:p>
        </w:tc>
      </w:tr>
    </w:tbl>
    <w:p w14:paraId="4BEF93A7" w14:textId="77777777" w:rsidR="00105EA4" w:rsidRDefault="00105EA4" w:rsidP="00105EA4"/>
    <w:sectPr w:rsidR="00105EA4" w:rsidSect="00105EA4">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EA4"/>
    <w:rsid w:val="00002006"/>
    <w:rsid w:val="00002C45"/>
    <w:rsid w:val="000360E1"/>
    <w:rsid w:val="00105EA4"/>
    <w:rsid w:val="001606D3"/>
    <w:rsid w:val="006D6F6E"/>
    <w:rsid w:val="008168B1"/>
    <w:rsid w:val="00984CCC"/>
    <w:rsid w:val="009855EC"/>
    <w:rsid w:val="00B2042E"/>
    <w:rsid w:val="00C03247"/>
    <w:rsid w:val="00C57B88"/>
    <w:rsid w:val="00C61782"/>
    <w:rsid w:val="00D41666"/>
    <w:rsid w:val="00E17C14"/>
    <w:rsid w:val="00ED5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FF44F"/>
  <w15:chartTrackingRefBased/>
  <w15:docId w15:val="{051DC78D-8C89-4E8D-AC40-C90185276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E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5E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E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E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E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E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5E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E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E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E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EA4"/>
    <w:rPr>
      <w:rFonts w:eastAsiaTheme="majorEastAsia" w:cstheme="majorBidi"/>
      <w:color w:val="272727" w:themeColor="text1" w:themeTint="D8"/>
    </w:rPr>
  </w:style>
  <w:style w:type="paragraph" w:styleId="Title">
    <w:name w:val="Title"/>
    <w:basedOn w:val="Normal"/>
    <w:next w:val="Normal"/>
    <w:link w:val="TitleChar"/>
    <w:uiPriority w:val="10"/>
    <w:qFormat/>
    <w:rsid w:val="00105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EA4"/>
    <w:pPr>
      <w:spacing w:before="160"/>
      <w:jc w:val="center"/>
    </w:pPr>
    <w:rPr>
      <w:i/>
      <w:iCs/>
      <w:color w:val="404040" w:themeColor="text1" w:themeTint="BF"/>
    </w:rPr>
  </w:style>
  <w:style w:type="character" w:customStyle="1" w:styleId="QuoteChar">
    <w:name w:val="Quote Char"/>
    <w:basedOn w:val="DefaultParagraphFont"/>
    <w:link w:val="Quote"/>
    <w:uiPriority w:val="29"/>
    <w:rsid w:val="00105EA4"/>
    <w:rPr>
      <w:i/>
      <w:iCs/>
      <w:color w:val="404040" w:themeColor="text1" w:themeTint="BF"/>
    </w:rPr>
  </w:style>
  <w:style w:type="paragraph" w:styleId="ListParagraph">
    <w:name w:val="List Paragraph"/>
    <w:basedOn w:val="Normal"/>
    <w:uiPriority w:val="34"/>
    <w:qFormat/>
    <w:rsid w:val="00105EA4"/>
    <w:pPr>
      <w:ind w:left="720"/>
      <w:contextualSpacing/>
    </w:pPr>
  </w:style>
  <w:style w:type="character" w:styleId="IntenseEmphasis">
    <w:name w:val="Intense Emphasis"/>
    <w:basedOn w:val="DefaultParagraphFont"/>
    <w:uiPriority w:val="21"/>
    <w:qFormat/>
    <w:rsid w:val="00105EA4"/>
    <w:rPr>
      <w:i/>
      <w:iCs/>
      <w:color w:val="0F4761" w:themeColor="accent1" w:themeShade="BF"/>
    </w:rPr>
  </w:style>
  <w:style w:type="paragraph" w:styleId="IntenseQuote">
    <w:name w:val="Intense Quote"/>
    <w:basedOn w:val="Normal"/>
    <w:next w:val="Normal"/>
    <w:link w:val="IntenseQuoteChar"/>
    <w:uiPriority w:val="30"/>
    <w:qFormat/>
    <w:rsid w:val="00105E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EA4"/>
    <w:rPr>
      <w:i/>
      <w:iCs/>
      <w:color w:val="0F4761" w:themeColor="accent1" w:themeShade="BF"/>
    </w:rPr>
  </w:style>
  <w:style w:type="character" w:styleId="IntenseReference">
    <w:name w:val="Intense Reference"/>
    <w:basedOn w:val="DefaultParagraphFont"/>
    <w:uiPriority w:val="32"/>
    <w:qFormat/>
    <w:rsid w:val="00105E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3</Pages>
  <Words>1569</Words>
  <Characters>8946</Characters>
  <Application>Microsoft Office Word</Application>
  <DocSecurity>0</DocSecurity>
  <Lines>74</Lines>
  <Paragraphs>20</Paragraphs>
  <ScaleCrop>false</ScaleCrop>
  <Company/>
  <LinksUpToDate>false</LinksUpToDate>
  <CharactersWithSpaces>10495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Mishra, Arbind Lochan</dc:creator>
  <cp:keywords/>
  <dc:description/>
  <cp:lastModifiedBy>Mishra, Arbind Lochan</cp:lastModifiedBy>
  <cp:revision>5</cp:revision>
  <dcterms:created xsi:type="dcterms:W3CDTF">2026-09-10T14:47:00Z</dcterms:created>
  <dcterms:modified xsi:type="dcterms:W3CDTF">2026-09-10T14:54:00Z</dcterms:modified>
</cp:coreProperties>
</file>