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smallCaps w:val="0"/>
          <w:strike w:val="0"/>
          <w:color w:val="000000"/>
          <w:u w:val="none"/>
          <w:rtl w:val="0"/>
        </w:rPr>
        <w:t xml:space="preserve">Pannello 3</w:t>
      </w:r>
    </w:p>
    <w:p w:rsidR="00000000" w:rsidDel="00000000" w:rsidP="00000000" w:rsidRDefault="00000000" w:rsidRPr="00000000" w14:paraId="00000003">
      <w:pPr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smallCaps w:val="0"/>
          <w:strike w:val="0"/>
          <w:color w:val="000000"/>
          <w:u w:val="none"/>
          <w:rtl w:val="0"/>
        </w:rPr>
        <w:t xml:space="preserve">Didascalie</w:t>
      </w:r>
    </w:p>
    <w:p w:rsidR="00000000" w:rsidDel="00000000" w:rsidP="00000000" w:rsidRDefault="00000000" w:rsidRPr="00000000" w14:paraId="00000005">
      <w:pPr>
        <w:rPr>
          <w:smallCaps w:val="0"/>
          <w:strike w:val="0"/>
          <w:color w:val="00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Le piante spontanee lungo la Via Claudia Augusta, coltivate anche presso L’Orto in Villa nel Parco di Villa Salvadori-Zanatta a Meano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Cernitrici presso la miniera di Pralungo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Posatori di “bolognini” (cubetti) in porfido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AXbi20QlFpCfbR030S8fLXNkA==">AMUW2mUqFOkjDPG8k6DiMaCowXto99hXT6iXkXwE/jthS96RIPQzus76QjuKt++uSkyAr45JjE4ngE5f20vnbK0XniOMAINfM/qIW0E390jDK1Hvy+LSmV0=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