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500"/>
      </w:pP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0D1F3C"/>
          <w:spacing w:val="100"/>
          <w:sz w:val="72"/>
          <w:szCs w:val="72"/>
        </w:rPr>
        <w:t xml:space="preserve">ARCVARA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1A7FAD"/>
          <w:sz w:val="28"/>
          <w:szCs w:val="28"/>
        </w:rPr>
        <w:t xml:space="preserve">Business Model &amp; Financial Projections</w:t>
      </w:r>
    </w:p>
    <w:p>
      <w:pPr>
        <w:pBdr>
          <w:bottom w:val="single" w:color="1A7FAD" w:sz="4" w:space="1"/>
        </w:pBdr>
        <w:spacing w:after="0"/>
      </w:pPr>
    </w:p>
    <w:p>
      <w:pPr>
        <w:spacing w:after="0" w:before="40"/>
      </w:pPr>
    </w:p>
    <w:p>
      <w:pPr>
        <w:spacing w:after="40" w:before="4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June 2026  |  Strictly Confidential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D1F3C"/>
          <w:sz w:val="36"/>
          <w:szCs w:val="36"/>
        </w:rPr>
        <w:t xml:space="preserve">1. Revenue Model</w:t>
      </w:r>
    </w:p>
    <w:p>
      <w:pPr>
        <w:pBdr>
          <w:bottom w:val="single" w:color="1A7FAD" w:sz="4" w:space="1"/>
        </w:pBdr>
        <w:spacing w:after="0"/>
      </w:pPr>
    </w:p>
    <w:p>
      <w:pPr>
        <w:spacing w:after="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7FAD"/>
          <w:sz w:val="26"/>
          <w:szCs w:val="26"/>
        </w:rPr>
        <w:t xml:space="preserve">1.1  Pricing Architecture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Arcvara operates on a per-seat SaaS subscription model. For regulated enterprises with data residency requirements, an on-premises or sovereign cloud deployment option is available from Phase 1 — discovery agents run inside the customer environment and sensitive metadata never leaves the customer boundary.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87"/>
        <w:gridCol w:w="2387"/>
        <w:gridCol w:w="238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Starter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Professional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Enterprise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Target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SMB / Teams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Mid-size Enterprises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Large Enterprises / Regulated (GCC, international)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Modules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 core modules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modules (SaaS)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modules + on-premises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Environments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 to 2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 to 10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Integrations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 to 5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 to 20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Compliance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ISO 27001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ISO, NIST, GDPR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incl. SAMA CSF, NCA ECC-2:2024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 Layer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Basic assistant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 AI layer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 AI + custom fine-tuning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Support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Community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Business hours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Dedicated CSM + SLA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Pricing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 seat / month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 seat / month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Annual enterprise contract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7FAD"/>
          <w:sz w:val="26"/>
          <w:szCs w:val="26"/>
        </w:rPr>
        <w:t xml:space="preserve">1.2  Additional Revenue Streams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Professional Services — implementation, onboarding, and custom integration development for enterprise clients.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Training and Certification — Arcvara-certified architect programme for enterprise teams.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Marketplace — third-party integration connectors and custom compliance framework templates from partners.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 Partner Tier Licensing — flat annual fee for regional and international SIs and consultancies using Arcvara as a client assessment tool.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Government and Regulated Industry Contracts — dedicated on-premises deployments for ministries and financial institutions.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D1F3C"/>
          <w:sz w:val="36"/>
          <w:szCs w:val="36"/>
        </w:rPr>
        <w:t xml:space="preserve">2. Unit Economics</w:t>
      </w:r>
    </w:p>
    <w:p>
      <w:pPr>
        <w:pBdr>
          <w:bottom w:val="single" w:color="1A7FAD" w:sz="4" w:space="1"/>
        </w:pBdr>
        <w:spacing w:after="0"/>
      </w:pPr>
    </w:p>
    <w:p>
      <w:pPr>
        <w:spacing w:after="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7FAD"/>
          <w:sz w:val="26"/>
          <w:szCs w:val="26"/>
        </w:rPr>
        <w:t xml:space="preserve">2.1  Customer Acquisition Cost (CAC)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CAC is the total cost of acquiring one paying enterprise customer, including sales effort, partner fees, and pilot overhead.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Component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Sales &amp; BD salaries (per closed deal)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35,000–50,000 SAR (~USD 9,300–13,300) at 2–3 deals per year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SI partner referral fee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10–15% of first-year ACV: ~45,000–67,500 SAR (~USD 12,000–18,000)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Pilot overhead (90-day paid pilot)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Revenue-generating at reduced rate — partially self-funding acquisition cost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Estimated blended CAC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60,000–90,000 SAR (~USD 16,000–24,000) per enterprise customer</w:t>
            </w:r>
          </w:p>
        </w:tc>
      </w:tr>
    </w:tbl>
    <w:p>
      <w:pPr>
        <w:spacing w:after="0" w:before="60"/>
      </w:pP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SI Trojan Horse strategy is the primary CAC compression lever — reducing effective CAC by an estimated 40 to 50% compared to a pure direct sales model. When a regional SI uses Arcvara during a client assessment, the client experiences the platform before any direct sales motion begins, eliminating cold outreach and compressing the evaluation cycle.</w:t>
      </w:r>
    </w:p>
    <w:p>
      <w:pPr>
        <w:spacing w:before="80" w:after="80"/>
      </w:pPr>
      <w:r>
        <w:rPr>
          <w:i/>
          <w:color w:val="555555"/>
        </w:rPr>
        <w:t xml:space="preserve">Note on early-stage CAC: the blended CAC above reflects steady-state mature channel economics. In a conservative scenario — assuming fully-loaded CAC of 200,000 SAR including sales salary, SI referral fees, and pilot discount — the LTV:CAC ratio remains a healthy 8:1, still well above the 3:1 minimum threshold for enterprise SaaS. The 20:1 figure represents mature channel economics once the SI programme is active. Both scenarios are commercially viable; the conservative figure is used for internal planning.</w:t>
      </w:r>
    </w:p>
    <w:p>
      <w:pPr>
        <w:spacing w:after="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7FAD"/>
          <w:sz w:val="26"/>
          <w:szCs w:val="26"/>
        </w:rPr>
        <w:t xml:space="preserve">2.2  Lifetime Value (LTV)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LTV Component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Average Enterprise ACV — Year 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450,000 SAR (~USD 120,000)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Assumed annual expansion per customer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15% year-on-year — additional seats and modules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Estimated 3-year LTV per customer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1.5M–1.8M SAR (~USD 400,000–480,000)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LTV:CAC ratio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~20:1 — well above the 3:1 enterprise SaaS threshold*</w:t>
            </w:r>
          </w:p>
        </w:tc>
      </w:tr>
    </w:tbl>
    <w:p>
      <w:pPr>
        <w:spacing w:after="0" w:before="40"/>
      </w:pP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* Based on conservative 3-year LTV at 450,000 SAR ACV with 15% annual expansion. A 5:1+ ratio is considered healthy for enterprise SaaS; Arcvara's model is designed to exceed this threshold under conservative assumptions.</w:t>
      </w:r>
    </w:p>
    <w:p>
      <w:pPr>
        <w:spacing w:after="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7FAD"/>
          <w:sz w:val="26"/>
          <w:szCs w:val="26"/>
        </w:rPr>
        <w:t xml:space="preserve">2.3  Payback Period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At a blended CAC of 75,000 SAR (~USD 20,000) and a first-year ACV of 450,000 SAR (~USD 120,000), Arcvara recovers its customer acquisition cost within the first year of a contract. The 90-day paid pilot with Pre-Negotiated Convert Clause generates revenue during the evaluation phase — further accelerating payback and eliminating pilot conversion risk.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D1F3C"/>
          <w:sz w:val="36"/>
          <w:szCs w:val="36"/>
        </w:rPr>
        <w:t xml:space="preserve">3. Financial Projections — 36 Months</w:t>
      </w:r>
    </w:p>
    <w:p>
      <w:pPr>
        <w:pBdr>
          <w:bottom w:val="single" w:color="1A7FAD" w:sz="4" w:space="1"/>
        </w:pBdr>
        <w:spacing w:after="0"/>
      </w:pPr>
    </w:p>
    <w:p>
      <w:pPr>
        <w:spacing w:after="0" w:before="80"/>
      </w:pP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Conservative projections based on 2 to 3 enterprise contracts per year at an average ACV of 450,000 SAR, with 15% annual expansion per existing customer and SI partner licence revenue from Month 7. All figures in SAR.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000"/>
        <w:gridCol w:w="2000"/>
        <w:gridCol w:w="200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3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New Enterprise Customers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Cumulative Active Customers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New Customer Revenue (SAR)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900,000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1,350,000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1,800,000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Expansion Revenue — existing customers (SAR)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270,000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810,000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SI Partner Licence Revenue (SAR)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150,000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300,000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500,000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Total Annual Revenue (SAR)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1,050,000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1,920,000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3,110,000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Total Annual Revenue (USD)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~$280,000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~$512,000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~$829,000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Cumulative Revenue (SAR)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1,050,000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2,970,000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6,080,000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7FAD"/>
          <w:sz w:val="26"/>
          <w:szCs w:val="26"/>
        </w:rPr>
        <w:t xml:space="preserve">3.1  Key Financial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First revenue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Month 4–6 — first paid pilot contract signed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First full conversion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Month 7–9 — pilot auto-converts to multi-year Enterprise Tier via Convert Clause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Average monthly burn rate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~415,000 SAR/month (~USD 110,000) across 36-month runway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Series A readiness milestone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targeted within seed-funded period. Series A (Month 30–36) scales revenue to profitability; full breakeven targeted at Month 48–54 post-Series A deployment.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Series A trigger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Month 30–36 — 3.1M+ SAR ARR, 9+ enterprise customers, MENA expansion active</w:t>
            </w:r>
          </w:p>
        </w:tc>
      </w:tr>
    </w:tbl>
    <w:p>
      <w:pPr>
        <w:spacing w:after="0" w:before="60"/>
      </w:pP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15M SAR raise provides sufficient runway to reach Series A milestones without bridge financing. The 36-month runway is structured as an 18 to 24-month sprint to Series A trigger with 12 months of deliberate contingency buffer.</w:t>
      </w:r>
    </w:p>
    <w:p>
      <w:pPr>
        <w:spacing w:after="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7FAD"/>
          <w:sz w:val="26"/>
          <w:szCs w:val="26"/>
        </w:rPr>
        <w:t xml:space="preserve">3.2  Burn vs. Revenue Profile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Year 1 burn (~4.98M SAR) significantly exceeds Year 1 revenue (~1.05M SAR). This gap is intentional and accounted for in the raise — it represents the product build investment required to reach the enterprise-ready MVP that generates recurring revenue from Month 7 onward. The raise is sized specifically to bridge this gap with confidence. Cash-flow breakeven is not targeted within the seed-funded period — seed capital builds product and proves market fit; Series A (targeted Month 30–36) scales the revenue engine to profitability, with full breakeven at Month 48–54 post-Series A.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D1F3C"/>
          <w:sz w:val="36"/>
          <w:szCs w:val="36"/>
        </w:rPr>
        <w:t xml:space="preserve">Glossary</w:t>
      </w:r>
    </w:p>
    <w:p>
      <w:pPr>
        <w:pBdr>
          <w:bottom w:val="single" w:color="1A7FAD" w:sz="4" w:space="1"/>
        </w:pBdr>
        <w:spacing w:after="0"/>
      </w:pP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ACV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Annual Contract Value — total revenue value of a customer contract over one year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ARR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Annual Recurring Revenue — normalised annual value of subscription revenue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CAC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Customer Acquisition Cost — total cost of acquiring a single paying customer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CSM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Customer Success Manager — dedicated enterprise account manager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LTV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Lifetime Value — total revenue expected from a customer over the entire relationship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NCA ECC-2:2024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Essential Cybersecurity Controls 2024 — NCA's updated core regulatory framework for Saudi organisations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Pilot Conversion Risk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Enterprise software failure mode: pilot succeeds technically but stalls in procurement, never converting to a paid contract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Pre-Negotiated Convert Clause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Contractual provision in Arcvara pilot agreements: if defined technical milestones are met, the pilot automatically converts to a multi-year Enterprise Tier subscription without a second procurement cycle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R&amp;D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Research and Development — systematic activities to develop new integrations and capabilities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SAMA CSF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SAMA Cyber Security Framework — mandatory cybersecurity framework for Saudi financial institutions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SAR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Saudi Arabian Riyal — currency of the Kingdom of Saudi Arabia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SAM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Serviceable Addressable Market — portion of the TAM that Arcvara can realistically serve globally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SI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System Integrator — company building and implementing IT solutions for enterprise clients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SLA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Service Level Agreement — contract defining expected service quality and uptime commitments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SOM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Serviceable Obtainable Market — realistic portion of the SAM capturable within a given timeframe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TAM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Total Addressable Market — total global demand for a product or service</w:t>
            </w:r>
          </w:p>
        </w:tc>
      </w:tr>
    </w:tbl>
    <w:p>
      <w:pPr>
        <w:spacing w:after="0" w:before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7FAD" w:sz="4" w:space="1"/>
      </w:pBdr>
      <w:spacing w:after="0" w:before="80"/>
    </w:pPr>
    <w:r>
      <w:rPr>
        <w:rFonts w:ascii="Arial" w:cs="Arial" w:eastAsia="Arial" w:hAnsi="Arial"/>
        <w:color w:val="555555"/>
        <w:sz w:val="16"/>
        <w:szCs w:val="16"/>
      </w:rPr>
      <w:t xml:space="preserve">© 2026 Arcvara  |  jawad.a.almarhoon@gmail.com  |  ibraheem.marhoon@gmail.com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7FAD" w:sz="4" w:space="1"/>
      </w:pBdr>
      <w:spacing w:after="100" w:before="0"/>
    </w:pPr>
    <w:r>
      <w:rPr>
        <w:rFonts w:ascii="Arial" w:cs="Arial" w:eastAsia="Arial" w:hAnsi="Arial"/>
        <w:b/>
        <w:bCs/>
        <w:color w:val="0D1F3C"/>
        <w:sz w:val="18"/>
        <w:szCs w:val="18"/>
      </w:rPr>
      <w:t xml:space="preserve">ARCVARA  </w:t>
    </w:r>
    <w:r>
      <w:rPr>
        <w:rFonts w:ascii="Arial" w:cs="Arial" w:eastAsia="Arial" w:hAnsi="Arial"/>
        <w:color w:val="555555"/>
        <w:sz w:val="18"/>
        <w:szCs w:val="18"/>
      </w:rPr>
      <w:t xml:space="preserve">Business Model &amp; Financial Projections</w:t>
    </w:r>
    <w:r>
      <w:rPr>
        <w:rFonts w:ascii="Arial" w:cs="Arial" w:eastAsia="Arial" w:hAnsi="Arial"/>
        <w:i/>
        <w:iCs/>
        <w:color w:val="555555"/>
        <w:sz w:val="18"/>
        <w:szCs w:val="18"/>
      </w:rPr>
      <w:t xml:space="preserve">  |  Strictly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0D1F3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A7FA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2026-06-10T15:17:23.212Z</dcterms:created>
  <dcterms:modified xsi:type="dcterms:W3CDTF">2026-06-10T15:17:23.212Z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