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40" w:before="0"/>
        <w:jc w:val="center"/>
      </w:pPr>
      <w:r>
        <w:rPr>
          <w:rFonts w:ascii="Arial" w:cs="Arial" w:eastAsia="Arial" w:hAnsi="Arial"/>
          <w:b/>
          <w:bCs/>
          <w:color w:val="0D1F3C"/>
          <w:spacing w:val="100"/>
          <w:sz w:val="72"/>
          <w:szCs w:val="72"/>
        </w:rPr>
        <w:t xml:space="preserve">ARCVARA</w:t>
      </w:r>
    </w:p>
    <w:p>
      <w:pPr>
        <w:spacing w:after="60" w:before="0"/>
        <w:jc w:val="center"/>
      </w:pPr>
      <w:r>
        <w:rPr>
          <w:rFonts w:ascii="Arial" w:cs="Arial" w:eastAsia="Arial" w:hAnsi="Arial"/>
          <w:i/>
          <w:iCs/>
          <w:color w:val="1A7FAD"/>
          <w:sz w:val="28"/>
          <w:szCs w:val="28"/>
        </w:rPr>
        <w:t xml:space="preserve">Product &amp; Technical Reference</w:t>
      </w:r>
    </w:p>
    <w:p>
      <w:pPr>
        <w:pBdr>
          <w:bottom w:val="single" w:color="1A7FAD" w:sz="4" w:space="1"/>
        </w:pBdr>
        <w:spacing w:after="0"/>
      </w:pPr>
    </w:p>
    <w:p>
      <w:pPr>
        <w:spacing w:after="0" w:before="40"/>
      </w:pPr>
    </w:p>
    <w:p>
      <w:pPr>
        <w:spacing w:after="100" w:before="80"/>
      </w:pPr>
      <w:r>
        <w:rPr>
          <w:rFonts w:ascii="Arial" w:cs="Arial" w:eastAsia="Arial" w:hAnsi="Arial"/>
          <w:b w:val="false"/>
          <w:bCs w:val="false"/>
          <w:i/>
          <w:iCs/>
          <w:color w:val="555555"/>
          <w:sz w:val="22"/>
          <w:szCs w:val="22"/>
        </w:rPr>
        <w:t xml:space="preserve">This document contains the detailed product architecture, module specifications, integration ecosystem, AI layer design, regulatory intelligence framework, and R&amp;D pipeline for Arcvara. It is intended for technical due diligence, engineering team briefings, and detailed product planning — and is maintained separately from the investor-facing business proposal.</w:t>
      </w:r>
    </w:p>
    <w:p>
      <w:pPr>
        <w:spacing w:after="0" w:before="40"/>
      </w:pPr>
    </w:p>
    <w:p>
      <w:pPr>
        <w:spacing w:after="0" w:before="40"/>
        <w:jc w:val="center"/>
      </w:pPr>
      <w:r>
        <w:rPr>
          <w:rFonts w:ascii="Arial" w:cs="Arial" w:eastAsia="Arial" w:hAnsi="Arial"/>
          <w:i/>
          <w:iCs/>
          <w:color w:val="555555"/>
          <w:sz w:val="18"/>
          <w:szCs w:val="18"/>
        </w:rPr>
        <w:t xml:space="preserve">June 2026  |  Strictly Confidential</w:t>
      </w:r>
    </w:p>
    <w:p>
      <w:r>
        <w:br w:type="page"/>
      </w:r>
    </w:p>
    <w:p>
      <w:pPr>
        <w:pStyle w:val="Heading1"/>
        <w:spacing w:after="120" w:before="400"/>
      </w:pPr>
      <w:r>
        <w:rPr>
          <w:rFonts w:ascii="Arial" w:cs="Arial" w:eastAsia="Arial" w:hAnsi="Arial"/>
          <w:b/>
          <w:bCs/>
          <w:color w:val="0D1F3C"/>
          <w:sz w:val="36"/>
          <w:szCs w:val="36"/>
        </w:rPr>
        <w:t xml:space="preserve">1. Platform Architecture</w:t>
      </w:r>
    </w:p>
    <w:p>
      <w:pPr>
        <w:pBdr>
          <w:bottom w:val="single" w:color="1A7FAD" w:sz="4" w:space="1"/>
        </w:pBdr>
        <w:spacing w:after="0"/>
      </w:pPr>
    </w:p>
    <w:p>
      <w:pPr>
        <w:spacing w:after="0" w:before="80"/>
      </w:pPr>
    </w:p>
    <w:p>
      <w:pPr>
        <w:pStyle w:val="Heading2"/>
        <w:spacing w:after="100" w:before="280"/>
      </w:pPr>
      <w:r>
        <w:rPr>
          <w:rFonts w:ascii="Arial" w:cs="Arial" w:eastAsia="Arial" w:hAnsi="Arial"/>
          <w:b/>
          <w:bCs/>
          <w:color w:val="1A7FAD"/>
          <w:sz w:val="26"/>
          <w:szCs w:val="26"/>
        </w:rPr>
        <w:t xml:space="preserve">1.1  Unified Graph Schema</w:t>
      </w:r>
    </w:p>
    <w:p>
      <w:pPr>
        <w:spacing w:after="100" w:before="80"/>
      </w:pPr>
      <w:r>
        <w:rPr>
          <w:rFonts w:ascii="Arial" w:cs="Arial" w:eastAsia="Arial" w:hAnsi="Arial"/>
          <w:b w:val="false"/>
          <w:bCs w:val="false"/>
          <w:i w:val="false"/>
          <w:iCs w:val="false"/>
          <w:color w:val="1A1A2E"/>
          <w:sz w:val="22"/>
          <w:szCs w:val="22"/>
        </w:rPr>
        <w:t xml:space="preserve">At the core of Arcvara's integration architecture is a proprietary Unified Graph Schema. Whether ingesting infrastructure metadata from AWS, OCI, Azure, an on-premises network scanner, a SIEM platform, or an ITSM tool, all data is normalised by Arcvara's ingestion connectors into a standard set of graph primitives: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Primitive</w:t>
            </w:r>
          </w:p>
        </w:tc>
        <w:tc>
          <w:tcPr>
            <w:tcW w:type="dxa" w:w="388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388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Node</w:t>
            </w:r>
          </w:p>
        </w:tc>
        <w:tc>
          <w:tcPr>
            <w:tcW w:type="dxa" w:w="38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 discrete entity within the architecture graph</w:t>
            </w:r>
          </w:p>
        </w:tc>
        <w:tc>
          <w:tcPr>
            <w:tcW w:type="dxa" w:w="38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Server, K8s Pod, API endpoint, firewall, VPC, business 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Edge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 directed relationship between two nodes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API call, network route, dependency, data flow, policy rule</w:t>
            </w:r>
          </w:p>
        </w:tc>
      </w:tr>
      <w:tr>
        <w:tc>
          <w:tcPr>
            <w:tcW w:type="dxa" w:w="16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Interface</w:t>
            </w:r>
          </w:p>
        </w:tc>
        <w:tc>
          <w:tcPr>
            <w:tcW w:type="dxa" w:w="38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 boundary point where systems interact</w:t>
            </w:r>
          </w:p>
        </w:tc>
        <w:tc>
          <w:tcPr>
            <w:tcW w:type="dxa" w:w="38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API gateway, firewall rule, IAM policy, network 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Asset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 tracked, governed resource with lifecycle state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Server instance, certificate, cloud resource, license</w:t>
            </w:r>
          </w:p>
        </w:tc>
      </w:tr>
    </w:tbl>
    <w:p>
      <w:pPr>
        <w:spacing w:after="0" w:before="60"/>
      </w:pPr>
    </w:p>
    <w:p>
      <w:pPr>
        <w:spacing w:after="100" w:before="80"/>
      </w:pPr>
      <w:r>
        <w:rPr>
          <w:rFonts w:ascii="Arial" w:cs="Arial" w:eastAsia="Arial" w:hAnsi="Arial"/>
          <w:b w:val="false"/>
          <w:bCs w:val="false"/>
          <w:i w:val="false"/>
          <w:iCs w:val="false"/>
          <w:color w:val="1A1A2E"/>
          <w:sz w:val="22"/>
          <w:szCs w:val="22"/>
        </w:rPr>
        <w:t xml:space="preserve">This abstraction layer isolates all platform modules from upstream API schema changes by cloud providers or tool vendors. A change to the AWS Metadata API does not break the visualisation engine or the compliance module — only the connector normalisation layer requires updating. It also enables cross-source correlation: a Kubernetes pod discovered via the GCP API and a firewall rule discovered via Palo Alto can be linked in the same graph because they share a common schema.</w:t>
      </w:r>
    </w:p>
    <w:p>
      <w:pPr>
        <w:spacing w:after="0" w:before="80"/>
      </w:pPr>
    </w:p>
    <w:p>
      <w:pPr>
        <w:pStyle w:val="Heading2"/>
        <w:spacing w:after="100" w:before="280"/>
      </w:pPr>
      <w:r>
        <w:rPr>
          <w:rFonts w:ascii="Arial" w:cs="Arial" w:eastAsia="Arial" w:hAnsi="Arial"/>
          <w:b/>
          <w:bCs/>
          <w:color w:val="1A7FAD"/>
          <w:sz w:val="26"/>
          <w:szCs w:val="26"/>
        </w:rPr>
        <w:t xml:space="preserve">1.2  2.5D Visual Canvas Engine</w:t>
      </w:r>
    </w:p>
    <w:p>
      <w:pPr>
        <w:spacing w:after="100" w:before="80"/>
      </w:pPr>
      <w:r>
        <w:rPr>
          <w:rFonts w:ascii="Arial" w:cs="Arial" w:eastAsia="Arial" w:hAnsi="Arial"/>
          <w:b w:val="false"/>
          <w:bCs w:val="false"/>
          <w:i w:val="false"/>
          <w:iCs w:val="false"/>
          <w:color w:val="1A1A2E"/>
          <w:sz w:val="22"/>
          <w:szCs w:val="22"/>
        </w:rPr>
        <w:t xml:space="preserve">Arcvara's workspace is built around a proprietary 2.5D isometric canvas — visually rich, spatially intuitive, and lightweight in terms of system requirements. The rendering engine is built on WebGL using an optimised graphics pipeline (PixiJS or equivalent custom shader layer) which enables hardware-accelerated rendering of thousands of live infrastructure nodes without browser lag.</w:t>
      </w:r>
    </w:p>
    <w:p>
      <w:pPr>
        <w:spacing w:after="0" w:before="60"/>
      </w:pPr>
    </w:p>
    <w:p>
      <w:pPr>
        <w:spacing w:after="100" w:before="80"/>
      </w:pPr>
      <w:r>
        <w:rPr>
          <w:rFonts w:ascii="Arial" w:cs="Arial" w:eastAsia="Arial" w:hAnsi="Arial"/>
          <w:b w:val="false"/>
          <w:bCs w:val="false"/>
          <w:i w:val="false"/>
          <w:iCs w:val="false"/>
          <w:color w:val="1A1A2E"/>
          <w:sz w:val="22"/>
          <w:szCs w:val="22"/>
        </w:rPr>
        <w:t xml:space="preserve">Arcvara uses viewport culling and spatial chunking: only objects within the user's current zoom level and viewport are actively computed and rendered. At a global company-wide zoom, micro-details are collapsed into summary group nodes. At a granular zoom, individual servers, pods, and ports are rendered in full detail. This architecture guarantees a fluid, consistent 60 FPS experience on standard enterprise laptops, regardless of environment scale.</w:t>
      </w:r>
    </w:p>
    <w:p>
      <w:pPr>
        <w:spacing w:after="0" w:before="60"/>
      </w:pPr>
    </w:p>
    <w:p>
      <w:pPr>
        <w:pStyle w:val="ListParagraph"/>
        <w:numPr>
          <w:ilvl w:val="0"/>
          <w:numId w:val="2"/>
        </w:numPr>
        <w:spacing w:after="60" w:before="60"/>
      </w:pPr>
      <w:r>
        <w:rPr>
          <w:rFonts w:ascii="Arial" w:cs="Arial" w:eastAsia="Arial" w:hAnsi="Arial"/>
          <w:color w:val="1A1A2E"/>
          <w:sz w:val="22"/>
          <w:szCs w:val="22"/>
        </w:rPr>
        <w:t xml:space="preserve">Users can zoom from a company-wide view down to a single server's open ports in one continuous canvas.</w:t>
      </w:r>
    </w:p>
    <w:p>
      <w:pPr>
        <w:pStyle w:val="ListParagraph"/>
        <w:numPr>
          <w:ilvl w:val="0"/>
          <w:numId w:val="2"/>
        </w:numPr>
        <w:spacing w:after="60" w:before="60"/>
      </w:pPr>
      <w:r>
        <w:rPr>
          <w:rFonts w:ascii="Arial" w:cs="Arial" w:eastAsia="Arial" w:hAnsi="Arial"/>
          <w:color w:val="1A1A2E"/>
          <w:sz w:val="22"/>
          <w:szCs w:val="22"/>
        </w:rPr>
        <w:t xml:space="preserve">Architecture layers (business, solution, infrastructure, network) are toggleable — show only what is relevant to the current task.</w:t>
      </w:r>
    </w:p>
    <w:p>
      <w:pPr>
        <w:pStyle w:val="ListParagraph"/>
        <w:numPr>
          <w:ilvl w:val="0"/>
          <w:numId w:val="2"/>
        </w:numPr>
        <w:spacing w:after="60" w:before="60"/>
      </w:pPr>
      <w:r>
        <w:rPr>
          <w:rFonts w:ascii="Arial" w:cs="Arial" w:eastAsia="Arial" w:hAnsi="Arial"/>
          <w:color w:val="1A1A2E"/>
          <w:sz w:val="22"/>
          <w:szCs w:val="22"/>
        </w:rPr>
        <w:t xml:space="preserve">Standard icons from all major cloud providers (AWS, GCP, Azure, OCI, OpenShift) and architecture frameworks (TOGAF, C4) are built in.</w:t>
      </w:r>
    </w:p>
    <w:p>
      <w:pPr>
        <w:pStyle w:val="ListParagraph"/>
        <w:numPr>
          <w:ilvl w:val="0"/>
          <w:numId w:val="2"/>
        </w:numPr>
        <w:spacing w:after="60" w:before="60"/>
      </w:pPr>
      <w:r>
        <w:rPr>
          <w:rFonts w:ascii="Arial" w:cs="Arial" w:eastAsia="Arial" w:hAnsi="Arial"/>
          <w:color w:val="1A1A2E"/>
          <w:sz w:val="22"/>
          <w:szCs w:val="22"/>
        </w:rPr>
        <w:t xml:space="preserve">Connections between components are drawn automatically from integration data — not manually.</w:t>
      </w:r>
    </w:p>
    <w:p>
      <w:pPr>
        <w:pStyle w:val="ListParagraph"/>
        <w:numPr>
          <w:ilvl w:val="0"/>
          <w:numId w:val="2"/>
        </w:numPr>
        <w:spacing w:after="60" w:before="60"/>
      </w:pPr>
      <w:r>
        <w:rPr>
          <w:rFonts w:ascii="Arial" w:cs="Arial" w:eastAsia="Arial" w:hAnsi="Arial"/>
          <w:color w:val="1A1A2E"/>
          <w:sz w:val="22"/>
          <w:szCs w:val="22"/>
        </w:rPr>
        <w:t xml:space="preserve">The canvas supports manual drawing for design work alongside live-data visualisation for operational awareness.</w:t>
      </w:r>
    </w:p>
    <w:p>
      <w:pPr>
        <w:spacing w:after="0" w:before="80"/>
      </w:pPr>
    </w:p>
    <w:p>
      <w:pPr>
        <w:pStyle w:val="Heading2"/>
        <w:spacing w:after="100" w:before="280"/>
      </w:pPr>
      <w:r>
        <w:rPr>
          <w:rFonts w:ascii="Arial" w:cs="Arial" w:eastAsia="Arial" w:hAnsi="Arial"/>
          <w:b/>
          <w:bCs/>
          <w:color w:val="1A7FAD"/>
          <w:sz w:val="26"/>
          <w:szCs w:val="26"/>
        </w:rPr>
        <w:t xml:space="preserve">1.3  Discovery Agent Architecture</w:t>
      </w:r>
    </w:p>
    <w:p>
      <w:pPr>
        <w:spacing w:after="100" w:before="80"/>
      </w:pPr>
      <w:r>
        <w:rPr>
          <w:rFonts w:ascii="Arial" w:cs="Arial" w:eastAsia="Arial" w:hAnsi="Arial"/>
          <w:b w:val="false"/>
          <w:bCs w:val="false"/>
          <w:i w:val="false"/>
          <w:iCs w:val="false"/>
          <w:color w:val="1A1A2E"/>
          <w:sz w:val="22"/>
          <w:szCs w:val="22"/>
        </w:rPr>
        <w:t xml:space="preserve">Arcvara's discovery agents are the foundation of the platform's data sovereignty model. They are lightweight, containerised processes — packaged as Docker images or Helm charts — deployed inside the customer environment with read-only IAM permissions. Sensitive infrastructure metadata never leaves the customer boundary unless explicitly configured.</w:t>
      </w:r>
    </w:p>
    <w:p>
      <w:pPr>
        <w:spacing w:after="0" w:before="60"/>
      </w:pPr>
    </w:p>
    <w:p>
      <w:pPr>
        <w:pStyle w:val="ListParagraph"/>
        <w:numPr>
          <w:ilvl w:val="0"/>
          <w:numId w:val="2"/>
        </w:numPr>
        <w:spacing w:after="60" w:before="60"/>
      </w:pPr>
      <w:r>
        <w:rPr>
          <w:rFonts w:ascii="Arial" w:cs="Arial" w:eastAsia="Arial" w:hAnsi="Arial"/>
          <w:color w:val="1A1A2E"/>
          <w:sz w:val="22"/>
          <w:szCs w:val="22"/>
        </w:rPr>
        <w:t xml:space="preserve">Agent delivery: containerised binary (Go or Rust runtime for minimal footprint), deployable as a Helm chart into a Kubernetes cluster or a standalone container in a DMZ.</w:t>
      </w:r>
    </w:p>
    <w:p>
      <w:pPr>
        <w:pStyle w:val="ListParagraph"/>
        <w:numPr>
          <w:ilvl w:val="0"/>
          <w:numId w:val="2"/>
        </w:numPr>
        <w:spacing w:after="60" w:before="60"/>
      </w:pPr>
      <w:r>
        <w:rPr>
          <w:rFonts w:ascii="Arial" w:cs="Arial" w:eastAsia="Arial" w:hAnsi="Arial"/>
          <w:color w:val="1A1A2E"/>
          <w:sz w:val="22"/>
          <w:szCs w:val="22"/>
        </w:rPr>
        <w:t xml:space="preserve">Permissions: read-only IAM roles scoped to metadata discovery — no write access to any customer system.</w:t>
      </w:r>
    </w:p>
    <w:p>
      <w:pPr>
        <w:pStyle w:val="ListParagraph"/>
        <w:numPr>
          <w:ilvl w:val="0"/>
          <w:numId w:val="2"/>
        </w:numPr>
        <w:spacing w:after="60" w:before="60"/>
      </w:pPr>
      <w:r>
        <w:rPr>
          <w:rFonts w:ascii="Arial" w:cs="Arial" w:eastAsia="Arial" w:hAnsi="Arial"/>
          <w:color w:val="1A1A2E"/>
          <w:sz w:val="22"/>
          <w:szCs w:val="22"/>
        </w:rPr>
        <w:t xml:space="preserve">Data transmission: structured metadata only (graph primitives), optionally air-gapped with local-only storage for fully sovereign deployments.</w:t>
      </w:r>
    </w:p>
    <w:p>
      <w:pPr>
        <w:pStyle w:val="ListParagraph"/>
        <w:numPr>
          <w:ilvl w:val="0"/>
          <w:numId w:val="2"/>
        </w:numPr>
        <w:spacing w:after="60" w:before="60"/>
      </w:pPr>
      <w:r>
        <w:rPr>
          <w:rFonts w:ascii="Arial" w:cs="Arial" w:eastAsia="Arial" w:hAnsi="Arial"/>
          <w:color w:val="1A1A2E"/>
          <w:sz w:val="22"/>
          <w:szCs w:val="22"/>
        </w:rPr>
        <w:t xml:space="preserve">Update model: agents are independently versioned and updated via the Arcvara management plane or manually by the customer's operations team.</w:t>
      </w:r>
    </w:p>
    <w:p>
      <w:r>
        <w:br w:type="page"/>
      </w:r>
    </w:p>
    <w:p>
      <w:pPr>
        <w:pStyle w:val="Heading1"/>
        <w:spacing w:after="120" w:before="400"/>
      </w:pPr>
      <w:r>
        <w:rPr>
          <w:rFonts w:ascii="Arial" w:cs="Arial" w:eastAsia="Arial" w:hAnsi="Arial"/>
          <w:b/>
          <w:bCs/>
          <w:color w:val="0D1F3C"/>
          <w:sz w:val="36"/>
          <w:szCs w:val="36"/>
        </w:rPr>
        <w:t xml:space="preserve">2. Module Specifications</w:t>
      </w:r>
    </w:p>
    <w:p>
      <w:pPr>
        <w:pBdr>
          <w:bottom w:val="single" w:color="1A7FAD" w:sz="4" w:space="1"/>
        </w:pBdr>
        <w:spacing w:after="0"/>
      </w:pPr>
    </w:p>
    <w:p>
      <w:pPr>
        <w:spacing w:after="0" w:before="80"/>
      </w:pPr>
    </w:p>
    <w:p>
      <w:pPr>
        <w:pStyle w:val="Heading2"/>
        <w:spacing w:after="100" w:before="280"/>
      </w:pPr>
      <w:r>
        <w:rPr>
          <w:rFonts w:ascii="Arial" w:cs="Arial" w:eastAsia="Arial" w:hAnsi="Arial"/>
          <w:b/>
          <w:bCs/>
          <w:color w:val="1A7FAD"/>
          <w:sz w:val="26"/>
          <w:szCs w:val="26"/>
        </w:rPr>
        <w:t xml:space="preserve">2.1  Solution Architecture — Interactive Diagramming Canvas</w:t>
      </w:r>
    </w:p>
    <w:p>
      <w:pPr>
        <w:spacing w:after="100" w:before="80"/>
      </w:pPr>
      <w:r>
        <w:rPr>
          <w:rFonts w:ascii="Arial" w:cs="Arial" w:eastAsia="Arial" w:hAnsi="Arial"/>
          <w:b w:val="false"/>
          <w:bCs w:val="false"/>
          <w:i w:val="false"/>
          <w:iCs w:val="false"/>
          <w:color w:val="1A1A2E"/>
          <w:sz w:val="22"/>
          <w:szCs w:val="22"/>
        </w:rPr>
        <w:t xml:space="preserve">Arcvara's Solution Architecture module is a full-featured interactive diagramming environment built on the same 2.5D canvas engine. It is designed to complement or replace tools like draw.io, Lucidchart, and Visio with a live, connected, intelligence-enriched experience.</w:t>
      </w:r>
    </w:p>
    <w:p>
      <w:pPr>
        <w:spacing w:after="0" w:before="40"/>
      </w:pPr>
    </w:p>
    <w:p>
      <w:pPr>
        <w:spacing w:after="100" w:before="80"/>
      </w:pPr>
      <w:r>
        <w:rPr>
          <w:rFonts w:ascii="Arial" w:cs="Arial" w:eastAsia="Arial" w:hAnsi="Arial"/>
          <w:b w:val="false"/>
          <w:bCs w:val="false"/>
          <w:i w:val="false"/>
          <w:iCs w:val="false"/>
          <w:color w:val="1A1A2E"/>
          <w:sz w:val="22"/>
          <w:szCs w:val="22"/>
        </w:rPr>
        <w:t xml:space="preserve">Supported diagram types:</w:t>
      </w:r>
    </w:p>
    <w:p>
      <w:pPr>
        <w:pStyle w:val="ListParagraph"/>
        <w:numPr>
          <w:ilvl w:val="0"/>
          <w:numId w:val="2"/>
        </w:numPr>
        <w:spacing w:after="60" w:before="60"/>
      </w:pPr>
      <w:r>
        <w:rPr>
          <w:rFonts w:ascii="Arial" w:cs="Arial" w:eastAsia="Arial" w:hAnsi="Arial"/>
          <w:color w:val="1A1A2E"/>
          <w:sz w:val="22"/>
          <w:szCs w:val="22"/>
        </w:rPr>
        <w:t xml:space="preserve">Sequence Diagrams — interaction flows between systems, services, and actors with automatic swim-lane layout, numbered steps, and live linkage to deployed services.</w:t>
      </w:r>
    </w:p>
    <w:p>
      <w:pPr>
        <w:pStyle w:val="ListParagraph"/>
        <w:numPr>
          <w:ilvl w:val="0"/>
          <w:numId w:val="2"/>
        </w:numPr>
        <w:spacing w:after="60" w:before="60"/>
      </w:pPr>
      <w:r>
        <w:rPr>
          <w:rFonts w:ascii="Arial" w:cs="Arial" w:eastAsia="Arial" w:hAnsi="Arial"/>
          <w:color w:val="1A1A2E"/>
          <w:sz w:val="22"/>
          <w:szCs w:val="22"/>
        </w:rPr>
        <w:t xml:space="preserve">Flow Diagrams — business process flows, data flows, and system integration flows with conditional logic, decision nodes, and event triggers.</w:t>
      </w:r>
    </w:p>
    <w:p>
      <w:pPr>
        <w:pStyle w:val="ListParagraph"/>
        <w:numPr>
          <w:ilvl w:val="0"/>
          <w:numId w:val="2"/>
        </w:numPr>
        <w:spacing w:after="60" w:before="60"/>
      </w:pPr>
      <w:r>
        <w:rPr>
          <w:rFonts w:ascii="Arial" w:cs="Arial" w:eastAsia="Arial" w:hAnsi="Arial"/>
          <w:color w:val="1A1A2E"/>
          <w:sz w:val="22"/>
          <w:szCs w:val="22"/>
        </w:rPr>
        <w:t xml:space="preserve">Architecture Diagrams — HLD and LLD canvases using standard cloud provider icons and TOGAF/C4 notation in the 2.5D isometric visual style.</w:t>
      </w:r>
    </w:p>
    <w:p>
      <w:pPr>
        <w:pStyle w:val="ListParagraph"/>
        <w:numPr>
          <w:ilvl w:val="0"/>
          <w:numId w:val="2"/>
        </w:numPr>
        <w:spacing w:after="60" w:before="60"/>
      </w:pPr>
      <w:r>
        <w:rPr>
          <w:rFonts w:ascii="Arial" w:cs="Arial" w:eastAsia="Arial" w:hAnsi="Arial"/>
          <w:color w:val="1A1A2E"/>
          <w:sz w:val="22"/>
          <w:szCs w:val="22"/>
        </w:rPr>
        <w:t xml:space="preserve">Entity Relationship Diagrams (ERDs) — database schema and data model visualisation, importable from connected database systems.</w:t>
      </w:r>
    </w:p>
    <w:p>
      <w:pPr>
        <w:pStyle w:val="ListParagraph"/>
        <w:numPr>
          <w:ilvl w:val="0"/>
          <w:numId w:val="2"/>
        </w:numPr>
        <w:spacing w:after="60" w:before="60"/>
      </w:pPr>
      <w:r>
        <w:rPr>
          <w:rFonts w:ascii="Arial" w:cs="Arial" w:eastAsia="Arial" w:hAnsi="Arial"/>
          <w:color w:val="1A1A2E"/>
          <w:sz w:val="22"/>
          <w:szCs w:val="22"/>
        </w:rPr>
        <w:t xml:space="preserve">Use Case Diagrams — actor-system interaction mapping for functional architecture documentation.</w:t>
      </w:r>
    </w:p>
    <w:p>
      <w:pPr>
        <w:pStyle w:val="ListParagraph"/>
        <w:numPr>
          <w:ilvl w:val="0"/>
          <w:numId w:val="2"/>
        </w:numPr>
        <w:spacing w:after="60" w:before="60"/>
      </w:pPr>
      <w:r>
        <w:rPr>
          <w:rFonts w:ascii="Arial" w:cs="Arial" w:eastAsia="Arial" w:hAnsi="Arial"/>
          <w:color w:val="1A1A2E"/>
          <w:sz w:val="22"/>
          <w:szCs w:val="22"/>
        </w:rPr>
        <w:t xml:space="preserve">Deployment Diagrams — map solution components across environments, cloud regions, on-prem zones, and Kubernetes namespaces.</w:t>
      </w:r>
    </w:p>
    <w:p>
      <w:pPr>
        <w:pStyle w:val="ListParagraph"/>
        <w:numPr>
          <w:ilvl w:val="0"/>
          <w:numId w:val="2"/>
        </w:numPr>
        <w:spacing w:after="60" w:before="60"/>
      </w:pPr>
      <w:r>
        <w:rPr>
          <w:rFonts w:ascii="Arial" w:cs="Arial" w:eastAsia="Arial" w:hAnsi="Arial"/>
          <w:color w:val="1A1A2E"/>
          <w:sz w:val="22"/>
          <w:szCs w:val="22"/>
        </w:rPr>
        <w:t xml:space="preserve">State Machine Diagrams — lifecycle flows for entities, orders, processes, and system states.</w:t>
      </w:r>
    </w:p>
    <w:p>
      <w:pPr>
        <w:spacing w:after="0" w:before="60"/>
      </w:pPr>
    </w:p>
    <w:p>
      <w:pPr>
        <w:spacing w:after="100" w:before="80"/>
      </w:pPr>
      <w:r>
        <w:rPr>
          <w:rFonts w:ascii="Arial" w:cs="Arial" w:eastAsia="Arial" w:hAnsi="Arial"/>
          <w:b w:val="false"/>
          <w:bCs w:val="false"/>
          <w:i w:val="false"/>
          <w:iCs w:val="false"/>
          <w:color w:val="1A1A2E"/>
          <w:sz w:val="22"/>
          <w:szCs w:val="22"/>
        </w:rPr>
        <w:t xml:space="preserve">Key differentiator: every component placed on a diagram can be linked to a real deployed resource. A server icon is the actual server — with its real IP, OS, open ports, and health status accessible one click away. A service box in a sequence diagram links to the real API endpoint, its live response time, and its actual network path. Design and reality are connected — always.</w:t>
      </w:r>
    </w:p>
    <w:p>
      <w:pPr>
        <w:spacing w:after="0" w:before="60"/>
      </w:pPr>
    </w:p>
    <w:p>
      <w:pPr>
        <w:pStyle w:val="ListParagraph"/>
        <w:numPr>
          <w:ilvl w:val="0"/>
          <w:numId w:val="2"/>
        </w:numPr>
        <w:spacing w:after="60" w:before="60"/>
      </w:pPr>
      <w:r>
        <w:rPr>
          <w:rFonts w:ascii="Arial" w:cs="Arial" w:eastAsia="Arial" w:hAnsi="Arial"/>
          <w:color w:val="1A1A2E"/>
          <w:sz w:val="22"/>
          <w:szCs w:val="22"/>
        </w:rPr>
        <w:t xml:space="preserve">Drag-and-drop canvas with smart connectors, auto-routing, and snap-to-grid.</w:t>
      </w:r>
    </w:p>
    <w:p>
      <w:pPr>
        <w:pStyle w:val="ListParagraph"/>
        <w:numPr>
          <w:ilvl w:val="0"/>
          <w:numId w:val="2"/>
        </w:numPr>
        <w:spacing w:after="60" w:before="60"/>
      </w:pPr>
      <w:r>
        <w:rPr>
          <w:rFonts w:ascii="Arial" w:cs="Arial" w:eastAsia="Arial" w:hAnsi="Arial"/>
          <w:color w:val="1A1A2E"/>
          <w:sz w:val="22"/>
          <w:szCs w:val="22"/>
        </w:rPr>
        <w:t xml:space="preserve">Full icon library: all major cloud providers, network devices, security components, databases, and custom shapes.</w:t>
      </w:r>
    </w:p>
    <w:p>
      <w:pPr>
        <w:pStyle w:val="ListParagraph"/>
        <w:numPr>
          <w:ilvl w:val="0"/>
          <w:numId w:val="2"/>
        </w:numPr>
        <w:spacing w:after="60" w:before="60"/>
      </w:pPr>
      <w:r>
        <w:rPr>
          <w:rFonts w:ascii="Arial" w:cs="Arial" w:eastAsia="Arial" w:hAnsi="Arial"/>
          <w:color w:val="1A1A2E"/>
          <w:sz w:val="22"/>
          <w:szCs w:val="22"/>
        </w:rPr>
        <w:t xml:space="preserve">Import existing draw.io, Visio, and Lucidchart files — enrich them with live data automatically.</w:t>
      </w:r>
    </w:p>
    <w:p>
      <w:pPr>
        <w:pStyle w:val="ListParagraph"/>
        <w:numPr>
          <w:ilvl w:val="0"/>
          <w:numId w:val="2"/>
        </w:numPr>
        <w:spacing w:after="60" w:before="60"/>
      </w:pPr>
      <w:r>
        <w:rPr>
          <w:rFonts w:ascii="Arial" w:cs="Arial" w:eastAsia="Arial" w:hAnsi="Arial"/>
          <w:color w:val="1A1A2E"/>
          <w:sz w:val="22"/>
          <w:szCs w:val="22"/>
        </w:rPr>
        <w:t xml:space="preserve">Export to PNG, SVG, PDF, and structured formats for documentation and governance reporting.</w:t>
      </w:r>
    </w:p>
    <w:p>
      <w:pPr>
        <w:pStyle w:val="ListParagraph"/>
        <w:numPr>
          <w:ilvl w:val="0"/>
          <w:numId w:val="2"/>
        </w:numPr>
        <w:spacing w:after="60" w:before="60"/>
      </w:pPr>
      <w:r>
        <w:rPr>
          <w:rFonts w:ascii="Arial" w:cs="Arial" w:eastAsia="Arial" w:hAnsi="Arial"/>
          <w:color w:val="1A1A2E"/>
          <w:sz w:val="22"/>
          <w:szCs w:val="22"/>
        </w:rPr>
        <w:t xml:space="preserve">Real-time collaborative editing — multiple architects working on the same canvas simultaneously.</w:t>
      </w:r>
    </w:p>
    <w:p>
      <w:pPr>
        <w:pStyle w:val="ListParagraph"/>
        <w:numPr>
          <w:ilvl w:val="0"/>
          <w:numId w:val="2"/>
        </w:numPr>
        <w:spacing w:after="60" w:before="60"/>
      </w:pPr>
      <w:r>
        <w:rPr>
          <w:rFonts w:ascii="Arial" w:cs="Arial" w:eastAsia="Arial" w:hAnsi="Arial"/>
          <w:color w:val="1A1A2E"/>
          <w:sz w:val="22"/>
          <w:szCs w:val="22"/>
        </w:rPr>
        <w:t xml:space="preserve">Version history — every canvas state is saved, comparable, and restorable.</w:t>
      </w:r>
    </w:p>
    <w:p>
      <w:pPr>
        <w:spacing w:after="0" w:before="80"/>
      </w:pPr>
    </w:p>
    <w:p>
      <w:pPr>
        <w:pStyle w:val="Heading2"/>
        <w:spacing w:after="100" w:before="280"/>
      </w:pPr>
      <w:r>
        <w:rPr>
          <w:rFonts w:ascii="Arial" w:cs="Arial" w:eastAsia="Arial" w:hAnsi="Arial"/>
          <w:b/>
          <w:bCs/>
          <w:color w:val="1A7FAD"/>
          <w:sz w:val="26"/>
          <w:szCs w:val="26"/>
        </w:rPr>
        <w:t xml:space="preserve">2.2  API Intelligence and Distributed Tracing</w:t>
      </w:r>
    </w:p>
    <w:p>
      <w:pPr>
        <w:spacing w:after="100" w:before="80"/>
      </w:pPr>
      <w:r>
        <w:rPr>
          <w:rFonts w:ascii="Arial" w:cs="Arial" w:eastAsia="Arial" w:hAnsi="Arial"/>
          <w:b w:val="false"/>
          <w:bCs w:val="false"/>
          <w:i w:val="false"/>
          <w:iCs w:val="false"/>
          <w:color w:val="1A1A2E"/>
          <w:sz w:val="22"/>
          <w:szCs w:val="22"/>
        </w:rPr>
        <w:t xml:space="preserve">Arcvara's API module goes far beyond traditional API testing tools. Because the platform already knows the full topology of the environment — which services run on which servers, in which environments, across which networks — it can trace a failing request across the full chain and identify exactly which system or hop caused the failure without triggering each system individually.</w:t>
      </w:r>
    </w:p>
    <w:p>
      <w:pPr>
        <w:spacing w:after="0" w:before="60"/>
      </w:pPr>
    </w:p>
    <w:p>
      <w:pPr>
        <w:pStyle w:val="ListParagraph"/>
        <w:numPr>
          <w:ilvl w:val="0"/>
          <w:numId w:val="2"/>
        </w:numPr>
        <w:spacing w:after="60" w:before="60"/>
      </w:pPr>
      <w:r>
        <w:rPr>
          <w:rFonts w:ascii="Arial" w:cs="Arial" w:eastAsia="Arial" w:hAnsi="Arial"/>
          <w:color w:val="1A1A2E"/>
          <w:sz w:val="22"/>
          <w:szCs w:val="22"/>
        </w:rPr>
        <w:t xml:space="preserve">Visualise the full internal and external API flow for any service — incoming and outgoing.</w:t>
      </w:r>
    </w:p>
    <w:p>
      <w:pPr>
        <w:pStyle w:val="ListParagraph"/>
        <w:numPr>
          <w:ilvl w:val="0"/>
          <w:numId w:val="2"/>
        </w:numPr>
        <w:spacing w:after="60" w:before="60"/>
      </w:pPr>
      <w:r>
        <w:rPr>
          <w:rFonts w:ascii="Arial" w:cs="Arial" w:eastAsia="Arial" w:hAnsi="Arial"/>
          <w:color w:val="1A1A2E"/>
          <w:sz w:val="22"/>
          <w:szCs w:val="22"/>
        </w:rPr>
        <w:t xml:space="preserve">Test API endpoints against their defined contracts and flag deviations automatically.</w:t>
      </w:r>
    </w:p>
    <w:p>
      <w:pPr>
        <w:pStyle w:val="ListParagraph"/>
        <w:numPr>
          <w:ilvl w:val="0"/>
          <w:numId w:val="2"/>
        </w:numPr>
        <w:spacing w:after="60" w:before="60"/>
      </w:pPr>
      <w:r>
        <w:rPr>
          <w:rFonts w:ascii="Arial" w:cs="Arial" w:eastAsia="Arial" w:hAnsi="Arial"/>
          <w:color w:val="1A1A2E"/>
          <w:sz w:val="22"/>
          <w:szCs w:val="22"/>
        </w:rPr>
        <w:t xml:space="preserve">When a call fails across a multi-system chain, Arcvara pinpoints the exact hop using topology awareness — no manual system-by-system debugging required.</w:t>
      </w:r>
    </w:p>
    <w:p>
      <w:pPr>
        <w:pStyle w:val="ListParagraph"/>
        <w:numPr>
          <w:ilvl w:val="0"/>
          <w:numId w:val="2"/>
        </w:numPr>
        <w:spacing w:after="60" w:before="60"/>
      </w:pPr>
      <w:r>
        <w:rPr>
          <w:rFonts w:ascii="Arial" w:cs="Arial" w:eastAsia="Arial" w:hAnsi="Arial"/>
          <w:color w:val="1A1A2E"/>
          <w:sz w:val="22"/>
          <w:szCs w:val="22"/>
        </w:rPr>
        <w:t xml:space="preserve">Map which external systems your APIs depend on, and which external parties depend on yours.</w:t>
      </w:r>
    </w:p>
    <w:p>
      <w:pPr>
        <w:pStyle w:val="ListParagraph"/>
        <w:numPr>
          <w:ilvl w:val="0"/>
          <w:numId w:val="2"/>
        </w:numPr>
        <w:spacing w:after="60" w:before="60"/>
      </w:pPr>
      <w:r>
        <w:rPr>
          <w:rFonts w:ascii="Arial" w:cs="Arial" w:eastAsia="Arial" w:hAnsi="Arial"/>
          <w:color w:val="1A1A2E"/>
          <w:sz w:val="22"/>
          <w:szCs w:val="22"/>
        </w:rPr>
        <w:t xml:space="preserve">Track API versioning, deprecation schedules, and schema drift across the environment.</w:t>
      </w:r>
    </w:p>
    <w:p>
      <w:pPr>
        <w:spacing w:after="0" w:before="80"/>
      </w:pPr>
    </w:p>
    <w:p>
      <w:pPr>
        <w:pStyle w:val="Heading2"/>
        <w:spacing w:after="100" w:before="280"/>
      </w:pPr>
      <w:r>
        <w:rPr>
          <w:rFonts w:ascii="Arial" w:cs="Arial" w:eastAsia="Arial" w:hAnsi="Arial"/>
          <w:b/>
          <w:bCs/>
          <w:color w:val="1A7FAD"/>
          <w:sz w:val="26"/>
          <w:szCs w:val="26"/>
        </w:rPr>
        <w:t xml:space="preserve">2.3  Security and Compliance Intelligence</w:t>
      </w:r>
    </w:p>
    <w:p>
      <w:pPr>
        <w:spacing w:after="100" w:before="80"/>
      </w:pPr>
      <w:r>
        <w:rPr>
          <w:rFonts w:ascii="Arial" w:cs="Arial" w:eastAsia="Arial" w:hAnsi="Arial"/>
          <w:b w:val="false"/>
          <w:bCs w:val="false"/>
          <w:i w:val="false"/>
          <w:iCs w:val="false"/>
          <w:color w:val="1A1A2E"/>
          <w:sz w:val="22"/>
          <w:szCs w:val="22"/>
        </w:rPr>
        <w:t xml:space="preserve">Arcvara's security module continuously analyses live infrastructure against architectural intent and compliance frameworks. When a framework is enabled, Arcvara runs an automatic gap analysis against what it already knows about the environment. No manual questionnaires. Gaps are surfaced from live data. Compliance evidence is generated automatically.</w:t>
      </w:r>
    </w:p>
    <w:p>
      <w:pPr>
        <w:spacing w:after="0" w:before="60"/>
      </w:pPr>
    </w:p>
    <w:p>
      <w:pPr>
        <w:spacing w:after="100" w:before="80"/>
      </w:pPr>
      <w:r>
        <w:rPr>
          <w:rFonts w:ascii="Arial" w:cs="Arial" w:eastAsia="Arial" w:hAnsi="Arial"/>
          <w:b w:val="false"/>
          <w:bCs w:val="false"/>
          <w:i w:val="false"/>
          <w:iCs w:val="false"/>
          <w:color w:val="1A1A2E"/>
          <w:sz w:val="22"/>
          <w:szCs w:val="22"/>
        </w:rPr>
        <w:t xml:space="preserve">Regulatory framework coverage:</w:t>
      </w:r>
    </w:p>
    <w:p>
      <w:pPr>
        <w:pStyle w:val="ListParagraph"/>
        <w:numPr>
          <w:ilvl w:val="0"/>
          <w:numId w:val="2"/>
        </w:numPr>
        <w:spacing w:after="60" w:before="60"/>
      </w:pPr>
      <w:r>
        <w:rPr>
          <w:rFonts w:ascii="Arial" w:cs="Arial" w:eastAsia="Arial" w:hAnsi="Arial"/>
          <w:color w:val="1A1A2E"/>
          <w:sz w:val="22"/>
          <w:szCs w:val="22"/>
        </w:rPr>
        <w:t xml:space="preserve">NCA ECC-2:2024 — Saudi Arabia (GCC government and critical infrastructure)'s Essential Cybersecurity Controls (updated 2024 framework)</w:t>
      </w:r>
    </w:p>
    <w:p>
      <w:pPr>
        <w:pStyle w:val="ListParagraph"/>
        <w:numPr>
          <w:ilvl w:val="0"/>
          <w:numId w:val="2"/>
        </w:numPr>
        <w:spacing w:after="60" w:before="60"/>
      </w:pPr>
      <w:r>
        <w:rPr>
          <w:rFonts w:ascii="Arial" w:cs="Arial" w:eastAsia="Arial" w:hAnsi="Arial"/>
          <w:color w:val="1A1A2E"/>
          <w:sz w:val="22"/>
          <w:szCs w:val="22"/>
        </w:rPr>
        <w:t xml:space="preserve">SAMA CSF — Saudi Arabian Monetary Authority Cyber Security Framework (GCC financial services)</w:t>
      </w:r>
    </w:p>
    <w:p>
      <w:pPr>
        <w:pStyle w:val="ListParagraph"/>
        <w:numPr>
          <w:ilvl w:val="0"/>
          <w:numId w:val="2"/>
        </w:numPr>
        <w:spacing w:after="60" w:before="60"/>
      </w:pPr>
      <w:r>
        <w:rPr>
          <w:rFonts w:ascii="Arial" w:cs="Arial" w:eastAsia="Arial" w:hAnsi="Arial"/>
          <w:color w:val="1A1A2E"/>
          <w:sz w:val="22"/>
          <w:szCs w:val="22"/>
        </w:rPr>
        <w:t xml:space="preserve">ISO/IEC 27001 — International information security management standard</w:t>
      </w:r>
    </w:p>
    <w:p>
      <w:pPr>
        <w:pStyle w:val="ListParagraph"/>
        <w:numPr>
          <w:ilvl w:val="0"/>
          <w:numId w:val="2"/>
        </w:numPr>
        <w:spacing w:after="60" w:before="60"/>
      </w:pPr>
      <w:r>
        <w:rPr>
          <w:rFonts w:ascii="Arial" w:cs="Arial" w:eastAsia="Arial" w:hAnsi="Arial"/>
          <w:color w:val="1A1A2E"/>
          <w:sz w:val="22"/>
          <w:szCs w:val="22"/>
        </w:rPr>
        <w:t xml:space="preserve">NIST Cybersecurity Framework — globally adopted standard of Standards and Technology</w:t>
      </w:r>
    </w:p>
    <w:p>
      <w:pPr>
        <w:pStyle w:val="ListParagraph"/>
        <w:numPr>
          <w:ilvl w:val="0"/>
          <w:numId w:val="2"/>
        </w:numPr>
        <w:spacing w:after="60" w:before="60"/>
      </w:pPr>
      <w:r>
        <w:rPr>
          <w:rFonts w:ascii="Arial" w:cs="Arial" w:eastAsia="Arial" w:hAnsi="Arial"/>
          <w:color w:val="1A1A2E"/>
          <w:sz w:val="22"/>
          <w:szCs w:val="22"/>
        </w:rPr>
        <w:t xml:space="preserve">GDPR — European Union General Data Protection Regulation (international markets)</w:t>
      </w:r>
    </w:p>
    <w:p>
      <w:pPr>
        <w:spacing w:after="0" w:before="80"/>
      </w:pPr>
    </w:p>
    <w:p>
      <w:pPr>
        <w:pStyle w:val="Heading2"/>
        <w:spacing w:after="100" w:before="280"/>
      </w:pPr>
      <w:r>
        <w:rPr>
          <w:rFonts w:ascii="Arial" w:cs="Arial" w:eastAsia="Arial" w:hAnsi="Arial"/>
          <w:b/>
          <w:bCs/>
          <w:color w:val="1A7FAD"/>
          <w:sz w:val="26"/>
          <w:szCs w:val="26"/>
        </w:rPr>
        <w:t xml:space="preserve">2.4  Regulatory Intelligence — NCA ECC-2:2024 and SAMA CSF</w:t>
      </w:r>
    </w:p>
    <w:p>
      <w:pPr>
        <w:spacing w:after="100" w:before="80"/>
      </w:pPr>
      <w:r>
        <w:rPr>
          <w:rFonts w:ascii="Arial" w:cs="Arial" w:eastAsia="Arial" w:hAnsi="Arial"/>
          <w:b w:val="false"/>
          <w:bCs w:val="false"/>
          <w:i w:val="false"/>
          <w:iCs w:val="false"/>
          <w:color w:val="1A1A2E"/>
          <w:sz w:val="22"/>
          <w:szCs w:val="22"/>
        </w:rPr>
        <w:t xml:space="preserve">Key differentiator for regulated enterprise buyers: Arcvara natively maps live infrastructure findings to specific sub-domains of Saudi Arabia's regulatory frameworks, eliminating the manual compliance assessment cycle that currently consumes weeks per audit.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Regulatory Sub-Domain</w:t>
            </w:r>
          </w:p>
        </w:tc>
        <w:tc>
          <w:tcPr>
            <w:tcW w:type="dxa" w:w="348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Manual Pain Point Today</w:t>
            </w:r>
          </w:p>
        </w:tc>
        <w:tc>
          <w:tcPr>
            <w:tcW w:type="dxa" w:w="348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Arcvara Automated Resolution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NCA ECC-2:2024 — 2-3-1
Network Security Management</w:t>
            </w:r>
          </w:p>
        </w:tc>
        <w:tc>
          <w:tcPr>
            <w:tcW w:type="dxa" w:w="34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Compliance officers manually review network configuration files to verify segmentation between production and staging environments.</w:t>
            </w:r>
          </w:p>
        </w:tc>
        <w:tc>
          <w:tcPr>
            <w:tcW w:type="dxa" w:w="34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Arcvara auto-discovers VPC configurations, subnets, and security groups — flagging any live routing or connection bridges that bypass defined segmentation boundaries.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NCA ECC-2:2024 — 2-3-2
Cloud Security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Teams struggle to track assets across complex hybrid and multi-cloud deployments spanning AWS, Azure, GCP, and OCI.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Arcvara reads cloud metadata continuously, flagging non-compliant or unregistered assets and ensuring live infrastructure mirrors approved architecture designs.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SAMA CSF — 3.2.3
Asset Management</w:t>
            </w:r>
          </w:p>
        </w:tc>
        <w:tc>
          <w:tcPr>
            <w:tcW w:type="dxa" w:w="34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Maintaining an accurate, updated CMDB across physical and virtual infrastructure layers is a persistent, manual effort.</w:t>
            </w:r>
          </w:p>
        </w:tc>
        <w:tc>
          <w:tcPr>
            <w:tcW w:type="dxa" w:w="348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Arcvara's auto-discovery engine continuously tracks software versions, operating systems, open ports, and hardware inventory — maintaining a live CMDB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NCA ECC-2:2024 — 2-5-1
Third-Party &amp; Supply Chain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Organisations have no automated visibility into which external systems or APIs they depend on and what access those systems hold.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Arcvara maps all external API dependencies and S2S integrations, surfaces third-party access paths, and flags connections outside approved architecture boundaries.</w:t>
            </w:r>
          </w:p>
        </w:tc>
      </w:tr>
    </w:tbl>
    <w:p>
      <w:r>
        <w:br w:type="page"/>
      </w:r>
    </w:p>
    <w:p>
      <w:pPr>
        <w:pStyle w:val="Heading1"/>
        <w:spacing w:after="120" w:before="400"/>
      </w:pPr>
      <w:r>
        <w:rPr>
          <w:rFonts w:ascii="Arial" w:cs="Arial" w:eastAsia="Arial" w:hAnsi="Arial"/>
          <w:b/>
          <w:bCs/>
          <w:color w:val="0D1F3C"/>
          <w:sz w:val="36"/>
          <w:szCs w:val="36"/>
        </w:rPr>
        <w:t xml:space="preserve">3. AI Architecture</w:t>
      </w:r>
    </w:p>
    <w:p>
      <w:pPr>
        <w:pBdr>
          <w:bottom w:val="single" w:color="1A7FAD" w:sz="4" w:space="1"/>
        </w:pBdr>
        <w:spacing w:after="0"/>
      </w:pPr>
    </w:p>
    <w:p>
      <w:pPr>
        <w:spacing w:after="0" w:before="80"/>
      </w:pPr>
    </w:p>
    <w:p>
      <w:pPr>
        <w:spacing w:after="100" w:before="80"/>
      </w:pPr>
      <w:r>
        <w:rPr>
          <w:rFonts w:ascii="Arial" w:cs="Arial" w:eastAsia="Arial" w:hAnsi="Arial"/>
          <w:b w:val="false"/>
          <w:bCs w:val="false"/>
          <w:i w:val="false"/>
          <w:iCs w:val="false"/>
          <w:color w:val="1A1A2E"/>
          <w:sz w:val="22"/>
          <w:szCs w:val="22"/>
        </w:rPr>
        <w:t xml:space="preserve">Led by Co-Founder Ibraheem Almarhoon (MSc AI, Data Scientist at Saudi Aramco), Arcvara's AI layer is not a standalone module — it is embedded across the full platform. The architecture is designed to evolve from rule-based intelligence at launch to fully learned, environment-specific prediction models as deployment data accumulates.</w:t>
      </w:r>
    </w:p>
    <w:p>
      <w:pPr>
        <w:spacing w:after="0" w:before="80"/>
      </w:pPr>
    </w:p>
    <w:p>
      <w:pPr>
        <w:pStyle w:val="Heading2"/>
        <w:spacing w:after="100" w:before="280"/>
      </w:pPr>
      <w:r>
        <w:rPr>
          <w:rFonts w:ascii="Arial" w:cs="Arial" w:eastAsia="Arial" w:hAnsi="Arial"/>
          <w:b/>
          <w:bCs/>
          <w:color w:val="1A7FAD"/>
          <w:sz w:val="26"/>
          <w:szCs w:val="26"/>
        </w:rPr>
        <w:t xml:space="preserve">3.1  AI Layer — Current State (Launch)</w:t>
      </w:r>
    </w:p>
    <w:p>
      <w:pPr>
        <w:pStyle w:val="ListParagraph"/>
        <w:numPr>
          <w:ilvl w:val="0"/>
          <w:numId w:val="2"/>
        </w:numPr>
        <w:spacing w:after="60" w:before="60"/>
      </w:pPr>
      <w:r>
        <w:rPr>
          <w:rFonts w:ascii="Arial" w:cs="Arial" w:eastAsia="Arial" w:hAnsi="Arial"/>
          <w:color w:val="1A1A2E"/>
          <w:sz w:val="22"/>
          <w:szCs w:val="22"/>
        </w:rPr>
        <w:t xml:space="preserve">Rule-based anomaly detection in the discovery layer — flags infrastructure drift against baseline configurations.</w:t>
      </w:r>
    </w:p>
    <w:p>
      <w:pPr>
        <w:pStyle w:val="ListParagraph"/>
        <w:numPr>
          <w:ilvl w:val="0"/>
          <w:numId w:val="2"/>
        </w:numPr>
        <w:spacing w:after="60" w:before="60"/>
      </w:pPr>
      <w:r>
        <w:rPr>
          <w:rFonts w:ascii="Arial" w:cs="Arial" w:eastAsia="Arial" w:hAnsi="Arial"/>
          <w:color w:val="1A1A2E"/>
          <w:sz w:val="22"/>
          <w:szCs w:val="22"/>
        </w:rPr>
        <w:t xml:space="preserve">Pattern matching for compliance gap identification — maps discovered infrastructure state to regulatory control requirements.</w:t>
      </w:r>
    </w:p>
    <w:p>
      <w:pPr>
        <w:pStyle w:val="ListParagraph"/>
        <w:numPr>
          <w:ilvl w:val="0"/>
          <w:numId w:val="2"/>
        </w:numPr>
        <w:spacing w:after="60" w:before="60"/>
      </w:pPr>
      <w:r>
        <w:rPr>
          <w:rFonts w:ascii="Arial" w:cs="Arial" w:eastAsia="Arial" w:hAnsi="Arial"/>
          <w:color w:val="1A1A2E"/>
          <w:sz w:val="22"/>
          <w:szCs w:val="22"/>
        </w:rPr>
        <w:t xml:space="preserve">Topology-aware API failure tracing — uses the graph schema to identify the failing hop in a multi-system API chain.</w:t>
      </w:r>
    </w:p>
    <w:p>
      <w:pPr>
        <w:pStyle w:val="ListParagraph"/>
        <w:numPr>
          <w:ilvl w:val="0"/>
          <w:numId w:val="2"/>
        </w:numPr>
        <w:spacing w:after="60" w:before="60"/>
      </w:pPr>
      <w:r>
        <w:rPr>
          <w:rFonts w:ascii="Arial" w:cs="Arial" w:eastAsia="Arial" w:hAnsi="Arial"/>
          <w:color w:val="1A1A2E"/>
          <w:sz w:val="22"/>
          <w:szCs w:val="22"/>
        </w:rPr>
        <w:t xml:space="preserve">Context-aware command generation — AI assistant generates specific commands (firewall rules, port configurations, API gateway policies) based on the user's actual environment.</w:t>
      </w:r>
    </w:p>
    <w:p>
      <w:pPr>
        <w:spacing w:after="0" w:before="80"/>
      </w:pPr>
    </w:p>
    <w:p>
      <w:pPr>
        <w:pStyle w:val="Heading2"/>
        <w:spacing w:after="100" w:before="280"/>
      </w:pPr>
      <w:r>
        <w:rPr>
          <w:rFonts w:ascii="Arial" w:cs="Arial" w:eastAsia="Arial" w:hAnsi="Arial"/>
          <w:b/>
          <w:bCs/>
          <w:color w:val="1A7FAD"/>
          <w:sz w:val="26"/>
          <w:szCs w:val="26"/>
        </w:rPr>
        <w:t xml:space="preserve">3.2  AI Layer — Future State (Learned Intelligence)</w:t>
      </w:r>
    </w:p>
    <w:p>
      <w:pPr>
        <w:pStyle w:val="ListParagraph"/>
        <w:numPr>
          <w:ilvl w:val="0"/>
          <w:numId w:val="2"/>
        </w:numPr>
        <w:spacing w:after="60" w:before="60"/>
      </w:pPr>
      <w:r>
        <w:rPr>
          <w:rFonts w:ascii="Arial" w:cs="Arial" w:eastAsia="Arial" w:hAnsi="Arial"/>
          <w:color w:val="1A1A2E"/>
          <w:sz w:val="22"/>
          <w:szCs w:val="22"/>
        </w:rPr>
        <w:t xml:space="preserve">Anomaly detection trained on environment-specific baselines — distinguishes genuine drift from expected variation.</w:t>
      </w:r>
    </w:p>
    <w:p>
      <w:pPr>
        <w:pStyle w:val="ListParagraph"/>
        <w:numPr>
          <w:ilvl w:val="0"/>
          <w:numId w:val="2"/>
        </w:numPr>
        <w:spacing w:after="60" w:before="60"/>
      </w:pPr>
      <w:r>
        <w:rPr>
          <w:rFonts w:ascii="Arial" w:cs="Arial" w:eastAsia="Arial" w:hAnsi="Arial"/>
          <w:color w:val="1A1A2E"/>
          <w:sz w:val="22"/>
          <w:szCs w:val="22"/>
        </w:rPr>
        <w:t xml:space="preserve">Compliance drift prediction — surfaces likely future gaps based on detected change patterns before they become audit findings.</w:t>
      </w:r>
    </w:p>
    <w:p>
      <w:pPr>
        <w:pStyle w:val="ListParagraph"/>
        <w:numPr>
          <w:ilvl w:val="0"/>
          <w:numId w:val="2"/>
        </w:numPr>
        <w:spacing w:after="60" w:before="60"/>
      </w:pPr>
      <w:r>
        <w:rPr>
          <w:rFonts w:ascii="Arial" w:cs="Arial" w:eastAsia="Arial" w:hAnsi="Arial"/>
          <w:color w:val="1A1A2E"/>
          <w:sz w:val="22"/>
          <w:szCs w:val="22"/>
        </w:rPr>
        <w:t xml:space="preserve">API failure prediction — identifies recurring failure patterns and recommends proactive architectural remediations.</w:t>
      </w:r>
    </w:p>
    <w:p>
      <w:pPr>
        <w:pStyle w:val="ListParagraph"/>
        <w:numPr>
          <w:ilvl w:val="0"/>
          <w:numId w:val="2"/>
        </w:numPr>
        <w:spacing w:after="60" w:before="60"/>
      </w:pPr>
      <w:r>
        <w:rPr>
          <w:rFonts w:ascii="Arial" w:cs="Arial" w:eastAsia="Arial" w:hAnsi="Arial"/>
          <w:color w:val="1A1A2E"/>
          <w:sz w:val="22"/>
          <w:szCs w:val="22"/>
        </w:rPr>
        <w:t xml:space="preserve">Security posture scoring — dynamic risk scoring updated in real time as infrastructure changes, with business-impact prioritisation.</w:t>
      </w:r>
    </w:p>
    <w:p>
      <w:pPr>
        <w:pStyle w:val="ListParagraph"/>
        <w:numPr>
          <w:ilvl w:val="0"/>
          <w:numId w:val="2"/>
        </w:numPr>
        <w:spacing w:after="60" w:before="60"/>
      </w:pPr>
      <w:r>
        <w:rPr>
          <w:rFonts w:ascii="Arial" w:cs="Arial" w:eastAsia="Arial" w:hAnsi="Arial"/>
          <w:color w:val="1A1A2E"/>
          <w:sz w:val="22"/>
          <w:szCs w:val="22"/>
        </w:rPr>
        <w:t xml:space="preserve">Architecture optimisation recommendations — cross-customer pattern learning (privacy-preserving, opt-in) to surface best practices based on what works at scale across the platform.</w:t>
      </w:r>
    </w:p>
    <w:p>
      <w:pPr>
        <w:spacing w:after="0" w:before="80"/>
      </w:pPr>
    </w:p>
    <w:p>
      <w:pPr>
        <w:pStyle w:val="Heading2"/>
        <w:spacing w:after="100" w:before="280"/>
      </w:pPr>
      <w:r>
        <w:rPr>
          <w:rFonts w:ascii="Arial" w:cs="Arial" w:eastAsia="Arial" w:hAnsi="Arial"/>
          <w:b/>
          <w:bCs/>
          <w:color w:val="1A7FAD"/>
          <w:sz w:val="26"/>
          <w:szCs w:val="26"/>
        </w:rPr>
        <w:t xml:space="preserve">3.3  Data Model for AI</w:t>
      </w:r>
    </w:p>
    <w:p>
      <w:pPr>
        <w:spacing w:after="100" w:before="80"/>
      </w:pPr>
      <w:r>
        <w:rPr>
          <w:rFonts w:ascii="Arial" w:cs="Arial" w:eastAsia="Arial" w:hAnsi="Arial"/>
          <w:b w:val="false"/>
          <w:bCs w:val="false"/>
          <w:i w:val="false"/>
          <w:iCs w:val="false"/>
          <w:color w:val="1A1A2E"/>
          <w:sz w:val="22"/>
          <w:szCs w:val="22"/>
        </w:rPr>
        <w:t xml:space="preserve">The Unified Graph Schema serves as the primary data model for all AI training and inference. The graph structure captures both the current state and the history of the enterprise environment — providing the temporal dimension required for drift detection and prediction models. All AI processing is performed within the customer environment for on-premises deployments, and within isolated tenant contexts for SaaS deployments.</w:t>
      </w:r>
    </w:p>
    <w:p>
      <w:r>
        <w:br w:type="page"/>
      </w:r>
    </w:p>
    <w:p>
      <w:pPr>
        <w:pStyle w:val="Heading1"/>
        <w:spacing w:after="120" w:before="400"/>
      </w:pPr>
      <w:r>
        <w:rPr>
          <w:rFonts w:ascii="Arial" w:cs="Arial" w:eastAsia="Arial" w:hAnsi="Arial"/>
          <w:b/>
          <w:bCs/>
          <w:color w:val="0D1F3C"/>
          <w:sz w:val="36"/>
          <w:szCs w:val="36"/>
        </w:rPr>
        <w:t xml:space="preserve">4. Integration Ecosystem</w:t>
      </w:r>
    </w:p>
    <w:p>
      <w:pPr>
        <w:pBdr>
          <w:bottom w:val="single" w:color="1A7FAD" w:sz="4" w:space="1"/>
        </w:pBdr>
        <w:spacing w:after="0"/>
      </w:pPr>
    </w:p>
    <w:p>
      <w:pPr>
        <w:spacing w:after="0" w:before="80"/>
      </w:pPr>
    </w:p>
    <w:p>
      <w:pPr>
        <w:spacing w:after="100" w:before="80"/>
      </w:pPr>
      <w:r>
        <w:rPr>
          <w:rFonts w:ascii="Arial" w:cs="Arial" w:eastAsia="Arial" w:hAnsi="Arial"/>
          <w:b w:val="false"/>
          <w:bCs w:val="false"/>
          <w:i w:val="false"/>
          <w:iCs w:val="false"/>
          <w:color w:val="1A1A2E"/>
          <w:sz w:val="22"/>
          <w:szCs w:val="22"/>
        </w:rPr>
        <w:t xml:space="preserve">Arcvara's integration approach is read-only metadata aggregation via published APIs and discovery agents. All integrations are organised in two tiers: core integrations delivered in Phases 1 and 2, and the R&amp;D pipeline for Phases 3 through 5.</w:t>
      </w:r>
    </w:p>
    <w:p>
      <w:pPr>
        <w:spacing w:after="0" w:before="80"/>
      </w:pPr>
    </w:p>
    <w:p>
      <w:pPr>
        <w:pStyle w:val="Heading2"/>
        <w:spacing w:after="100" w:before="280"/>
      </w:pPr>
      <w:r>
        <w:rPr>
          <w:rFonts w:ascii="Arial" w:cs="Arial" w:eastAsia="Arial" w:hAnsi="Arial"/>
          <w:b/>
          <w:bCs/>
          <w:color w:val="1A7FAD"/>
          <w:sz w:val="26"/>
          <w:szCs w:val="26"/>
        </w:rPr>
        <w:t xml:space="preserve">4.1  Core Integrations — Phase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Domain</w:t>
            </w:r>
          </w:p>
        </w:tc>
        <w:tc>
          <w:tcPr>
            <w:tcW w:type="dxa" w:w="696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Technologies and Platforms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Cloud Platforms</w:t>
            </w:r>
          </w:p>
        </w:tc>
        <w:tc>
          <w:tcPr>
            <w:tcW w:type="dxa" w:w="69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Oracle Cloud Infrastructure (OCI), Amazon Web Services (AWS), Microsoft Azure, Google Cloud Platform (GCP), Red Hat OpenShift — including K8s (EKS/AKS/GKE), serverless compute, managed databases, VPCs, security groups, IAM roles, and API gateways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On-Premises &amp; Data Centre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Physical and virtual infrastructure discovery, SNMP polling, network topology mapping, VLANs, LAN/WAN/MAN, server inventory, OS details, open ports, hardware specifications, and data centre layout visualisation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IAM &amp; Directory Services</w:t>
            </w:r>
          </w:p>
        </w:tc>
        <w:tc>
          <w:tcPr>
            <w:tcW w:type="dxa" w:w="69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Microsoft Active Directory, LDAP, Okta, Azure Entra ID — identity mapping, group memberships, permission sets, and privileged access account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CI/CD &amp; DevOps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Jenkins, GitLab CI, GitHub Actions, ArgoCD — pipeline visibility, deployment environment mapping, and release traceability to architecture components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API Management &amp; Middleware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Kong, Apigee, AWS API Gateway, Azure API Management, MuleSoft, WSO2, IBM MQ — API registry, traffic flows, rate limits, and middleware topology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Security &amp; Network Enforcement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Palo Alto Networks, Fortinet FortiGate, F5 BIG-IP, WAF platforms — firewall rule sets, load balancer configurations, and security policy analysis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SIEM &amp; Monitoring</w:t>
            </w:r>
          </w:p>
        </w:tc>
        <w:tc>
          <w:tcPr>
            <w:tcW w:type="dxa" w:w="69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IBM QRadar, Splunk, Datadog, Grafana, ELK Stack (Elasticsearch, Logstash, Kibana) — log correlation, metrics, alerting, and incident mapping</w:t>
            </w:r>
          </w:p>
        </w:tc>
      </w:tr>
    </w:tbl>
    <w:p>
      <w:pPr>
        <w:spacing w:after="0" w:before="80"/>
      </w:pPr>
    </w:p>
    <w:p>
      <w:pPr>
        <w:pStyle w:val="Heading2"/>
        <w:spacing w:after="100" w:before="280"/>
      </w:pPr>
      <w:r>
        <w:rPr>
          <w:rFonts w:ascii="Arial" w:cs="Arial" w:eastAsia="Arial" w:hAnsi="Arial"/>
          <w:b/>
          <w:bCs/>
          <w:color w:val="1A7FAD"/>
          <w:sz w:val="26"/>
          <w:szCs w:val="26"/>
        </w:rPr>
        <w:t xml:space="preserve">4.2  R&amp;D Integration Pipeline — Phases 3 to 5</w:t>
      </w:r>
    </w:p>
    <w:p>
      <w:pPr>
        <w:spacing w:after="100" w:before="80"/>
      </w:pPr>
      <w:r>
        <w:rPr>
          <w:rFonts w:ascii="Arial" w:cs="Arial" w:eastAsia="Arial" w:hAnsi="Arial"/>
          <w:b w:val="false"/>
          <w:bCs w:val="false"/>
          <w:i w:val="false"/>
          <w:iCs w:val="false"/>
          <w:color w:val="1A1A2E"/>
          <w:sz w:val="22"/>
          <w:szCs w:val="22"/>
        </w:rPr>
        <w:t xml:space="preserve">The following domains are fully scoped and in the Arcvara R&amp;D pipeline. Specialist engineers and architects are engaged — full-time or part-time — at the point each domain is scheduled for delivery.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Domain</w:t>
            </w:r>
          </w:p>
        </w:tc>
        <w:tc>
          <w:tcPr>
            <w:tcW w:type="dxa" w:w="696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Technologies and Systems in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ERP Platforms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SAP S/4HANA &amp; ECC, Oracle ERP Cloud &amp; E-Business Suite, Microsoft Dynamics 365, Oracle PeopleSoft, Infor — business process mapping, data flow visualisation, ERP-to-infrastructure architecture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ITSM &amp; Asset Management</w:t>
            </w:r>
          </w:p>
        </w:tc>
        <w:tc>
          <w:tcPr>
            <w:tcW w:type="dxa" w:w="69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ServiceNow, BMC Remedy/Helix, IBM Maximo — incident and change management mapping to architecture components, asset lifecycle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Extended Security Platforms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Palo Alto Panorama, additional WAF vendors, SIEM platform expansion — deeper policy analysis and cross-platform security posture mapping</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Diagramming Import</w:t>
            </w:r>
          </w:p>
        </w:tc>
        <w:tc>
          <w:tcPr>
            <w:tcW w:type="dxa" w:w="69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Import and enrichment of existing architecture assets from draw.io, Microsoft Visio, and Lucidchart — migrating existing documentation into the live Arcvara canvas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External API Dependencies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Any external or third-party API that enterprise systems call — visualised as external dependency nodes showing flow, dependency, and connectivity without requiring access to the external system</w:t>
            </w:r>
          </w:p>
        </w:tc>
      </w:tr>
    </w:tbl>
    <w:p>
      <w:r>
        <w:br w:type="page"/>
      </w:r>
    </w:p>
    <w:p>
      <w:pPr>
        <w:pStyle w:val="Heading1"/>
        <w:spacing w:after="120" w:before="400"/>
      </w:pPr>
      <w:r>
        <w:rPr>
          <w:rFonts w:ascii="Arial" w:cs="Arial" w:eastAsia="Arial" w:hAnsi="Arial"/>
          <w:b/>
          <w:bCs/>
          <w:color w:val="0D1F3C"/>
          <w:sz w:val="36"/>
          <w:szCs w:val="36"/>
        </w:rPr>
        <w:t xml:space="preserve">Glossary</w:t>
      </w:r>
    </w:p>
    <w:p>
      <w:pPr>
        <w:pBdr>
          <w:bottom w:val="single" w:color="1A7FAD" w:sz="4" w:space="1"/>
        </w:pBdr>
        <w:spacing w:after="0"/>
      </w:pPr>
    </w:p>
    <w:p>
      <w:pPr>
        <w:spacing w:after="0" w:before="80"/>
      </w:pPr>
    </w:p>
    <w:p>
      <w:pPr>
        <w:spacing w:after="100" w:before="80"/>
      </w:pPr>
      <w:r>
        <w:rPr>
          <w:rFonts w:ascii="Arial" w:cs="Arial" w:eastAsia="Arial" w:hAnsi="Arial"/>
          <w:b w:val="false"/>
          <w:bCs w:val="false"/>
          <w:i w:val="false"/>
          <w:iCs w:val="false"/>
          <w:color w:val="1A1A2E"/>
          <w:sz w:val="22"/>
          <w:szCs w:val="22"/>
        </w:rPr>
        <w:t xml:space="preserve">Technical terms used in this document.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API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Application Programming Interface — a defined interface that allows software systems to communicate with each other</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C4 Model</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Context, Containers, Components, Code — a hierarchical diagramming model for software architecture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CMDB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Configuration Management Database — a repository of IT asset and configuration information</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CI/CD</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Continuous Integration / Continuous Delivery — automated software build, test, and deployment pipelines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DMZ</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Demilitarized Zone — a network segment separating an internal network from external networks for security</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EA</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Enterprise Architecture — discipline aligning business strategy with IT infrastructure and processes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ECC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Essential Cybersecurity Controls — NCA's core cybersecurity regulatory framework for Saudi organisations</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ELK Stack</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Elasticsearch, Logstash, Kibana — open-source log management and analytics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ERD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Entity Relationship Diagram — database schema and data model visualisation diagram type</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FPS</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Frames Per Second — measure of visual rendering performance in graphical applications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GKE / EKS / AKS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Google/Amazon/Azure Kubernetes Engine — managed Kubernetes services from the respective cloud providers</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HLD</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High-Level Design — architectural document describing system components and their interactions at a high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IAM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Identity and Access Management — systems controlling user authentication and authorisation</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K8s</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Kubernetes — open-source container orchestration platform for automating deployment and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LDAP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Lightweight Directory Access Protocol — protocol for accessing directory services such as Active Directory</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LLD</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Low-Level Design — detailed architectural document describing specific implementation of system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LAN / WAN / MAN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Local / Wide / Metropolitan Area Network — network categories by geographic scope</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NCA</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National Cybersecurity Authority — Saudi Arabia's government body for cybersecurity regulation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NCA ECC-2:2024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Essential Cybersecurity Controls 2024 — NCA's updated core regulatory framework</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OCI</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Oracle Cloud Infrastructure — cloud platform widely adopted by Saudi government entities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PAM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Privileged Access Management — security controls for managing access to critical systems</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PixiJS</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An open-source 2D WebGL rendering engine used for high-performance graphics in web browsers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RBAC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Role-Based Access Control — security model restricting system access based on user roles</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SAMA CSF</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SAMA Cyber Security Framework — mandatory cybersecurity framework for Saudi financial institutions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SIEM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Security Information and Event Management — platforms aggregating and analysing security event data</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SNMP</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Simple Network Management Protocol — protocol for monitoring and managing network devices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S2S VPN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Site-to-Site Virtual Private Network — secure encrypted connection between two network locations</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SSO</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Single Sign-On — authentication method allowing users to access multiple systems with one set of credentials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TOGAF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The Open Group Architecture Framework — leading enterprise architecture methodology</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Unified Graph Schema</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Arcvara's proprietary data model normalising all infrastructure metadata into four primitives: Node, Edge, Interface, and Asset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VPC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Virtual Private Cloud — isolated virtual network within a public cloud environment</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WAF</w:t>
            </w:r>
          </w:p>
        </w:tc>
        <w:tc>
          <w:tcPr>
            <w:tcW w:type="dxa" w:w="7560"/>
            <w:tcBorders>
              <w:top w:val="single" w:color="CCCCCC" w:sz="1"/>
              <w:left w:val="single" w:color="CCCCCC" w:sz="1"/>
              <w:bottom w:val="single" w:color="CCCCCC" w:sz="1"/>
              <w:right w:val="single" w:color="CCCCCC" w:sz="1"/>
            </w:tcBorders>
            <w:shd w:fill="F0F7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Web Application Firewall — security system filtering and monitoring HTTP traffic to web applications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2E"/>
                <w:sz w:val="20"/>
                <w:szCs w:val="20"/>
              </w:rPr>
              <w:t xml:space="preserve">WebGL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Web Graphics Library — JavaScript API enabling hardware-accelerated 3D and 2D graphics in web browsers</w:t>
            </w:r>
          </w:p>
        </w:tc>
      </w:tr>
    </w:tbl>
    <w:p>
      <w:pPr>
        <w:spacing w:after="0" w:before="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FAD" w:sz="4" w:space="1"/>
      </w:pBdr>
      <w:spacing w:after="0" w:before="80"/>
    </w:pPr>
    <w:r>
      <w:rPr>
        <w:rFonts w:ascii="Arial" w:cs="Arial" w:eastAsia="Arial" w:hAnsi="Arial"/>
        <w:color w:val="555555"/>
        <w:sz w:val="16"/>
        <w:szCs w:val="16"/>
      </w:rPr>
      <w:t xml:space="preserve">© 2026 Arcvara  |  jawad.a.almarhoon@gmail.com  |  ibraheem.marhoon@gmail.com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AD" w:sz="4" w:space="1"/>
      </w:pBdr>
      <w:spacing w:after="100" w:before="0"/>
    </w:pPr>
    <w:r>
      <w:rPr>
        <w:rFonts w:ascii="Arial" w:cs="Arial" w:eastAsia="Arial" w:hAnsi="Arial"/>
        <w:b/>
        <w:bCs/>
        <w:color w:val="0D1F3C"/>
        <w:sz w:val="18"/>
        <w:szCs w:val="18"/>
      </w:rPr>
      <w:t xml:space="preserve">ARCVARA  </w:t>
    </w:r>
    <w:r>
      <w:rPr>
        <w:rFonts w:ascii="Arial" w:cs="Arial" w:eastAsia="Arial" w:hAnsi="Arial"/>
        <w:color w:val="555555"/>
        <w:sz w:val="18"/>
        <w:szCs w:val="18"/>
      </w:rPr>
      <w:t xml:space="preserve">Product &amp; Technical Reference</w:t>
    </w:r>
    <w:r>
      <w:rPr>
        <w:rFonts w:ascii="Arial" w:cs="Arial" w:eastAsia="Arial" w:hAnsi="Arial"/>
        <w:i/>
        <w:iCs/>
        <w:color w:val="555555"/>
        <w:sz w:val="18"/>
        <w:szCs w:val="18"/>
      </w:rPr>
      <w:t xml:space="preserve">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F3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7FA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1F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2026-06-10T15:19:45.990Z</dcterms:created>
  <dcterms:modified xsi:type="dcterms:W3CDTF">2026-06-10T15:19:45.990Z</dcterms:modified>
</cp:coreProperties>
</file>

<file path=docProps/custom.xml><?xml version="1.0" encoding="utf-8"?>
<Properties xmlns="http://schemas.openxmlformats.org/officeDocument/2006/custom-properties" xmlns:vt="http://schemas.openxmlformats.org/officeDocument/2006/docPropsVTypes"/>
</file>