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C1A1A"/>
          <w:spacing w:val="30"/>
          <w:sz w:val="18"/>
          <w:szCs w:val="18"/>
        </w:rPr>
        <w:t xml:space="preserve">ARCADIA HOME CARE  |  Social Media Kit</w:t>
      </w:r>
    </w:p>
    <w:p>
      <w:pPr>
        <w:spacing w:after="80" w:before="100"/>
      </w:pPr>
      <w:r>
        <w:rPr>
          <w:rFonts w:ascii="Arial" w:cs="Arial" w:eastAsia="Arial" w:hAnsi="Arial"/>
          <w:b/>
          <w:bCs/>
          <w:color w:val="1A1A1A"/>
          <w:sz w:val="44"/>
          <w:szCs w:val="44"/>
        </w:rPr>
        <w:t xml:space="preserve">Normal Aging vs. Dementia: What’s the Difference?</w:t>
      </w:r>
    </w:p>
    <w:p>
      <w:pPr>
        <w:spacing w:after="240" w:before="0"/>
      </w:pPr>
      <w:r>
        <w:rPr>
          <w:rFonts w:ascii="Arial" w:cs="Arial" w:eastAsia="Arial" w:hAnsi="Arial"/>
          <w:i/>
          <w:iCs/>
          <w:color w:val="1A1A1A"/>
          <w:sz w:val="22"/>
          <w:szCs w:val="22"/>
        </w:rPr>
        <w:t xml:space="preserve">Article Post Series  ·  A0 brief and A1–A4 captions</w:t>
      </w:r>
    </w:p>
    <w:p>
      <w:pPr>
        <w:pBdr>
          <w:bottom w:val="single" w:color="CC1A1A" w:sz="6" w:space="1"/>
        </w:pBdr>
        <w:spacing w:after="80" w:before="80"/>
      </w:pPr>
      <w:r>
        <w:t xml:space="preserve"/>
      </w:r>
    </w:p>
    <w:p>
      <w:pPr>
        <w:spacing w:after="120" w:before="200"/>
      </w:pPr>
      <w:r>
        <w:rPr>
          <w:rFonts w:ascii="Arial" w:cs="Arial" w:eastAsia="Arial" w:hAnsi="Arial"/>
          <w:b/>
          <w:bCs/>
          <w:color w:val="CC1A1A"/>
          <w:sz w:val="22"/>
          <w:szCs w:val="22"/>
        </w:rPr>
        <w:t xml:space="preserve">How to use this kit</w:t>
      </w:r>
    </w:p>
    <w:p>
      <w:pPr>
        <w:spacing w:after="60" w:before="60"/>
        <w:jc w:val="left"/>
      </w:pPr>
      <w:r>
        <w:rPr>
          <w:rFonts w:ascii="Arial" w:cs="Arial" w:eastAsia="Arial" w:hAnsi="Arial"/>
          <w:b w:val="false"/>
          <w:bCs w:val="false"/>
          <w:i w:val="false"/>
          <w:iCs w:val="false"/>
          <w:color w:val="1A1A1A"/>
          <w:sz w:val="22"/>
          <w:szCs w:val="22"/>
        </w:rPr>
        <w:t xml:space="preserve">This kit is filled in directly from the published article. It uses the Article Post template (A0–A4) from the Arcadia Social Media Template System. Other templates in the system — Awareness/Holiday (B), Event (C), Community/Trust-Building (D) — are not pertinent to a single article launch and are not included here.</w:t>
      </w:r>
    </w:p>
    <w:p>
      <w:pPr>
        <w:spacing w:after="60" w:before="60"/>
        <w:jc w:val="left"/>
      </w:pPr>
      <w:r>
        <w:rPr>
          <w:rFonts w:ascii="Arial" w:cs="Arial" w:eastAsia="Arial" w:hAnsi="Arial"/>
          <w:b w:val="false"/>
          <w:bCs w:val="false"/>
          <w:i/>
          <w:iCs/>
          <w:color w:val="1A1A1A"/>
          <w:sz w:val="22"/>
          <w:szCs w:val="22"/>
        </w:rPr>
        <w:t xml:space="preserve">Run all four post variants across the 14-day window after publication. Never reuse the same caption. Each variant is a different entry point into the same article.</w:t>
      </w:r>
    </w:p>
    <w:p>
      <w:pPr>
        <w:spacing w:after="80" w:before="80"/>
        <w:jc w:val="left"/>
      </w:pPr>
      <w:r>
        <w:rPr>
          <w:rFonts w:ascii="Arial" w:cs="Arial" w:eastAsia="Arial" w:hAnsi="Arial"/>
          <w:b w:val="false"/>
          <w:bCs w:val="false"/>
          <w:i/>
          <w:iCs/>
          <w:color w:val="1A1A1A"/>
          <w:sz w:val="22"/>
          <w:szCs w:val="22"/>
        </w:rPr>
        <w:t xml:space="preserve">Tone reminder: steady, factual voice. Informative, calming, no jargon. Most readers find it after googling. Validate the question. Then answer it cleanly.</w:t>
      </w:r>
    </w:p>
    <w:p>
      <w:pPr>
        <w:spacing w:after="80" w:before="80"/>
      </w:pPr>
      <w:r>
        <w:t xml:space="preserve"/>
      </w:r>
    </w:p>
    <w:p>
      <w:pPr>
        <w:pStyle w:val="Heading1"/>
        <w:spacing w:after="180" w:before="360"/>
      </w:pPr>
      <w:r>
        <w:rPr>
          <w:rFonts w:ascii="Arial" w:cs="Arial" w:eastAsia="Arial" w:hAnsi="Arial"/>
          <w:b/>
          <w:bCs/>
          <w:color w:val="1A1A1A"/>
          <w:sz w:val="36"/>
          <w:szCs w:val="36"/>
        </w:rPr>
        <w:t xml:space="preserve">A0 — Pre-Post Brief</w:t>
      </w:r>
    </w:p>
    <w:p>
      <w:pPr>
        <w:spacing w:after="60" w:before="60"/>
        <w:jc w:val="left"/>
      </w:pPr>
      <w:r>
        <w:rPr>
          <w:rFonts w:ascii="Arial" w:cs="Arial" w:eastAsia="Arial" w:hAnsi="Arial"/>
          <w:b w:val="false"/>
          <w:bCs w:val="false"/>
          <w:i/>
          <w:iCs/>
          <w:color w:val="1A1A1A"/>
          <w:sz w:val="22"/>
          <w:szCs w:val="22"/>
        </w:rPr>
        <w:t xml:space="preserve">Master brief for this article. All four post variants below draw from this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title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Normal Aging vs. Dementia: What’s the Difference?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URL</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https://www.arcadiahomecare.ca/resources/dementia-memory-care/normal-aging-vs-dementia/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Cluster</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Dementia &amp; Memory Care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Publication date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March 2026</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Article role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Companion piece to Early Signs. The clarifying article for families trying to distinguish what they are seeing without jumping to conclusions. Evidence-based and calming.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Slug</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normal-aging-vs-dementia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Emotional entry point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Her parent forgot a name. Lost their glasses again. Told the same story twice. She has been alternately worried and reassured, sometimes within the same hour. Is this normal aging? Or is it something else? She wants the truth, but she also wants to not panic.</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Key reframe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Not every memory lapse is dementia. But not every memory lapse is normal aging either. The difference matters — not for labelling, but for knowing whether what you are seeing is something to monitor or something to act 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Share target</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A sibling who has been dismissing what you have been noticing. A friend trying to figure out the same thing about their own parent. Anyone caught between “surely it is fine” and “what if it is not.”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?utm_source=facebook&amp;utm_medium=social&amp;utm_campaign=normal-aging-vs-dementia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?utm_source=instagram&amp;utm_medium=social&amp;utm_campaign=normal-aging-vs-dementia</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UTM — 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?utm_source=linkedin&amp;utm_medium=social&amp;utm_campaign=normal-aging-vs-dementia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OG image file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normal-aging-vs-dementia-share.jpg  (1200 × 630 px) — a calendar or notebook on a kitchen table, soft natural light. Suggests careful observation without panic.</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Pull quotes available</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pPr>
            <w:r>
              <w:rPr>
                <w:rFonts w:ascii="Arial" w:cs="Arial" w:eastAsia="Arial" w:hAnsi="Arial"/>
                <w:i/>
                <w:iCs/>
                <w:color w:val="1A1A1A"/>
                <w:sz w:val="22"/>
                <w:szCs w:val="22"/>
              </w:rPr>
              <w:t xml:space="preserve">1. “Not every memory lapse is dementia. But not every memory lapse is normal aging, either. The difference matters.”</w:t>
            </w:r>
          </w:p>
          <w:p>
            <w:pPr>
              <w:spacing w:after="60" w:before="60"/>
            </w:pPr>
            <w:r>
              <w:rPr>
                <w:rFonts w:ascii="Arial" w:cs="Arial" w:eastAsia="Arial" w:hAnsi="Arial"/>
                <w:i/>
                <w:iCs/>
                <w:color w:val="1A1A1A"/>
                <w:sz w:val="22"/>
                <w:szCs w:val="22"/>
              </w:rPr>
              <w:t xml:space="preserve">2. “Normal aging does not rob a person of their identity, their relationships, or their ability to function independently.”</w:t>
            </w:r>
          </w:p>
          <w:p>
            <w:pPr>
              <w:spacing w:after="60" w:before="60"/>
            </w:pPr>
            <w:r>
              <w:rPr>
                <w:rFonts w:ascii="Arial" w:cs="Arial" w:eastAsia="Arial" w:hAnsi="Arial"/>
                <w:i/>
                <w:iCs/>
                <w:color w:val="1A1A1A"/>
                <w:sz w:val="22"/>
                <w:szCs w:val="22"/>
              </w:rPr>
              <w:t xml:space="preserve">3. “The question is not whether your parent forgot something. The question is whether forgetting is starting to change how they live.”</w:t>
            </w:r>
          </w:p>
        </w:tc>
      </w:tr>
    </w:tbl>
    <w:p>
      <w:r>
        <w:br w:type="page"/>
      </w:r>
    </w:p>
    <w:p>
      <w:pPr>
        <w:pStyle w:val="Heading1"/>
        <w:spacing w:after="180" w:before="360"/>
      </w:pPr>
      <w:r>
        <w:rPr>
          <w:rFonts w:ascii="Arial" w:cs="Arial" w:eastAsia="Arial" w:hAnsi="Arial"/>
          <w:b/>
          <w:bCs/>
          <w:color w:val="1A1A1A"/>
          <w:sz w:val="36"/>
          <w:szCs w:val="36"/>
        </w:rPr>
        <w:t xml:space="preserve">A1 — Recognition Post</w:t>
      </w:r>
    </w:p>
    <w:p>
      <w:pPr>
        <w:spacing w:after="80" w:before="200"/>
      </w:pPr>
      <w:r>
        <w:rPr>
          <w:rFonts w:ascii="Arial" w:cs="Arial" w:eastAsia="Arial" w:hAnsi="Arial"/>
          <w:b/>
          <w:bCs/>
          <w:color w:val="CC1A1A"/>
          <w:spacing w:val="30"/>
          <w:sz w:val="18"/>
          <w:szCs w:val="18"/>
        </w:rPr>
        <w:t xml:space="preserve">DAY 1  ·  FACEBOOK + LINKEDIN + INSTAGRAM</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Name what she is feeling. Normalize it. Let the link do the work. Do not mention Arcadia in the caption.</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of article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Tuesday, Wednesday, or Thursday</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AM same day (professional framing)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10:00 AM, or 7:00 – 9:00 PM evening alternative</w:t>
            </w:r>
          </w:p>
        </w:tc>
      </w:tr>
    </w:tbl>
    <w:p>
      <w:pPr>
        <w:pStyle w:val="Heading3"/>
        <w:spacing w:after="100" w:before="240"/>
      </w:pPr>
      <w:r>
        <w:rPr>
          <w:rFonts w:ascii="Arial" w:cs="Arial" w:eastAsia="Arial" w:hAnsi="Arial"/>
          <w:b/>
          <w:bCs/>
          <w:color w:val="1A1A1A"/>
          <w:sz w:val="24"/>
          <w:szCs w:val="24"/>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forgot a name. Lost their glasses again. Told the same story twice.</w:t>
            </w:r>
          </w:p>
          <w:p>
            <w:pPr>
              <w:spacing w:after="60" w:before="0"/>
            </w:pPr>
            <w:r>
              <w:t xml:space="preserve"/>
            </w:r>
          </w:p>
          <w:p>
            <w:pPr>
              <w:spacing w:after="60" w:before="60"/>
            </w:pPr>
            <w:r>
              <w:rPr>
                <w:rFonts w:ascii="Arial" w:cs="Arial" w:eastAsia="Arial" w:hAnsi="Arial"/>
                <w:color w:val="1A1A1A"/>
                <w:sz w:val="22"/>
                <w:szCs w:val="22"/>
              </w:rPr>
              <w:t xml:space="preserve">Is that normal aging? Or is it something else?</w:t>
            </w:r>
          </w:p>
          <w:p>
            <w:pPr>
              <w:spacing w:after="60" w:before="0"/>
            </w:pPr>
            <w:r>
              <w:t xml:space="preserve"/>
            </w:r>
          </w:p>
          <w:p>
            <w:pPr>
              <w:spacing w:after="60" w:before="60"/>
            </w:pPr>
            <w:r>
              <w:rPr>
                <w:rFonts w:ascii="Arial" w:cs="Arial" w:eastAsia="Arial" w:hAnsi="Arial"/>
                <w:color w:val="1A1A1A"/>
                <w:sz w:val="22"/>
                <w:szCs w:val="22"/>
              </w:rPr>
              <w:t xml:space="preserve">The answer matters. And the difference is not always obvious from the inside.</w:t>
            </w:r>
          </w:p>
          <w:p>
            <w:pPr>
              <w:spacing w:after="60" w:before="0"/>
            </w:pPr>
            <w:r>
              <w:t xml:space="preserve"/>
            </w:r>
          </w:p>
          <w:p>
            <w:pPr>
              <w:spacing w:after="60" w:before="60"/>
            </w:pPr>
            <w:r>
              <w:rPr>
                <w:rFonts w:ascii="Arial" w:cs="Arial" w:eastAsia="Arial" w:hAnsi="Arial"/>
                <w:color w:val="1A1A1A"/>
                <w:sz w:val="22"/>
                <w:szCs w:val="22"/>
              </w:rPr>
              <w:t xml:space="preserve">This article walks through the real differences, side by side, without the jargon or the panic.</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https://www.arcadiahomecare.ca/resources/dementia-memory-care/normal-aging-vs-dementia/?utm_source=facebook&amp;utm_medium=social&amp;utm_campaign=normal-aging-vs-dementia</w:t>
            </w:r>
          </w:p>
        </w:tc>
      </w:tr>
    </w:tbl>
    <w:p>
      <w:pPr>
        <w:pStyle w:val="Heading3"/>
        <w:spacing w:after="100" w:before="240"/>
      </w:pPr>
      <w:r>
        <w:rPr>
          <w:rFonts w:ascii="Arial" w:cs="Arial" w:eastAsia="Arial" w:hAnsi="Arial"/>
          <w:b/>
          <w:bCs/>
          <w:color w:val="1A1A1A"/>
          <w:sz w:val="24"/>
          <w:szCs w:val="24"/>
        </w:rPr>
        <w:t xml:space="preserve">LinkedIn caption (professional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One of the most common questions families bring to us: “Is this just aging, or is something wrong?”</w:t>
            </w:r>
          </w:p>
          <w:p>
            <w:pPr>
              <w:spacing w:after="60" w:before="0"/>
            </w:pPr>
            <w:r>
              <w:t xml:space="preserve"/>
            </w:r>
          </w:p>
          <w:p>
            <w:pPr>
              <w:spacing w:after="60" w:before="60"/>
            </w:pPr>
            <w:r>
              <w:rPr>
                <w:rFonts w:ascii="Arial" w:cs="Arial" w:eastAsia="Arial" w:hAnsi="Arial"/>
                <w:color w:val="1A1A1A"/>
                <w:sz w:val="22"/>
                <w:szCs w:val="22"/>
              </w:rPr>
              <w:t xml:space="preserve">The brain changes as we age. Processing speed slows. Retrieval takes longer. That is normal. What is not normal is when changes start affecting daily function, safety, and the ability to live independently.</w:t>
            </w:r>
          </w:p>
          <w:p>
            <w:pPr>
              <w:spacing w:after="60" w:before="0"/>
            </w:pPr>
            <w:r>
              <w:t xml:space="preserve"/>
            </w:r>
          </w:p>
          <w:p>
            <w:pPr>
              <w:spacing w:after="60" w:before="60"/>
            </w:pPr>
            <w:r>
              <w:rPr>
                <w:rFonts w:ascii="Arial" w:cs="Arial" w:eastAsia="Arial" w:hAnsi="Arial"/>
                <w:color w:val="1A1A1A"/>
                <w:sz w:val="22"/>
                <w:szCs w:val="22"/>
              </w:rPr>
              <w:t xml:space="preserve">A clear, evidence-based comparison for families and the professionals who advise them.</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https://www.arcadiahomecare.ca/resources/dementia-memory-care/normal-aging-vs-dementia/?utm_source=linkedin&amp;utm_medium=social&amp;utm_campaign=normal-aging-vs-dementia</w:t>
            </w:r>
          </w:p>
        </w:tc>
      </w:tr>
    </w:tbl>
    <w:p>
      <w:pPr>
        <w:pStyle w:val="Heading3"/>
        <w:spacing w:after="100" w:before="240"/>
      </w:pPr>
      <w:r>
        <w:rPr>
          <w:rFonts w:ascii="Arial" w:cs="Arial" w:eastAsia="Arial" w:hAnsi="Arial"/>
          <w:b/>
          <w:bCs/>
          <w:color w:val="1A1A1A"/>
          <w:sz w:val="24"/>
          <w:szCs w:val="24"/>
        </w:rPr>
        <w:t xml:space="preserve">Instagram caption (shorter)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Your parent forgot a name. Lost their glasses again. Told the same story twice.</w:t>
            </w:r>
          </w:p>
          <w:p>
            <w:pPr>
              <w:spacing w:after="60" w:before="0"/>
            </w:pPr>
            <w:r>
              <w:t xml:space="preserve"/>
            </w:r>
          </w:p>
          <w:p>
            <w:pPr>
              <w:spacing w:after="60" w:before="60"/>
            </w:pPr>
            <w:r>
              <w:rPr>
                <w:rFonts w:ascii="Arial" w:cs="Arial" w:eastAsia="Arial" w:hAnsi="Arial"/>
                <w:color w:val="1A1A1A"/>
                <w:sz w:val="22"/>
                <w:szCs w:val="22"/>
              </w:rPr>
              <w:t xml:space="preserve">Is that normal aging — or is it something else?</w:t>
            </w:r>
          </w:p>
          <w:p>
            <w:pPr>
              <w:spacing w:after="60" w:before="0"/>
            </w:pPr>
            <w:r>
              <w:t xml:space="preserve"/>
            </w:r>
          </w:p>
          <w:p>
            <w:pPr>
              <w:spacing w:after="60" w:before="60"/>
            </w:pPr>
            <w:r>
              <w:rPr>
                <w:rFonts w:ascii="Arial" w:cs="Arial" w:eastAsia="Arial" w:hAnsi="Arial"/>
                <w:color w:val="1A1A1A"/>
                <w:sz w:val="22"/>
                <w:szCs w:val="22"/>
              </w:rPr>
              <w:t xml:space="preserve">The difference is not always obvious from the inside.</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w:t>
      </w:r>
    </w:p>
    <w:p>
      <w:pPr>
        <w:spacing w:after="60" w:before="60"/>
        <w:jc w:val="left"/>
      </w:pPr>
      <w:r>
        <w:rPr>
          <w:rFonts w:ascii="Arial" w:cs="Arial" w:eastAsia="Arial" w:hAnsi="Arial"/>
          <w:b w:val="false"/>
          <w:bCs w:val="false"/>
          <w:i w:val="false"/>
          <w:iCs w:val="false"/>
          <w:color w:val="1A1A1A"/>
          <w:sz w:val="22"/>
          <w:szCs w:val="22"/>
        </w:rPr>
        <w:t xml:space="preserve">Off-white background. A side-by-side visual element — perhaps two simple framed boxes, one labelled “normal aging” and one labelled “dementia.” Or a calendar / notebook photograph. Headline: “Normal aging or something else?”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w:t>
      </w:r>
    </w:p>
    <w:p>
      <w:pPr>
        <w:spacing w:after="60" w:before="60"/>
        <w:jc w:val="left"/>
      </w:pPr>
      <w:r>
        <w:rPr>
          <w:rFonts w:ascii="Arial" w:cs="Arial" w:eastAsia="Arial" w:hAnsi="Arial"/>
          <w:b w:val="false"/>
          <w:bCs w:val="false"/>
          <w:i w:val="false"/>
          <w:iCs w:val="false"/>
          <w:color w:val="1A1A1A"/>
          <w:sz w:val="22"/>
          <w:szCs w:val="22"/>
        </w:rPr>
        <w:t xml:space="preserve">Square. Headline upper half: “Normal aging or something else?” Quiet visual cue below (a glasses case on a table, a forgotten note).</w:t>
      </w:r>
    </w:p>
    <w:p>
      <w:r>
        <w:br w:type="page"/>
      </w:r>
    </w:p>
    <w:p>
      <w:pPr>
        <w:pStyle w:val="Heading1"/>
        <w:spacing w:after="180" w:before="360"/>
      </w:pPr>
      <w:r>
        <w:rPr>
          <w:rFonts w:ascii="Arial" w:cs="Arial" w:eastAsia="Arial" w:hAnsi="Arial"/>
          <w:b/>
          <w:bCs/>
          <w:color w:val="1A1A1A"/>
          <w:sz w:val="36"/>
          <w:szCs w:val="36"/>
        </w:rPr>
        <w:t xml:space="preserve">A2 — Reframe Post</w:t>
      </w:r>
    </w:p>
    <w:p>
      <w:pPr>
        <w:spacing w:after="80" w:before="200"/>
      </w:pPr>
      <w:r>
        <w:rPr>
          <w:rFonts w:ascii="Arial" w:cs="Arial" w:eastAsia="Arial" w:hAnsi="Arial"/>
          <w:b/>
          <w:bCs/>
          <w:color w:val="CC1A1A"/>
          <w:spacing w:val="30"/>
          <w:sz w:val="18"/>
          <w:szCs w:val="18"/>
        </w:rPr>
        <w:t xml:space="preserve">DAY 2–3  ·  INSTAGRAM + FACEBOOK + LINKEDIN</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Deliver the article’s key reframe as a standalone thought. Quote-card format. The insight stands on its own — the link provides depth. Each reframe below is provided in three platform-tuned versions: Facebook (medium length, conversational), LinkedIn (more measured, professional framing), and Instagram (shorter, link-in-bio close).</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2 or Day 3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12:00 – 1:00 PM, or 8:00 – 10:00 PM (caregivers scroll alone in evening)</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9:00 AM weekday — strong professional read window</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9:00 PM — highest save and share rate for reflective content</w:t>
            </w:r>
          </w:p>
        </w:tc>
      </w:tr>
    </w:tbl>
    <w:p>
      <w:pPr>
        <w:pStyle w:val="Heading3"/>
        <w:spacing w:after="100" w:before="240"/>
      </w:pPr>
      <w:r>
        <w:rPr>
          <w:rFonts w:ascii="Arial" w:cs="Arial" w:eastAsia="Arial" w:hAnsi="Arial"/>
          <w:b/>
          <w:bCs/>
          <w:color w:val="1A1A1A"/>
          <w:sz w:val="24"/>
          <w:szCs w:val="24"/>
        </w:rPr>
        <w:t xml:space="preserve">Reframe 1 — primary</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Not every memory lapse is dementia.</w:t>
            </w:r>
          </w:p>
          <w:p>
            <w:pPr>
              <w:spacing w:after="60" w:before="0"/>
            </w:pPr>
            <w:r>
              <w:t xml:space="preserve"/>
            </w:r>
          </w:p>
          <w:p>
            <w:pPr>
              <w:spacing w:after="60" w:before="60"/>
            </w:pPr>
            <w:r>
              <w:rPr>
                <w:rFonts w:ascii="Arial" w:cs="Arial" w:eastAsia="Arial" w:hAnsi="Arial"/>
                <w:color w:val="1A1A1A"/>
                <w:sz w:val="22"/>
                <w:szCs w:val="22"/>
              </w:rPr>
              <w:t xml:space="preserve">But not every memory lapse is normal aging, either. The difference matters — not for diagnosis, but for knowing whether what you are seeing is something to monitor or something to act on.</w:t>
            </w:r>
          </w:p>
          <w:p>
            <w:pPr>
              <w:spacing w:after="60" w:before="0"/>
            </w:pPr>
            <w:r>
              <w:t xml:space="preserve"/>
            </w:r>
          </w:p>
          <w:p>
            <w:pPr>
              <w:spacing w:after="60" w:before="60"/>
            </w:pPr>
            <w:r>
              <w:rPr>
                <w:rFonts w:ascii="Arial" w:cs="Arial" w:eastAsia="Arial" w:hAnsi="Arial"/>
                <w:color w:val="1A1A1A"/>
                <w:sz w:val="22"/>
                <w:szCs w:val="22"/>
              </w:rPr>
              <w:t xml:space="preserve">More on the difference.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https://www.arcadiahomecare.ca/resources/dementia-memory-care/normal-aging-vs-dementia/?utm_source=facebook&amp;utm_medium=social&amp;utm_campaign=normal-aging-vs-dementia</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question families ask most often before a memory assessment:</w:t>
            </w:r>
          </w:p>
          <w:p>
            <w:pPr>
              <w:spacing w:after="60" w:before="0"/>
            </w:pPr>
            <w:r>
              <w:t xml:space="preserve"/>
            </w:r>
          </w:p>
          <w:p>
            <w:pPr>
              <w:spacing w:after="60" w:before="60"/>
            </w:pPr>
            <w:r>
              <w:rPr>
                <w:rFonts w:ascii="Arial" w:cs="Arial" w:eastAsia="Arial" w:hAnsi="Arial"/>
                <w:color w:val="1A1A1A"/>
                <w:sz w:val="22"/>
                <w:szCs w:val="22"/>
              </w:rPr>
              <w:t xml:space="preserve">“Is this just aging, or is something wrong?” Most of the time, the worry is reasonable. The information families need is not whether something is definitely wrong — it is what is normal, what is not, and where the line sits between them. Once they have the framework, the next steps clarify themselves.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https://www.arcadiahomecare.ca/resources/dementia-memory-care/normal-aging-vs-dementia/?utm_source=linkedin&amp;utm_medium=social&amp;utm_campaign=normal-aging-vs-dementia</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Not every memory lapse is dementia.</w:t>
            </w:r>
          </w:p>
          <w:p>
            <w:pPr>
              <w:spacing w:after="60" w:before="0"/>
            </w:pPr>
            <w:r>
              <w:t xml:space="preserve"/>
            </w:r>
          </w:p>
          <w:p>
            <w:pPr>
              <w:spacing w:after="60" w:before="60"/>
            </w:pPr>
            <w:r>
              <w:rPr>
                <w:rFonts w:ascii="Arial" w:cs="Arial" w:eastAsia="Arial" w:hAnsi="Arial"/>
                <w:color w:val="1A1A1A"/>
                <w:sz w:val="22"/>
                <w:szCs w:val="22"/>
              </w:rPr>
              <w:t xml:space="preserve">But not every memory lapse is normal aging, either.</w:t>
            </w:r>
          </w:p>
          <w:p>
            <w:pPr>
              <w:spacing w:after="60" w:before="0"/>
            </w:pPr>
            <w:r>
              <w:t xml:space="preserve"/>
            </w:r>
          </w:p>
          <w:p>
            <w:pPr>
              <w:spacing w:after="60" w:before="60"/>
            </w:pPr>
            <w:r>
              <w:rPr>
                <w:rFonts w:ascii="Arial" w:cs="Arial" w:eastAsia="Arial" w:hAnsi="Arial"/>
                <w:color w:val="1A1A1A"/>
                <w:sz w:val="22"/>
                <w:szCs w:val="22"/>
              </w:rPr>
              <w:t xml:space="preserve">The difference matters.</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2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Normal aging does not rob a person of their identity, their relationships, or their ability to function independently.</w:t>
            </w:r>
          </w:p>
          <w:p>
            <w:pPr>
              <w:spacing w:after="60" w:before="0"/>
            </w:pPr>
            <w:r>
              <w:t xml:space="preserve"/>
            </w:r>
          </w:p>
          <w:p>
            <w:pPr>
              <w:spacing w:after="60" w:before="60"/>
            </w:pPr>
            <w:r>
              <w:rPr>
                <w:rFonts w:ascii="Arial" w:cs="Arial" w:eastAsia="Arial" w:hAnsi="Arial"/>
                <w:color w:val="1A1A1A"/>
                <w:sz w:val="22"/>
                <w:szCs w:val="22"/>
              </w:rPr>
              <w:t xml:space="preserve">When changes start touching those things — that is when the question stops being “is this aging?” and starts being “what is happening, and what can we do about it?”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https://www.arcadiahomecare.ca/resources/dementia-memory-care/normal-aging-vs-dementia/?utm_source=facebook&amp;utm_medium=social&amp;utm_campaign=normal-aging-vs-dementia</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A useful threshold for families assessing whether observed cognitive changes warrant clinical attention:</w:t>
            </w:r>
          </w:p>
          <w:p>
            <w:pPr>
              <w:spacing w:after="60" w:before="0"/>
            </w:pPr>
            <w:r>
              <w:t xml:space="preserve"/>
            </w:r>
          </w:p>
          <w:p>
            <w:pPr>
              <w:spacing w:after="60" w:before="60"/>
            </w:pPr>
            <w:r>
              <w:rPr>
                <w:rFonts w:ascii="Arial" w:cs="Arial" w:eastAsia="Arial" w:hAnsi="Arial"/>
                <w:color w:val="1A1A1A"/>
                <w:sz w:val="22"/>
                <w:szCs w:val="22"/>
              </w:rPr>
              <w:t xml:space="preserve">Normal aging slows processing. It does not erode identity, relationships, or functional independence. When changes begin touching those domains, the conversation should shift from “monitor” to “evaluate.”</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https://www.arcadiahomecare.ca/resources/dementia-memory-care/normal-aging-vs-dementia/?utm_source=linkedin&amp;utm_medium=social&amp;utm_campaign=normal-aging-vs-dementia</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Normal aging does not rob a person of their identity, relationships, or ability to function independently.</w:t>
            </w:r>
          </w:p>
          <w:p>
            <w:pPr>
              <w:spacing w:after="60" w:before="0"/>
            </w:pPr>
            <w:r>
              <w:t xml:space="preserve"/>
            </w:r>
          </w:p>
          <w:p>
            <w:pPr>
              <w:spacing w:after="60" w:before="60"/>
            </w:pPr>
            <w:r>
              <w:rPr>
                <w:rFonts w:ascii="Arial" w:cs="Arial" w:eastAsia="Arial" w:hAnsi="Arial"/>
                <w:color w:val="1A1A1A"/>
                <w:sz w:val="22"/>
                <w:szCs w:val="22"/>
              </w:rPr>
              <w:t xml:space="preserve">When changes touch those things — the question changes.</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pStyle w:val="Heading3"/>
        <w:spacing w:after="100" w:before="240"/>
      </w:pPr>
      <w:r>
        <w:rPr>
          <w:rFonts w:ascii="Arial" w:cs="Arial" w:eastAsia="Arial" w:hAnsi="Arial"/>
          <w:b/>
          <w:bCs/>
          <w:color w:val="1A1A1A"/>
          <w:sz w:val="24"/>
          <w:szCs w:val="24"/>
        </w:rPr>
        <w:t xml:space="preserve">Reframe 3 — alternate</w:t>
      </w:r>
    </w:p>
    <w:p>
      <w:pPr>
        <w:spacing w:after="40" w:before="120"/>
        <w:jc w:val="left"/>
      </w:pPr>
      <w:r>
        <w:rPr>
          <w:rFonts w:ascii="Arial" w:cs="Arial" w:eastAsia="Arial" w:hAnsi="Arial"/>
          <w:b/>
          <w:bCs/>
          <w:i w:val="false"/>
          <w:iCs w:val="false"/>
          <w:color w:val="1A1A1A"/>
          <w:sz w:val="22"/>
          <w:szCs w:val="22"/>
        </w:rPr>
        <w:t xml:space="preserve">Facebook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question is not whether your parent forgot something.</w:t>
            </w:r>
          </w:p>
          <w:p>
            <w:pPr>
              <w:spacing w:after="60" w:before="0"/>
            </w:pPr>
            <w:r>
              <w:t xml:space="preserve"/>
            </w:r>
          </w:p>
          <w:p>
            <w:pPr>
              <w:spacing w:after="60" w:before="60"/>
            </w:pPr>
            <w:r>
              <w:rPr>
                <w:rFonts w:ascii="Arial" w:cs="Arial" w:eastAsia="Arial" w:hAnsi="Arial"/>
                <w:color w:val="1A1A1A"/>
                <w:sz w:val="22"/>
                <w:szCs w:val="22"/>
              </w:rPr>
              <w:t xml:space="preserve">The question is whether forgetting is starting to change how they live. That is the line that matters.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https://www.arcadiahomecare.ca/resources/dementia-memory-care/normal-aging-vs-dementia/?utm_source=facebook&amp;utm_medium=social&amp;utm_campaign=normal-aging-vs-dementia</w:t>
            </w:r>
          </w:p>
        </w:tc>
      </w:tr>
    </w:tbl>
    <w:p>
      <w:pPr>
        <w:spacing w:after="40" w:before="120"/>
        <w:jc w:val="left"/>
      </w:pPr>
      <w:r>
        <w:rPr>
          <w:rFonts w:ascii="Arial" w:cs="Arial" w:eastAsia="Arial" w:hAnsi="Arial"/>
          <w:b/>
          <w:bCs/>
          <w:i w:val="false"/>
          <w:iCs w:val="false"/>
          <w:color w:val="1A1A1A"/>
          <w:sz w:val="22"/>
          <w:szCs w:val="22"/>
        </w:rPr>
        <w:t xml:space="preserve">LinkedIn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threshold that matters for families distinguishing aging from something more:</w:t>
            </w:r>
          </w:p>
          <w:p>
            <w:pPr>
              <w:spacing w:after="60" w:before="0"/>
            </w:pPr>
            <w:r>
              <w:t xml:space="preserve"/>
            </w:r>
          </w:p>
          <w:p>
            <w:pPr>
              <w:spacing w:after="60" w:before="60"/>
            </w:pPr>
            <w:r>
              <w:rPr>
                <w:rFonts w:ascii="Arial" w:cs="Arial" w:eastAsia="Arial" w:hAnsi="Arial"/>
                <w:color w:val="1A1A1A"/>
                <w:sz w:val="22"/>
                <w:szCs w:val="22"/>
              </w:rPr>
              <w:t xml:space="preserve">Not the existence of forgetting. The functional consequence of it. Forgetting that does not change daily life is aging. Forgetting that begins changing how someone lives is the threshold to take seriously.</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https://www.arcadiahomecare.ca/resources/dementia-memory-care/normal-aging-vs-dementia/?utm_source=linkedin&amp;utm_medium=social&amp;utm_campaign=normal-aging-vs-dementia</w:t>
            </w:r>
          </w:p>
        </w:tc>
      </w:tr>
    </w:tbl>
    <w:p>
      <w:pPr>
        <w:spacing w:after="40" w:before="120"/>
        <w:jc w:val="left"/>
      </w:pPr>
      <w:r>
        <w:rPr>
          <w:rFonts w:ascii="Arial" w:cs="Arial" w:eastAsia="Arial" w:hAnsi="Arial"/>
          <w:b/>
          <w:bCs/>
          <w:i w:val="false"/>
          <w:iCs w:val="false"/>
          <w:color w:val="1A1A1A"/>
          <w:sz w:val="22"/>
          <w:szCs w:val="22"/>
        </w:rPr>
        <w:t xml:space="preserve">Instagram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The question is not whether your parent forgot something.</w:t>
            </w:r>
          </w:p>
          <w:p>
            <w:pPr>
              <w:spacing w:after="60" w:before="0"/>
            </w:pPr>
            <w:r>
              <w:t xml:space="preserve"/>
            </w:r>
          </w:p>
          <w:p>
            <w:pPr>
              <w:spacing w:after="60" w:before="60"/>
            </w:pPr>
            <w:r>
              <w:rPr>
                <w:rFonts w:ascii="Arial" w:cs="Arial" w:eastAsia="Arial" w:hAnsi="Arial"/>
                <w:color w:val="1A1A1A"/>
                <w:sz w:val="22"/>
                <w:szCs w:val="22"/>
              </w:rPr>
              <w:t xml:space="preserve">It is whether forgetting is changing how they live.</w:t>
            </w:r>
          </w:p>
          <w:p>
            <w:pPr>
              <w:spacing w:after="60" w:before="0"/>
            </w:pPr>
            <w:r>
              <w:t xml:space="preserve"/>
            </w:r>
          </w:p>
          <w:p>
            <w:pPr>
              <w:spacing w:after="60" w:before="60"/>
            </w:pPr>
            <w:r>
              <w:rPr>
                <w:rFonts w:ascii="Arial" w:cs="Arial" w:eastAsia="Arial" w:hAnsi="Arial"/>
                <w:color w:val="1A1A1A"/>
                <w:sz w:val="22"/>
                <w:szCs w:val="22"/>
              </w:rPr>
              <w:t xml:space="preserve">Link in bio.</w:t>
            </w:r>
          </w:p>
        </w:tc>
      </w:tr>
    </w:tbl>
    <w:p>
      <w:pPr>
        <w:spacing w:after="60" w:before="60"/>
        <w:jc w:val="left"/>
      </w:pPr>
      <w:r>
        <w:rPr>
          <w:rFonts w:ascii="Arial" w:cs="Arial" w:eastAsia="Arial" w:hAnsi="Arial"/>
          <w:b w:val="false"/>
          <w:bCs w:val="false"/>
          <w:i/>
          <w:iCs/>
          <w:color w:val="1A1A1A"/>
          <w:sz w:val="22"/>
          <w:szCs w:val="22"/>
        </w:rPr>
        <w:t xml:space="preserve">Use Reframe 1 for the primary A2 post. Keep alternates in reserve for resurfacing in Month 2, for stand-alone Story / D1 posts, or for cross-promotion threads under the original.</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Facebook / LinkedIn  │  1200 × 630 px  │  Text-dominant</w:t>
      </w:r>
    </w:p>
    <w:p>
      <w:pPr>
        <w:spacing w:after="60" w:before="60"/>
        <w:jc w:val="left"/>
      </w:pPr>
      <w:r>
        <w:rPr>
          <w:rFonts w:ascii="Arial" w:cs="Arial" w:eastAsia="Arial" w:hAnsi="Arial"/>
          <w:b w:val="false"/>
          <w:bCs w:val="false"/>
          <w:i w:val="false"/>
          <w:iCs w:val="false"/>
          <w:color w:val="1A1A1A"/>
          <w:sz w:val="22"/>
          <w:szCs w:val="22"/>
        </w:rPr>
        <w:t xml:space="preserve">White or off-white background. No photography. Reframe in large serif font, left-aligned. Red accent on the key phrase. Thin red horizontal rule above the Arcadia logo at bottom. Optional small caps top left: cluster name.</w:t>
      </w:r>
    </w:p>
    <w:p>
      <w:pPr>
        <w:spacing w:after="80" w:before="80"/>
      </w:pPr>
      <w:r>
        <w:t xml:space="preserve"/>
      </w:r>
    </w:p>
    <w:p>
      <w:pPr>
        <w:spacing w:after="60" w:before="60"/>
        <w:jc w:val="left"/>
      </w:pPr>
      <w:r>
        <w:rPr>
          <w:rFonts w:ascii="Arial" w:cs="Arial" w:eastAsia="Arial" w:hAnsi="Arial"/>
          <w:b/>
          <w:bCs/>
          <w:i w:val="false"/>
          <w:iCs w:val="false"/>
          <w:color w:val="1A1A1A"/>
          <w:sz w:val="22"/>
          <w:szCs w:val="22"/>
        </w:rPr>
        <w:t xml:space="preserve">Instagram  │  1080 × 1080 px  │  Quote card</w:t>
      </w:r>
    </w:p>
    <w:p>
      <w:pPr>
        <w:spacing w:after="60" w:before="60"/>
        <w:jc w:val="left"/>
      </w:pPr>
      <w:r>
        <w:rPr>
          <w:rFonts w:ascii="Arial" w:cs="Arial" w:eastAsia="Arial" w:hAnsi="Arial"/>
          <w:b w:val="false"/>
          <w:bCs w:val="false"/>
          <w:i w:val="false"/>
          <w:iCs w:val="false"/>
          <w:color w:val="1A1A1A"/>
          <w:sz w:val="22"/>
          <w:szCs w:val="22"/>
        </w:rPr>
        <w:t xml:space="preserve">Off-white background, large serif quote, red accent on key phrase. Arcadia wordmark bottom centre. Subtle botanical element in corner if desired.</w:t>
      </w:r>
    </w:p>
    <w:p>
      <w:r>
        <w:br w:type="page"/>
      </w:r>
    </w:p>
    <w:p>
      <w:pPr>
        <w:pStyle w:val="Heading1"/>
        <w:spacing w:after="180" w:before="360"/>
      </w:pPr>
      <w:r>
        <w:rPr>
          <w:rFonts w:ascii="Arial" w:cs="Arial" w:eastAsia="Arial" w:hAnsi="Arial"/>
          <w:b/>
          <w:bCs/>
          <w:color w:val="1A1A1A"/>
          <w:sz w:val="36"/>
          <w:szCs w:val="36"/>
        </w:rPr>
        <w:t xml:space="preserve">A3 — Share-Prompt Post</w:t>
      </w:r>
    </w:p>
    <w:p>
      <w:pPr>
        <w:spacing w:after="80" w:before="200"/>
      </w:pPr>
      <w:r>
        <w:rPr>
          <w:rFonts w:ascii="Arial" w:cs="Arial" w:eastAsia="Arial" w:hAnsi="Arial"/>
          <w:b/>
          <w:bCs/>
          <w:color w:val="CC1A1A"/>
          <w:spacing w:val="30"/>
          <w:sz w:val="18"/>
          <w:szCs w:val="18"/>
        </w:rPr>
        <w:t xml:space="preserve">DAY 5–7  ·  FACEBOOK</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Designed to generate forwards and sibling shares. Highest-value social outcome. Name a specific person in her life. Invite her to send it.</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5–7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Facebook</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8:00 – 9:30 AM or 8:00 – 10:30 PM — highest share rates</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Skip unless the article has clear professional referral relevance</w:t>
            </w:r>
          </w:p>
        </w:tc>
      </w:tr>
    </w:tbl>
    <w:p>
      <w:pPr>
        <w:pStyle w:val="Heading3"/>
        <w:spacing w:after="100" w:before="240"/>
      </w:pPr>
      <w:r>
        <w:rPr>
          <w:rFonts w:ascii="Arial" w:cs="Arial" w:eastAsia="Arial" w:hAnsi="Arial"/>
          <w:b/>
          <w:bCs/>
          <w:color w:val="1A1A1A"/>
          <w:sz w:val="24"/>
          <w:szCs w:val="24"/>
        </w:rPr>
        <w:t xml:space="preserve">Caption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you have been worrying about a parent’s memory and a sibling has been telling you you’re overthinking it — send them this.</w:t>
            </w:r>
          </w:p>
          <w:p>
            <w:pPr>
              <w:spacing w:after="60" w:before="0"/>
            </w:pPr>
            <w:r>
              <w:t xml:space="preserve"/>
            </w:r>
          </w:p>
          <w:p>
            <w:pPr>
              <w:spacing w:after="60" w:before="60"/>
            </w:pPr>
            <w:r>
              <w:rPr>
                <w:rFonts w:ascii="Arial" w:cs="Arial" w:eastAsia="Arial" w:hAnsi="Arial"/>
                <w:color w:val="1A1A1A"/>
                <w:sz w:val="22"/>
                <w:szCs w:val="22"/>
              </w:rPr>
              <w:t xml:space="preserve">It is not a diagnosis. It is the calm, evidence-based comparison neither of you has had access to yet.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https://www.arcadiahomecare.ca/resources/dementia-memory-care/normal-aging-vs-dementia/?utm_source=facebook&amp;utm_medium=social&amp;utm_campaign=normal-aging-vs-dementia</w:t>
            </w:r>
          </w:p>
        </w:tc>
      </w:tr>
    </w:tbl>
    <w:p>
      <w:pPr>
        <w:pStyle w:val="Heading3"/>
        <w:spacing w:after="100" w:before="240"/>
      </w:pPr>
      <w:r>
        <w:rPr>
          <w:rFonts w:ascii="Arial" w:cs="Arial" w:eastAsia="Arial" w:hAnsi="Arial"/>
          <w:b/>
          <w:bCs/>
          <w:color w:val="1A1A1A"/>
          <w:sz w:val="24"/>
          <w:szCs w:val="24"/>
        </w:rPr>
        <w:t xml:space="preserve">Alternative — share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If a friend has been quietly worrying about her parent and ending every sentence with “I’m probably overreacting” — send her this.</w:t>
            </w:r>
          </w:p>
          <w:p>
            <w:pPr>
              <w:spacing w:after="60" w:before="0"/>
            </w:pPr>
            <w:r>
              <w:t xml:space="preserve"/>
            </w:r>
          </w:p>
          <w:p>
            <w:pPr>
              <w:spacing w:after="60" w:before="60"/>
            </w:pPr>
            <w:r>
              <w:rPr>
                <w:rFonts w:ascii="Arial" w:cs="Arial" w:eastAsia="Arial" w:hAnsi="Arial"/>
                <w:color w:val="1A1A1A"/>
                <w:sz w:val="22"/>
                <w:szCs w:val="22"/>
              </w:rPr>
              <w:t xml:space="preserve">She is not.</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https://www.arcadiahomecare.ca/resources/dementia-memory-care/normal-aging-vs-dementia/?utm_source=facebook&amp;utm_medium=social&amp;utm_campaign=normal-aging-vs-dementia</w:t>
            </w:r>
          </w:p>
        </w:tc>
      </w:tr>
    </w:tbl>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All platforms  │  Same image as A1</w:t>
      </w:r>
    </w:p>
    <w:p>
      <w:pPr>
        <w:spacing w:after="60" w:before="60"/>
        <w:jc w:val="left"/>
      </w:pPr>
      <w:r>
        <w:rPr>
          <w:rFonts w:ascii="Arial" w:cs="Arial" w:eastAsia="Arial" w:hAnsi="Arial"/>
          <w:b w:val="false"/>
          <w:bCs w:val="false"/>
          <w:i w:val="false"/>
          <w:iCs w:val="false"/>
          <w:color w:val="1A1A1A"/>
          <w:sz w:val="22"/>
          <w:szCs w:val="22"/>
        </w:rPr>
        <w:t xml:space="preserve">Reuse the article’s primary share image. No new image required. The caption is what changes the entry point.</w:t>
      </w:r>
    </w:p>
    <w:p>
      <w:r>
        <w:br w:type="page"/>
      </w:r>
    </w:p>
    <w:p>
      <w:pPr>
        <w:pStyle w:val="Heading1"/>
        <w:spacing w:after="180" w:before="360"/>
      </w:pPr>
      <w:r>
        <w:rPr>
          <w:rFonts w:ascii="Arial" w:cs="Arial" w:eastAsia="Arial" w:hAnsi="Arial"/>
          <w:b/>
          <w:bCs/>
          <w:color w:val="1A1A1A"/>
          <w:sz w:val="36"/>
          <w:szCs w:val="36"/>
        </w:rPr>
        <w:t xml:space="preserve">A4 — Quiet Authority Post</w:t>
      </w:r>
    </w:p>
    <w:p>
      <w:pPr>
        <w:spacing w:after="80" w:before="200"/>
      </w:pPr>
      <w:r>
        <w:rPr>
          <w:rFonts w:ascii="Arial" w:cs="Arial" w:eastAsia="Arial" w:hAnsi="Arial"/>
          <w:b/>
          <w:bCs/>
          <w:color w:val="CC1A1A"/>
          <w:spacing w:val="30"/>
          <w:sz w:val="18"/>
          <w:szCs w:val="18"/>
        </w:rPr>
        <w:t xml:space="preserve">DAY 10–14  ·  LINKEDIN PRIMARY</w:t>
      </w:r>
    </w:p>
    <w:p>
      <w:pPr>
        <w:pStyle w:val="Heading3"/>
        <w:spacing w:after="100" w:before="240"/>
      </w:pPr>
      <w:r>
        <w:rPr>
          <w:rFonts w:ascii="Arial" w:cs="Arial" w:eastAsia="Arial" w:hAnsi="Arial"/>
          <w:b/>
          <w:bCs/>
          <w:color w:val="1A1A1A"/>
          <w:sz w:val="24"/>
          <w:szCs w:val="24"/>
        </w:rPr>
        <w:t xml:space="preserve">Framework</w:t>
      </w:r>
    </w:p>
    <w:p>
      <w:pPr>
        <w:spacing w:after="60" w:before="60"/>
        <w:jc w:val="left"/>
      </w:pPr>
      <w:r>
        <w:rPr>
          <w:rFonts w:ascii="Arial" w:cs="Arial" w:eastAsia="Arial" w:hAnsi="Arial"/>
          <w:b w:val="false"/>
          <w:bCs w:val="false"/>
          <w:i w:val="false"/>
          <w:iCs w:val="false"/>
          <w:color w:val="1A1A1A"/>
          <w:sz w:val="22"/>
          <w:szCs w:val="22"/>
        </w:rPr>
        <w:t xml:space="preserve">Position Arcadia’s expertise without selling. An observation from experience. The link is optional. This post builds brand trust — it does not drive clicks.</w:t>
      </w:r>
    </w:p>
    <w:p>
      <w:pPr>
        <w:pStyle w:val="Heading3"/>
        <w:spacing w:after="100" w:before="240"/>
      </w:pPr>
      <w:r>
        <w:rPr>
          <w:rFonts w:ascii="Arial" w:cs="Arial" w:eastAsia="Arial" w:hAnsi="Arial"/>
          <w:b/>
          <w:bCs/>
          <w:color w:val="1A1A1A"/>
          <w:sz w:val="24"/>
          <w:szCs w:val="24"/>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Publish on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Day 10–14 after publication</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LinkedIn</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7:30 – 9:00 AM Tuesday or Wednesday — highest professional read rate</w:t>
            </w:r>
          </w:p>
        </w:tc>
      </w:tr>
      <w:tr>
        <w:tc>
          <w:tcPr>
            <w:tcW w:type="dxa" w:w="2880"/>
            <w:tcBorders>
              <w:top w:val="single" w:color="CCCCCC" w:sz="4"/>
              <w:left w:val="single" w:color="CCCCCC" w:sz="4"/>
              <w:bottom w:val="single" w:color="CCCCCC" w:sz="4"/>
              <w:right w:val="single" w:color="CCCCCC" w:sz="4"/>
            </w:tcBorders>
            <w:shd w:fill="FAF7F3" w:val="clear"/>
            <w:tcMar>
              <w:top w:type="dxa" w:w="100"/>
              <w:left w:type="dxa" w:w="140"/>
              <w:bottom w:type="dxa" w:w="100"/>
              <w:right w:type="dxa" w:w="140"/>
            </w:tcMar>
            <w:vAlign w:val="top"/>
          </w:tcPr>
          <w:p>
            <w:r>
              <w:rPr>
                <w:rFonts w:ascii="Arial" w:cs="Arial" w:eastAsia="Arial" w:hAnsi="Arial"/>
                <w:b/>
                <w:bCs/>
                <w:color w:val="CC1A1A"/>
                <w:sz w:val="20"/>
                <w:szCs w:val="20"/>
              </w:rPr>
              <w:t xml:space="preserve">Instagram</w:t>
            </w:r>
          </w:p>
        </w:tc>
        <w:tc>
          <w:tcPr>
            <w:tcW w:type="dxa" w:w="6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r>
              <w:rPr>
                <w:rFonts w:ascii="Arial" w:cs="Arial" w:eastAsia="Arial" w:hAnsi="Arial"/>
                <w:i w:val="false"/>
                <w:iCs w:val="false"/>
                <w:color w:val="1A1A1A"/>
                <w:sz w:val="22"/>
                <w:szCs w:val="22"/>
              </w:rPr>
              <w:t xml:space="preserve">7:00 – 8:00 PM — secondary</w:t>
            </w:r>
          </w:p>
        </w:tc>
      </w:tr>
    </w:tbl>
    <w:p>
      <w:pPr>
        <w:pStyle w:val="Heading3"/>
        <w:spacing w:after="100" w:before="240"/>
      </w:pPr>
      <w:r>
        <w:rPr>
          <w:rFonts w:ascii="Arial" w:cs="Arial" w:eastAsia="Arial" w:hAnsi="Arial"/>
          <w:b/>
          <w:bCs/>
          <w:color w:val="1A1A1A"/>
          <w:sz w:val="24"/>
          <w:szCs w:val="24"/>
        </w:rPr>
        <w:t xml:space="preserve">LinkedIn caption — for the professional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In our work with families across the GTA, one of the most useful things we can offer is not a clinical opinion.</w:t>
            </w:r>
          </w:p>
          <w:p>
            <w:pPr>
              <w:spacing w:after="60" w:before="0"/>
            </w:pPr>
            <w:r>
              <w:t xml:space="preserve"/>
            </w:r>
          </w:p>
          <w:p>
            <w:pPr>
              <w:spacing w:after="60" w:before="60"/>
            </w:pPr>
            <w:r>
              <w:rPr>
                <w:rFonts w:ascii="Arial" w:cs="Arial" w:eastAsia="Arial" w:hAnsi="Arial"/>
                <w:color w:val="1A1A1A"/>
                <w:sz w:val="22"/>
                <w:szCs w:val="22"/>
              </w:rPr>
              <w:t xml:space="preserve">It is a clear distinction between normal cognitive aging and the changes that warrant a deeper conversation. Most families have been silently sorting through that question on their own for months before they call.</w:t>
            </w:r>
          </w:p>
          <w:p>
            <w:pPr>
              <w:spacing w:after="60" w:before="0"/>
            </w:pPr>
            <w:r>
              <w:t xml:space="preserve"/>
            </w:r>
          </w:p>
          <w:p>
            <w:pPr>
              <w:spacing w:after="60" w:before="60"/>
            </w:pPr>
            <w:r>
              <w:rPr>
                <w:rFonts w:ascii="Arial" w:cs="Arial" w:eastAsia="Arial" w:hAnsi="Arial"/>
                <w:color w:val="1A1A1A"/>
                <w:sz w:val="22"/>
                <w:szCs w:val="22"/>
              </w:rPr>
              <w:t xml:space="preserve">Naming the difference takes the emotional weight off the family’s shoulders. The framework is not theirs to invent. It exists. Sharing it is often the first relief they have had in a long time.</w:t>
            </w:r>
          </w:p>
          <w:p>
            <w:pPr>
              <w:spacing w:after="60" w:before="0"/>
            </w:pPr>
            <w:r>
              <w:t xml:space="preserve"/>
            </w:r>
          </w:p>
          <w:p>
            <w:pPr>
              <w:spacing w:after="60" w:before="60"/>
            </w:pPr>
            <w:r>
              <w:rPr>
                <w:rFonts w:ascii="Arial" w:cs="Arial" w:eastAsia="Arial" w:hAnsi="Arial"/>
                <w:color w:val="1A1A1A"/>
                <w:sz w:val="22"/>
                <w:szCs w:val="22"/>
              </w:rPr>
              <w:t xml:space="preserve">For family physicians, social workers, and discharge planners.</w:t>
            </w:r>
          </w:p>
          <w:p>
            <w:pPr>
              <w:spacing w:after="60" w:before="0"/>
            </w:pPr>
            <w:r>
              <w:t xml:space="preserve"/>
            </w:r>
          </w:p>
          <w:p>
            <w:pPr>
              <w:spacing w:after="60" w:before="60"/>
            </w:pPr>
            <w:r>
              <w:rPr>
                <w:rFonts w:ascii="Arial" w:cs="Arial" w:eastAsia="Arial" w:hAnsi="Arial"/>
                <w:color w:val="1A1A1A"/>
                <w:sz w:val="22"/>
                <w:szCs w:val="22"/>
              </w:rPr>
              <w:t xml:space="preserve">https://www.arcadiahomecare.ca/resources/dementia-memory-care/normal-aging-vs-dementia/?utm_source=linkedin&amp;utm_medium=social&amp;utm_campaign=normal-aging-vs-dementia</w:t>
            </w:r>
          </w:p>
        </w:tc>
      </w:tr>
    </w:tbl>
    <w:p>
      <w:pPr>
        <w:pStyle w:val="Heading3"/>
        <w:spacing w:after="100" w:before="240"/>
      </w:pPr>
      <w:r>
        <w:rPr>
          <w:rFonts w:ascii="Arial" w:cs="Arial" w:eastAsia="Arial" w:hAnsi="Arial"/>
          <w:b/>
          <w:bCs/>
          <w:color w:val="1A1A1A"/>
          <w:sz w:val="24"/>
          <w:szCs w:val="24"/>
        </w:rPr>
        <w:t xml:space="preserve">Alternative — link-optional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A1A" w:sz="12"/>
              <w:left w:val="single" w:color="CCCCCC" w:sz="4"/>
              <w:bottom w:val="single" w:color="CCCCCC" w:sz="4"/>
              <w:right w:val="single" w:color="CCCCCC" w:sz="4"/>
            </w:tcBorders>
            <w:shd w:fill="F5F0EB" w:val="clear"/>
            <w:tcMar>
              <w:top w:type="dxa" w:w="200"/>
              <w:left w:type="dxa" w:w="240"/>
              <w:bottom w:type="dxa" w:w="200"/>
              <w:right w:type="dxa" w:w="240"/>
            </w:tcMar>
          </w:tcPr>
          <w:p>
            <w:pPr>
              <w:spacing w:after="60" w:before="60"/>
            </w:pPr>
            <w:r>
              <w:rPr>
                <w:rFonts w:ascii="Arial" w:cs="Arial" w:eastAsia="Arial" w:hAnsi="Arial"/>
                <w:color w:val="1A1A1A"/>
                <w:sz w:val="22"/>
                <w:szCs w:val="22"/>
              </w:rPr>
              <w:t xml:space="preserve">What we hear most often from families before a memory assessment:</w:t>
            </w:r>
          </w:p>
          <w:p>
            <w:pPr>
              <w:spacing w:after="60" w:before="0"/>
            </w:pPr>
            <w:r>
              <w:t xml:space="preserve"/>
            </w:r>
          </w:p>
          <w:p>
            <w:pPr>
              <w:spacing w:after="60" w:before="60"/>
            </w:pPr>
            <w:r>
              <w:rPr>
                <w:rFonts w:ascii="Arial" w:cs="Arial" w:eastAsia="Arial" w:hAnsi="Arial"/>
                <w:color w:val="1A1A1A"/>
                <w:sz w:val="22"/>
                <w:szCs w:val="22"/>
              </w:rPr>
              <w:t xml:space="preserve">“We just want to know if we should be worried.”</w:t>
            </w:r>
          </w:p>
          <w:p>
            <w:pPr>
              <w:spacing w:after="60" w:before="0"/>
            </w:pPr>
            <w:r>
              <w:t xml:space="preserve"/>
            </w:r>
          </w:p>
          <w:p>
            <w:pPr>
              <w:spacing w:after="60" w:before="60"/>
            </w:pPr>
            <w:r>
              <w:rPr>
                <w:rFonts w:ascii="Arial" w:cs="Arial" w:eastAsia="Arial" w:hAnsi="Arial"/>
                <w:color w:val="1A1A1A"/>
                <w:sz w:val="22"/>
                <w:szCs w:val="22"/>
              </w:rPr>
              <w:t xml:space="preserve">Most of the time, the worry is reasonable. The information families need is not whether something is definitely wrong — it is what is normal, what is not, and where the line sits between them. Once they have the framework, the next steps tend to clarify themselves.</w:t>
            </w:r>
          </w:p>
        </w:tc>
      </w:tr>
    </w:tbl>
    <w:p>
      <w:pPr>
        <w:spacing w:after="60" w:before="60"/>
        <w:jc w:val="left"/>
      </w:pPr>
      <w:r>
        <w:rPr>
          <w:rFonts w:ascii="Arial" w:cs="Arial" w:eastAsia="Arial" w:hAnsi="Arial"/>
          <w:b w:val="false"/>
          <w:bCs w:val="false"/>
          <w:i/>
          <w:iCs/>
          <w:color w:val="1A1A1A"/>
          <w:sz w:val="22"/>
          <w:szCs w:val="22"/>
        </w:rPr>
        <w:t xml:space="preserve">Use the alternative when the article is already performing well organically and the goal of A4 is brand trust rather than additional clicks.</w:t>
      </w:r>
    </w:p>
    <w:p>
      <w:pPr>
        <w:pStyle w:val="Heading3"/>
        <w:spacing w:after="100" w:before="240"/>
      </w:pPr>
      <w:r>
        <w:rPr>
          <w:rFonts w:ascii="Arial" w:cs="Arial" w:eastAsia="Arial" w:hAnsi="Arial"/>
          <w:b/>
          <w:bCs/>
          <w:color w:val="1A1A1A"/>
          <w:sz w:val="24"/>
          <w:szCs w:val="24"/>
        </w:rPr>
        <w:t xml:space="preserve">Visual direction</w:t>
      </w:r>
    </w:p>
    <w:p>
      <w:pPr>
        <w:spacing w:after="60" w:before="60"/>
        <w:jc w:val="left"/>
      </w:pPr>
      <w:r>
        <w:rPr>
          <w:rFonts w:ascii="Arial" w:cs="Arial" w:eastAsia="Arial" w:hAnsi="Arial"/>
          <w:b/>
          <w:bCs/>
          <w:i w:val="false"/>
          <w:iCs w:val="false"/>
          <w:color w:val="1A1A1A"/>
          <w:sz w:val="22"/>
          <w:szCs w:val="22"/>
        </w:rPr>
        <w:t xml:space="preserve">LinkedIn  │  1200 × 628 px  │  Minimal text-on-brand-background</w:t>
      </w:r>
    </w:p>
    <w:p>
      <w:pPr>
        <w:spacing w:after="60" w:before="60"/>
        <w:jc w:val="left"/>
      </w:pPr>
      <w:r>
        <w:rPr>
          <w:rFonts w:ascii="Arial" w:cs="Arial" w:eastAsia="Arial" w:hAnsi="Arial"/>
          <w:b w:val="false"/>
          <w:bCs w:val="false"/>
          <w:i w:val="false"/>
          <w:iCs w:val="false"/>
          <w:color w:val="1A1A1A"/>
          <w:sz w:val="22"/>
          <w:szCs w:val="22"/>
        </w:rPr>
        <w:t xml:space="preserve">Off-white or white background. First sentence of observation in serif font, left-aligned. No photography. Large red “a” logomark right-aligned, 50% fill of height. Wordmark bottom left.</w:t>
      </w:r>
    </w:p>
    <w:p>
      <w:r>
        <w:br w:type="page"/>
      </w:r>
    </w:p>
    <w:p>
      <w:pPr>
        <w:pStyle w:val="Heading1"/>
        <w:spacing w:after="180" w:before="360"/>
      </w:pPr>
      <w:r>
        <w:rPr>
          <w:rFonts w:ascii="Arial" w:cs="Arial" w:eastAsia="Arial" w:hAnsi="Arial"/>
          <w:b/>
          <w:bCs/>
          <w:color w:val="1A1A1A"/>
          <w:sz w:val="36"/>
          <w:szCs w:val="36"/>
        </w:rPr>
        <w:t xml:space="preserve">14-Day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980"/>
        <w:gridCol w:w="1620"/>
      </w:tblGrid>
      <w:tr>
        <w:trPr>
          <w:tblHeader/>
        </w:trPr>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44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Post</w:t>
            </w:r>
          </w:p>
        </w:tc>
        <w:tc>
          <w:tcPr>
            <w:tcW w:type="dxa" w:w="28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98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Time (ET)</w:t>
            </w:r>
          </w:p>
        </w:tc>
        <w:tc>
          <w:tcPr>
            <w:tcW w:type="dxa" w:w="1620"/>
            <w:tcBorders>
              <w:top w:val="single" w:color="CCCCCC" w:sz="4"/>
              <w:left w:val="single" w:color="CCCCCC" w:sz="4"/>
              <w:bottom w:val="single" w:color="CCCCCC" w:sz="4"/>
              <w:right w:val="single" w:color="CCCCCC" w:sz="4"/>
            </w:tcBorders>
            <w:shd w:fill="CC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A1 Recognition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 + LinkedIn + IG</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8–9:30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Name what she feels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2–3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A2 Reframe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Instagram + 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7–9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Deliver the insight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5–7</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A3 Share-Prompt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Facebook</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8 AM or 9:30 PM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Generate forwards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Day 10–14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A4 Quiet Authority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LinkedIn + Instagram</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7:30–9 AM</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Build brand trust</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Month 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Resurface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All platforms</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Per platform window</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rFonts w:ascii="Arial" w:cs="Arial" w:eastAsia="Arial" w:hAnsi="Arial"/>
                <w:color w:val="1A1A1A"/>
                <w:sz w:val="20"/>
                <w:szCs w:val="20"/>
              </w:rPr>
              <w:t xml:space="preserve">Reuse top performer</w:t>
            </w:r>
          </w:p>
        </w:tc>
      </w:tr>
    </w:tbl>
    <w:p>
      <w:pPr>
        <w:spacing w:after="80" w:before="80"/>
      </w:pPr>
      <w:r>
        <w:t xml:space="preserve"/>
      </w:r>
    </w:p>
    <w:p>
      <w:pPr>
        <w:pStyle w:val="Heading2"/>
        <w:spacing w:after="140" w:before="280"/>
      </w:pPr>
      <w:r>
        <w:rPr>
          <w:rFonts w:ascii="Arial" w:cs="Arial" w:eastAsia="Arial" w:hAnsi="Arial"/>
          <w:b/>
          <w:bCs/>
          <w:color w:val="CC1A1A"/>
          <w:sz w:val="28"/>
          <w:szCs w:val="28"/>
        </w:rPr>
        <w:t xml:space="preserve">Performance Metrics That Matter</w:t>
      </w:r>
    </w:p>
    <w:p>
      <w:pPr>
        <w:spacing w:after="60" w:before="60"/>
        <w:jc w:val="left"/>
      </w:pPr>
      <w:r>
        <w:rPr>
          <w:rFonts w:ascii="Arial" w:cs="Arial" w:eastAsia="Arial" w:hAnsi="Arial"/>
          <w:b w:val="false"/>
          <w:bCs w:val="false"/>
          <w:i/>
          <w:iCs/>
          <w:color w:val="1A1A1A"/>
          <w:sz w:val="22"/>
          <w:szCs w:val="22"/>
        </w:rPr>
        <w:t xml:space="preserve">Track these signals across the 14-day window. Do not optimize for follower count, raw reach, or likes in isolation — these correlate poorly with conversion for Arcadia’s audience.</w:t>
      </w:r>
    </w:p>
    <w:p>
      <w:pPr>
        <w:spacing w:after="60" w:before="100"/>
        <w:jc w:val="left"/>
      </w:pPr>
      <w:r>
        <w:rPr>
          <w:rFonts w:ascii="Arial" w:cs="Arial" w:eastAsia="Arial" w:hAnsi="Arial"/>
          <w:b/>
          <w:bCs/>
          <w:i w:val="false"/>
          <w:iCs w:val="false"/>
          <w:color w:val="1A1A1A"/>
          <w:sz w:val="22"/>
          <w:szCs w:val="22"/>
        </w:rPr>
        <w:t xml:space="preserve">Shares and forwards</w:t>
      </w:r>
    </w:p>
    <w:p>
      <w:pPr>
        <w:spacing w:after="100" w:before="60"/>
        <w:jc w:val="left"/>
      </w:pPr>
      <w:r>
        <w:rPr>
          <w:rFonts w:ascii="Arial" w:cs="Arial" w:eastAsia="Arial" w:hAnsi="Arial"/>
          <w:b w:val="false"/>
          <w:bCs w:val="false"/>
          <w:i w:val="false"/>
          <w:iCs w:val="false"/>
          <w:color w:val="1A1A1A"/>
          <w:sz w:val="22"/>
          <w:szCs w:val="22"/>
        </w:rPr>
        <w:t xml:space="preserve">The primary signal. An article with 10+ shares is a top performer.</w:t>
      </w:r>
    </w:p>
    <w:p>
      <w:pPr>
        <w:spacing w:after="60" w:before="100"/>
        <w:jc w:val="left"/>
      </w:pPr>
      <w:r>
        <w:rPr>
          <w:rFonts w:ascii="Arial" w:cs="Arial" w:eastAsia="Arial" w:hAnsi="Arial"/>
          <w:b/>
          <w:bCs/>
          <w:i w:val="false"/>
          <w:iCs w:val="false"/>
          <w:color w:val="1A1A1A"/>
          <w:sz w:val="22"/>
          <w:szCs w:val="22"/>
        </w:rPr>
        <w:t xml:space="preserve">Link clicks (UTM)</w:t>
      </w:r>
    </w:p>
    <w:p>
      <w:pPr>
        <w:spacing w:after="100" w:before="60"/>
        <w:jc w:val="left"/>
      </w:pPr>
      <w:r>
        <w:rPr>
          <w:rFonts w:ascii="Arial" w:cs="Arial" w:eastAsia="Arial" w:hAnsi="Arial"/>
          <w:b w:val="false"/>
          <w:bCs w:val="false"/>
          <w:i w:val="false"/>
          <w:iCs w:val="false"/>
          <w:color w:val="1A1A1A"/>
          <w:sz w:val="22"/>
          <w:szCs w:val="22"/>
        </w:rPr>
        <w:t xml:space="preserve">Tracked via the UTM parameters in section A0. One per platform per article.</w:t>
      </w:r>
    </w:p>
    <w:p>
      <w:pPr>
        <w:spacing w:after="60" w:before="100"/>
        <w:jc w:val="left"/>
      </w:pPr>
      <w:r>
        <w:rPr>
          <w:rFonts w:ascii="Arial" w:cs="Arial" w:eastAsia="Arial" w:hAnsi="Arial"/>
          <w:b/>
          <w:bCs/>
          <w:i w:val="false"/>
          <w:iCs w:val="false"/>
          <w:color w:val="1A1A1A"/>
          <w:sz w:val="22"/>
          <w:szCs w:val="22"/>
        </w:rPr>
        <w:t xml:space="preserve">Time on page</w:t>
      </w:r>
    </w:p>
    <w:p>
      <w:pPr>
        <w:spacing w:after="100" w:before="60"/>
        <w:jc w:val="left"/>
      </w:pPr>
      <w:r>
        <w:rPr>
          <w:rFonts w:ascii="Arial" w:cs="Arial" w:eastAsia="Arial" w:hAnsi="Arial"/>
          <w:b w:val="false"/>
          <w:bCs w:val="false"/>
          <w:i w:val="false"/>
          <w:iCs w:val="false"/>
          <w:color w:val="1A1A1A"/>
          <w:sz w:val="22"/>
          <w:szCs w:val="22"/>
        </w:rPr>
        <w:t xml:space="preserve">From social traffic — target 2+ minutes. Indicates trust, not curiosity.</w:t>
      </w:r>
    </w:p>
    <w:p>
      <w:pPr>
        <w:spacing w:after="60" w:before="100"/>
        <w:jc w:val="left"/>
      </w:pPr>
      <w:r>
        <w:rPr>
          <w:rFonts w:ascii="Arial" w:cs="Arial" w:eastAsia="Arial" w:hAnsi="Arial"/>
          <w:b/>
          <w:bCs/>
          <w:i w:val="false"/>
          <w:iCs w:val="false"/>
          <w:color w:val="1A1A1A"/>
          <w:sz w:val="22"/>
          <w:szCs w:val="22"/>
        </w:rPr>
        <w:t xml:space="preserve">Consultation bookings</w:t>
      </w:r>
    </w:p>
    <w:p>
      <w:pPr>
        <w:spacing w:after="100" w:before="60"/>
        <w:jc w:val="left"/>
      </w:pPr>
      <w:r>
        <w:rPr>
          <w:rFonts w:ascii="Arial" w:cs="Arial" w:eastAsia="Arial" w:hAnsi="Arial"/>
          <w:b w:val="false"/>
          <w:bCs w:val="false"/>
          <w:i w:val="false"/>
          <w:iCs w:val="false"/>
          <w:color w:val="1A1A1A"/>
          <w:sz w:val="22"/>
          <w:szCs w:val="22"/>
        </w:rPr>
        <w:t xml:space="preserve">Attributed to social UTM paths. The ultimate downstream metric.</w:t>
      </w:r>
    </w:p>
    <w:p>
      <w:pPr>
        <w:spacing w:after="60" w:before="100"/>
        <w:jc w:val="left"/>
      </w:pPr>
      <w:r>
        <w:rPr>
          <w:rFonts w:ascii="Arial" w:cs="Arial" w:eastAsia="Arial" w:hAnsi="Arial"/>
          <w:b/>
          <w:bCs/>
          <w:i w:val="false"/>
          <w:iCs w:val="false"/>
          <w:color w:val="1A1A1A"/>
          <w:sz w:val="22"/>
          <w:szCs w:val="22"/>
        </w:rPr>
        <w:t xml:space="preserve">Personal comments</w:t>
      </w:r>
    </w:p>
    <w:p>
      <w:pPr>
        <w:spacing w:after="100" w:before="60"/>
        <w:jc w:val="left"/>
      </w:pPr>
      <w:r>
        <w:rPr>
          <w:rFonts w:ascii="Arial" w:cs="Arial" w:eastAsia="Arial" w:hAnsi="Arial"/>
          <w:b w:val="false"/>
          <w:bCs w:val="false"/>
          <w:i w:val="false"/>
          <w:iCs w:val="false"/>
          <w:color w:val="1A1A1A"/>
          <w:sz w:val="22"/>
          <w:szCs w:val="22"/>
        </w:rPr>
        <w:t xml:space="preserve">Qualitative — emotional resonance, not raw engagement.</w:t>
      </w:r>
    </w:p>
    <w:p>
      <w:pPr>
        <w:spacing w:after="80" w:before="80"/>
      </w:pPr>
      <w:r>
        <w:t xml:space="preserve"/>
      </w:r>
    </w:p>
    <w:p>
      <w:pPr>
        <w:pStyle w:val="Heading2"/>
        <w:spacing w:after="140" w:before="280"/>
      </w:pPr>
      <w:r>
        <w:rPr>
          <w:rFonts w:ascii="Arial" w:cs="Arial" w:eastAsia="Arial" w:hAnsi="Arial"/>
          <w:b/>
          <w:bCs/>
          <w:color w:val="CC1A1A"/>
          <w:sz w:val="28"/>
          <w:szCs w:val="28"/>
        </w:rPr>
        <w:t xml:space="preserve">Voice Rules — What Never to Say</w:t>
      </w:r>
    </w:p>
    <w:p>
      <w:pPr>
        <w:spacing w:after="60" w:before="60"/>
        <w:jc w:val="left"/>
      </w:pPr>
      <w:r>
        <w:rPr>
          <w:rFonts w:ascii="Arial" w:cs="Arial" w:eastAsia="Arial" w:hAnsi="Arial"/>
          <w:b w:val="false"/>
          <w:bCs w:val="false"/>
          <w:i w:val="false"/>
          <w:iCs w:val="false"/>
          <w:color w:val="1A1A1A"/>
          <w:sz w:val="22"/>
          <w:szCs w:val="22"/>
        </w:rPr>
        <w:t xml:space="preserve">These are inherited from the Arcadia voice and tone standard. They apply to every caption above.</w:t>
      </w:r>
    </w:p>
    <w:p>
      <w:pPr>
        <w:spacing w:after="60" w:before="120"/>
        <w:jc w:val="left"/>
      </w:pPr>
      <w:r>
        <w:rPr>
          <w:rFonts w:ascii="Arial" w:cs="Arial" w:eastAsia="Arial" w:hAnsi="Arial"/>
          <w:b/>
          <w:bCs/>
          <w:i w:val="false"/>
          <w:iCs w:val="false"/>
          <w:color w:val="1A1A1A"/>
          <w:sz w:val="22"/>
          <w:szCs w:val="22"/>
        </w:rPr>
        <w:t xml:space="preserve">Avoid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“Don’t miss this!” / “Must read!” / “You need to see this!”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“You’ve got this!” / motivational framing of any kind</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“Caregiving is hard but rewarding” — platitudes</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Listicle framing (“5 tips for…”)</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Exclamation points (default to none)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“We at Arcadia believe…” or any pivot to corporate-speak</w:t>
      </w:r>
    </w:p>
    <w:p>
      <w:pPr>
        <w:spacing w:after="60" w:before="200"/>
        <w:jc w:val="left"/>
      </w:pPr>
      <w:r>
        <w:rPr>
          <w:rFonts w:ascii="Arial" w:cs="Arial" w:eastAsia="Arial" w:hAnsi="Arial"/>
          <w:b/>
          <w:bCs/>
          <w:i w:val="false"/>
          <w:iCs w:val="false"/>
          <w:color w:val="1A1A1A"/>
          <w:sz w:val="22"/>
          <w:szCs w:val="22"/>
        </w:rPr>
        <w:t xml:space="preserve">Lean into</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Recognition language — “You have been…”</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Specific tiny scenes — the small detail your reader will recognize</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Permission language — “You do not have to do it perfectly”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Direct address — “You,” “your parent,” “your family”</w:t>
      </w:r>
    </w:p>
    <w:p>
      <w:pPr>
        <w:spacing w:after="30" w:before="30"/>
        <w:ind w:left="360" w:hanging="200"/>
      </w:pPr>
      <w:r>
        <w:rPr>
          <w:rFonts w:ascii="Arial" w:cs="Arial" w:eastAsia="Arial" w:hAnsi="Arial"/>
          <w:b/>
          <w:bCs/>
          <w:color w:val="CC1A1A"/>
          <w:sz w:val="22"/>
          <w:szCs w:val="22"/>
        </w:rPr>
        <w:t xml:space="preserve">—  </w:t>
      </w:r>
      <w:r>
        <w:rPr>
          <w:rFonts w:ascii="Arial" w:cs="Arial" w:eastAsia="Arial" w:hAnsi="Arial"/>
          <w:color w:val="1A1A1A"/>
          <w:sz w:val="22"/>
          <w:szCs w:val="22"/>
        </w:rPr>
        <w:t xml:space="preserve">Honest specificity over generic platitude</w:t>
      </w:r>
    </w:p>
    <w:p>
      <w:pPr>
        <w:spacing w:after="80" w:before="80"/>
      </w:pPr>
      <w:r>
        <w:t xml:space="preserve"/>
      </w:r>
    </w:p>
    <w:p>
      <w:pPr>
        <w:pBdr>
          <w:bottom w:val="single" w:color="CC1A1A" w:sz="6" w:space="1"/>
        </w:pBdr>
        <w:spacing w:after="80" w:before="80"/>
      </w:pPr>
      <w:r>
        <w:t xml:space="preserve"/>
      </w:r>
    </w:p>
    <w:p>
      <w:pPr>
        <w:spacing w:after="60" w:before="200"/>
      </w:pPr>
      <w:r>
        <w:rPr>
          <w:rFonts w:ascii="Arial" w:cs="Arial" w:eastAsia="Arial" w:hAnsi="Arial"/>
          <w:i/>
          <w:iCs/>
          <w:color w:val="666666"/>
          <w:sz w:val="18"/>
          <w:szCs w:val="18"/>
        </w:rPr>
        <w:t xml:space="preserve">Generated from the published article. For the full social media template system (Templates B, C, D and the Annual Awareness Calendar), refer to Arcadia_Social_Media_Template_System_v2.docx. Last updated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Normal Aging vs. Dementia: What’s the Difference?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ARCADIA HOME CARE  |  Social Media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C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 Aging vs. Dementia: What’s the Difference? — Social Media Kit</dc:title>
  <dc:creator>Arcadia Home Care</dc:creator>
  <dc:description>A0 brief and A1–A4 captions for social distribution</dc:description>
  <cp:lastModifiedBy>Un-named</cp:lastModifiedBy>
  <cp:revision>1</cp:revision>
  <dcterms:created xsi:type="dcterms:W3CDTF">2026-05-04T21:25:28.177Z</dcterms:created>
  <dcterms:modified xsi:type="dcterms:W3CDTF">2026-05-04T21:25:28.177Z</dcterms:modified>
</cp:coreProperties>
</file>

<file path=docProps/custom.xml><?xml version="1.0" encoding="utf-8"?>
<Properties xmlns="http://schemas.openxmlformats.org/officeDocument/2006/custom-properties" xmlns:vt="http://schemas.openxmlformats.org/officeDocument/2006/docPropsVTypes"/>
</file>