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3DF82">
      <w:pPr>
        <w:pStyle w:val="4"/>
        <w:keepNext w:val="0"/>
        <w:keepLines w:val="0"/>
        <w:widowControl/>
        <w:suppressLineNumbers w:val="0"/>
      </w:pPr>
      <w:r>
        <w:t>人教版初中化学（2024年新版教材）</w:t>
      </w:r>
      <w:r>
        <w:rPr>
          <w:rStyle w:val="7"/>
        </w:rPr>
        <w:t>以“物质的认识—变化的探究—应用的实践”为逻辑主线</w:t>
      </w:r>
      <w:r>
        <w:t>，分九年级上、下两册共11个单元，</w:t>
      </w:r>
      <w:r>
        <w:rPr>
          <w:rStyle w:val="7"/>
        </w:rPr>
        <w:t>系统覆盖化学基本概念、物质性质、化学反应规律及社会应用</w:t>
      </w:r>
      <w:r>
        <w:t>。新版教材</w:t>
      </w:r>
      <w:r>
        <w:rPr>
          <w:rStyle w:val="7"/>
        </w:rPr>
        <w:t>强化实验探究与跨学科实践</w:t>
      </w:r>
      <w:r>
        <w:t>，删减理论难度，新增“中国科技成就”“碳中和”等内容，更注重化学观念与社会责任培养。以下按知识模块系统整理全部核心知识点：</w:t>
      </w:r>
    </w:p>
    <w:p w14:paraId="69AB3FC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13F92">
      <w:pPr>
        <w:pStyle w:val="2"/>
        <w:keepNext w:val="0"/>
        <w:keepLines w:val="0"/>
        <w:widowControl/>
        <w:suppressLineNumbers w:val="0"/>
      </w:pPr>
      <w:r>
        <w:t>一、化学基本概念与实验技能</w:t>
      </w:r>
    </w:p>
    <w:p w14:paraId="5328777C">
      <w:pPr>
        <w:pStyle w:val="3"/>
        <w:keepNext w:val="0"/>
        <w:keepLines w:val="0"/>
        <w:widowControl/>
        <w:suppressLineNumbers w:val="0"/>
      </w:pPr>
      <w:r>
        <w:t>1. 物质的变化与性质</w:t>
      </w:r>
    </w:p>
    <w:p w14:paraId="1DE5E4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物理变化与化学变化的本质区别</w:t>
      </w:r>
      <w:r>
        <w:t>：</w:t>
      </w:r>
      <w:r>
        <w:rPr>
          <w:rStyle w:val="7"/>
        </w:rPr>
        <w:t>是否有新物质生成</w:t>
      </w:r>
      <w:r>
        <w:t xml:space="preserve">（化学变化又叫化学反应）。 </w:t>
      </w:r>
    </w:p>
    <w:p w14:paraId="27E183F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物理变化：分子间隔改变（如冰融化、酒精挥发）； </w:t>
      </w:r>
    </w:p>
    <w:p w14:paraId="1616892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化学变化：分子分裂为原子，原子重新组合（如铁生锈、蜡烛燃烧）。</w:t>
      </w:r>
    </w:p>
    <w:p w14:paraId="3AF567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物理性质与化学性质</w:t>
      </w:r>
      <w:r>
        <w:t xml:space="preserve">： </w:t>
      </w:r>
    </w:p>
    <w:p w14:paraId="214D506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物理性质：</w:t>
      </w:r>
      <w:r>
        <w:rPr>
          <w:rStyle w:val="7"/>
        </w:rPr>
        <w:t>不需化学变化就能表现</w:t>
      </w:r>
      <w:r>
        <w:t xml:space="preserve">（颜色、状态、密度、熔点、沸点、溶解性等）； </w:t>
      </w:r>
    </w:p>
    <w:p w14:paraId="706F6EF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化学性质：</w:t>
      </w:r>
      <w:r>
        <w:rPr>
          <w:rStyle w:val="7"/>
        </w:rPr>
        <w:t>在化学变化中表现</w:t>
      </w:r>
      <w:r>
        <w:t>（可燃性、氧化性、酸性、稳定性等）。</w:t>
      </w:r>
    </w:p>
    <w:p w14:paraId="2B366696">
      <w:pPr>
        <w:pStyle w:val="3"/>
        <w:keepNext w:val="0"/>
        <w:keepLines w:val="0"/>
        <w:widowControl/>
        <w:suppressLineNumbers w:val="0"/>
      </w:pPr>
      <w:r>
        <w:t>2. 化学实验基础</w:t>
      </w:r>
    </w:p>
    <w:p w14:paraId="52FC34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常用仪器</w:t>
      </w:r>
      <w:r>
        <w:t xml:space="preserve">： </w:t>
      </w:r>
    </w:p>
    <w:p w14:paraId="641C4FE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直接加热：试管、蒸发皿； </w:t>
      </w:r>
    </w:p>
    <w:p w14:paraId="444DC18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间接加热：烧杯（需垫陶土网）、锥形瓶； </w:t>
      </w:r>
    </w:p>
    <w:p w14:paraId="384E61E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量取液体：</w:t>
      </w:r>
      <w:r>
        <w:rPr>
          <w:rStyle w:val="7"/>
        </w:rPr>
        <w:t>量筒（读数时视线与凹液面最低处水平）</w:t>
      </w:r>
      <w:r>
        <w:t>。</w:t>
      </w:r>
    </w:p>
    <w:p w14:paraId="708897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基本操作规范</w:t>
      </w:r>
      <w:r>
        <w:t xml:space="preserve">： </w:t>
      </w:r>
    </w:p>
    <w:p w14:paraId="5A943DF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药品取用：固体“一横二放三慢竖”，液体“瓶塞倒放、标签向手心”； </w:t>
      </w:r>
    </w:p>
    <w:p w14:paraId="536DDE8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酒精灯使用：</w:t>
      </w:r>
      <w:r>
        <w:rPr>
          <w:rStyle w:val="7"/>
        </w:rPr>
        <w:t>用外焰加热，禁止用嘴吹灭</w:t>
      </w:r>
      <w:r>
        <w:t xml:space="preserve">（需灯帽盖灭）； </w:t>
      </w:r>
    </w:p>
    <w:p w14:paraId="2FD8DAE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仪器洗涤标准：</w:t>
      </w:r>
      <w:r>
        <w:rPr>
          <w:rStyle w:val="7"/>
        </w:rPr>
        <w:t>内壁水膜均匀，不聚成水滴，不成股流下</w:t>
      </w:r>
      <w:r>
        <w:t>。</w:t>
      </w:r>
    </w:p>
    <w:p w14:paraId="635D42F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D81B3">
      <w:pPr>
        <w:pStyle w:val="2"/>
        <w:keepNext w:val="0"/>
        <w:keepLines w:val="0"/>
        <w:widowControl/>
        <w:suppressLineNumbers w:val="0"/>
      </w:pPr>
      <w:r>
        <w:t>二、物质构成的微观探析</w:t>
      </w:r>
    </w:p>
    <w:p w14:paraId="7A945F9D">
      <w:pPr>
        <w:pStyle w:val="3"/>
        <w:keepNext w:val="0"/>
        <w:keepLines w:val="0"/>
        <w:widowControl/>
        <w:suppressLineNumbers w:val="0"/>
      </w:pPr>
      <w:r>
        <w:t>1. 分子与原子</w:t>
      </w:r>
    </w:p>
    <w:p w14:paraId="730FF1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分子是保持物质化学性质的最小粒子</w:t>
      </w:r>
      <w:r>
        <w:t>，在化学变化中可分；</w:t>
      </w:r>
      <w:r>
        <w:rPr>
          <w:rStyle w:val="7"/>
        </w:rPr>
        <w:t>原子是化学变化中的最小粒子</w:t>
      </w:r>
      <w:r>
        <w:t xml:space="preserve">，不可再分。 </w:t>
      </w:r>
    </w:p>
    <w:p w14:paraId="1E8E4C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分子特性</w:t>
      </w:r>
      <w:r>
        <w:t>：不断运动（品红扩散）、有间隔（热胀冷缩）、质量体积小。</w:t>
      </w:r>
    </w:p>
    <w:p w14:paraId="26061816">
      <w:pPr>
        <w:pStyle w:val="3"/>
        <w:keepNext w:val="0"/>
        <w:keepLines w:val="0"/>
        <w:widowControl/>
        <w:suppressLineNumbers w:val="0"/>
      </w:pPr>
      <w:r>
        <w:t>2. 原子结构与元素</w:t>
      </w:r>
    </w:p>
    <w:p w14:paraId="7B561C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原子构成</w:t>
      </w:r>
      <w:r>
        <w:t>：原子核（质子+中子）和核外电子；</w:t>
      </w:r>
      <w:r>
        <w:rPr>
          <w:rStyle w:val="7"/>
        </w:rPr>
        <w:t>核电荷数=质子数=核外电子数</w:t>
      </w:r>
      <w:r>
        <w:t xml:space="preserve">（原子电中性）。 </w:t>
      </w:r>
    </w:p>
    <w:p w14:paraId="1ACF4B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相对原子质量</w:t>
      </w:r>
      <w:r>
        <w:t>：以碳-12原子质量的1/12为标准，</w:t>
      </w:r>
      <w:r>
        <w:rPr>
          <w:rStyle w:val="7"/>
        </w:rPr>
        <w:t>≈质子数+中子数</w:t>
      </w:r>
      <w:r>
        <w:t xml:space="preserve">（单位为“1”，省略）。 </w:t>
      </w:r>
    </w:p>
    <w:p w14:paraId="3B6B86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元素</w:t>
      </w:r>
      <w:r>
        <w:t>：</w:t>
      </w:r>
      <w:r>
        <w:rPr>
          <w:rStyle w:val="7"/>
        </w:rPr>
        <w:t>质子数相同的一类原子总称</w:t>
      </w:r>
      <w:r>
        <w:t xml:space="preserve">；元素符号表示一种元素和该元素的一个原子（如Fe表示铁元素和1个铁原子）。 </w:t>
      </w:r>
    </w:p>
    <w:p w14:paraId="6DA36A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元素周期表</w:t>
      </w:r>
      <w:r>
        <w:t>：横行为周期（7个），纵列为族（16个）；</w:t>
      </w:r>
      <w:r>
        <w:rPr>
          <w:rStyle w:val="7"/>
        </w:rPr>
        <w:t>金属元素在左下方，非金属在右上方</w:t>
      </w:r>
      <w:r>
        <w:t>。</w:t>
      </w:r>
    </w:p>
    <w:p w14:paraId="27393701">
      <w:pPr>
        <w:pStyle w:val="3"/>
        <w:keepNext w:val="0"/>
        <w:keepLines w:val="0"/>
        <w:widowControl/>
        <w:suppressLineNumbers w:val="0"/>
      </w:pPr>
      <w:r>
        <w:t>3. 离子与化学式</w:t>
      </w:r>
    </w:p>
    <w:p w14:paraId="3DE459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离子形成</w:t>
      </w:r>
      <w:r>
        <w:t>：原子得失电子（金属失电子→阳离子，非金属得电子→阴离子）；</w:t>
      </w:r>
      <w:r>
        <w:rPr>
          <w:rStyle w:val="7"/>
        </w:rPr>
        <w:t>离子符号标注电荷数与正负</w:t>
      </w:r>
      <w:r>
        <w:t xml:space="preserve">（如Mg²⁺）。 </w:t>
      </w:r>
    </w:p>
    <w:p w14:paraId="1D109B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化学式意义</w:t>
      </w:r>
      <w:r>
        <w:t xml:space="preserve">： </w:t>
      </w:r>
    </w:p>
    <w:p w14:paraId="2F8E081F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 xml:space="preserve">宏观：表示一种物质、组成元素； </w:t>
      </w:r>
    </w:p>
    <w:p w14:paraId="25324727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微观：表示1个分子、分子构成（如H₂O表示1个水分子由2个H原子和1个O原子构成）。</w:t>
      </w:r>
    </w:p>
    <w:p w14:paraId="61AA6C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化合价规则</w:t>
      </w:r>
      <w:r>
        <w:t>：化合物中各元素化合价代数和为0；</w:t>
      </w:r>
      <w:r>
        <w:rPr>
          <w:rStyle w:val="7"/>
        </w:rPr>
        <w:t>单质中元素化合价为0</w:t>
      </w:r>
      <w:r>
        <w:t>。</w:t>
      </w:r>
    </w:p>
    <w:p w14:paraId="59D901E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96734">
      <w:pPr>
        <w:pStyle w:val="2"/>
        <w:keepNext w:val="0"/>
        <w:keepLines w:val="0"/>
        <w:widowControl/>
        <w:suppressLineNumbers w:val="0"/>
      </w:pPr>
      <w:r>
        <w:t>三、化学反应规律</w:t>
      </w:r>
    </w:p>
    <w:p w14:paraId="66831509">
      <w:pPr>
        <w:pStyle w:val="3"/>
        <w:keepNext w:val="0"/>
        <w:keepLines w:val="0"/>
        <w:widowControl/>
        <w:suppressLineNumbers w:val="0"/>
      </w:pPr>
      <w:r>
        <w:t>1. 质量守恒定律</w:t>
      </w:r>
    </w:p>
    <w:p w14:paraId="0D1F96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</w:t>
      </w:r>
      <w:r>
        <w:t>：参加反应的各物质质量总和=生成物质量总和；</w:t>
      </w:r>
      <w:r>
        <w:rPr>
          <w:rStyle w:val="7"/>
        </w:rPr>
        <w:t>微观解释：原子种类、数目、质量不变</w:t>
      </w:r>
      <w:r>
        <w:t xml:space="preserve">。 </w:t>
      </w:r>
    </w:p>
    <w:p w14:paraId="43D162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验证要点</w:t>
      </w:r>
      <w:r>
        <w:t>：有气体参与或生成的反应需在</w:t>
      </w:r>
      <w:r>
        <w:rPr>
          <w:rStyle w:val="7"/>
        </w:rPr>
        <w:t>密闭容器中进行</w:t>
      </w:r>
      <w:r>
        <w:t>（如碳酸钠与盐酸反应）。</w:t>
      </w:r>
    </w:p>
    <w:p w14:paraId="59AED240">
      <w:pPr>
        <w:pStyle w:val="3"/>
        <w:keepNext w:val="0"/>
        <w:keepLines w:val="0"/>
        <w:widowControl/>
        <w:suppressLineNumbers w:val="0"/>
      </w:pPr>
      <w:r>
        <w:t>2. 化学方程式</w:t>
      </w:r>
    </w:p>
    <w:p w14:paraId="34786F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书写原则</w:t>
      </w:r>
      <w:r>
        <w:t>：以客观事实为基础，</w:t>
      </w:r>
      <w:r>
        <w:rPr>
          <w:rStyle w:val="7"/>
        </w:rPr>
        <w:t>遵循质量守恒定律</w:t>
      </w:r>
      <w:r>
        <w:t xml:space="preserve">（需配平）。 </w:t>
      </w:r>
    </w:p>
    <w:p w14:paraId="24082B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计算步骤</w:t>
      </w:r>
      <w:r>
        <w:t>：设未知量→写方程式→标质量关系→列比例式→求解→简明作答。</w:t>
      </w:r>
    </w:p>
    <w:p w14:paraId="1AF4B662">
      <w:pPr>
        <w:pStyle w:val="3"/>
        <w:keepNext w:val="0"/>
        <w:keepLines w:val="0"/>
        <w:widowControl/>
        <w:suppressLineNumbers w:val="0"/>
      </w:pPr>
      <w:r>
        <w:t>3. 基本反应类型</w:t>
      </w:r>
    </w:p>
    <w:p w14:paraId="777BE1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化合反应</w:t>
      </w:r>
      <w:r>
        <w:t xml:space="preserve">：A+B→AB（如C+O₂→CO₂）； </w:t>
      </w:r>
    </w:p>
    <w:p w14:paraId="08700D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分解反应</w:t>
      </w:r>
      <w:r>
        <w:t xml:space="preserve">：AB→A+B（如2H₂O→2H₂+O₂）； </w:t>
      </w:r>
    </w:p>
    <w:p w14:paraId="52F7B2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置换反应</w:t>
      </w:r>
      <w:r>
        <w:t xml:space="preserve">：A+BC→AC+B（如Zn+H₂SO₄→ZnSO₄+H₂）； </w:t>
      </w:r>
    </w:p>
    <w:p w14:paraId="62A022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复分解反应</w:t>
      </w:r>
      <w:r>
        <w:t>：AB+CD→AD+CB（如HCl+NaOH→NaCl+H₂O）。</w:t>
      </w:r>
    </w:p>
    <w:p w14:paraId="2049D90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A3454">
      <w:pPr>
        <w:pStyle w:val="2"/>
        <w:keepNext w:val="0"/>
        <w:keepLines w:val="0"/>
        <w:widowControl/>
        <w:suppressLineNumbers w:val="0"/>
      </w:pPr>
      <w:r>
        <w:t>四、常见物质及其性质</w:t>
      </w:r>
    </w:p>
    <w:p w14:paraId="46B340F5">
      <w:pPr>
        <w:pStyle w:val="3"/>
        <w:keepNext w:val="0"/>
        <w:keepLines w:val="0"/>
        <w:widowControl/>
        <w:suppressLineNumbers w:val="0"/>
      </w:pPr>
      <w:r>
        <w:t>1. 空气与氧气</w:t>
      </w:r>
    </w:p>
    <w:p w14:paraId="0BB2F4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空气成分</w:t>
      </w:r>
      <w:r>
        <w:t xml:space="preserve">（体积分数）：氮气78%、氧气21%、稀有气体0.94%、CO₂ 0.03%、其他0.03%。 </w:t>
      </w:r>
    </w:p>
    <w:p w14:paraId="4C5F42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氧气性质</w:t>
      </w:r>
      <w:r>
        <w:t xml:space="preserve">： </w:t>
      </w:r>
    </w:p>
    <w:p w14:paraId="261968F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物理性质：无色无味、密度略大于空气、不易溶于水； </w:t>
      </w:r>
    </w:p>
    <w:p w14:paraId="28D5103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化学性质：</w:t>
      </w:r>
      <w:r>
        <w:rPr>
          <w:rStyle w:val="7"/>
        </w:rPr>
        <w:t>支持燃烧</w:t>
      </w:r>
      <w:r>
        <w:t>（与硫、铁、碳反应），</w:t>
      </w:r>
      <w:r>
        <w:rPr>
          <w:rStyle w:val="7"/>
        </w:rPr>
        <w:t>检验方法：使带火星木条复燃</w:t>
      </w:r>
      <w:r>
        <w:t>。</w:t>
      </w:r>
    </w:p>
    <w:p w14:paraId="70344C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实验室制氧气</w:t>
      </w:r>
      <w:r>
        <w:t xml:space="preserve">： </w:t>
      </w:r>
    </w:p>
    <w:p w14:paraId="34F93D6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原理：2H₂O₂（MnO₂催化）→2H₂O+O₂↑； </w:t>
      </w:r>
    </w:p>
    <w:p w14:paraId="48246E3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收集方法：</w:t>
      </w:r>
      <w:r>
        <w:rPr>
          <w:rStyle w:val="7"/>
        </w:rPr>
        <w:t>排水法（O₂不易溶于水）或向上排空气法（密度大于空气）</w:t>
      </w:r>
      <w:r>
        <w:t>。</w:t>
      </w:r>
    </w:p>
    <w:p w14:paraId="554CFE47">
      <w:pPr>
        <w:pStyle w:val="3"/>
        <w:keepNext w:val="0"/>
        <w:keepLines w:val="0"/>
        <w:widowControl/>
        <w:suppressLineNumbers w:val="0"/>
      </w:pPr>
      <w:r>
        <w:t>2. 水与溶液</w:t>
      </w:r>
    </w:p>
    <w:p w14:paraId="4EADEA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水的组成</w:t>
      </w:r>
      <w:r>
        <w:t>：电解水实验生成H₂和O₂，</w:t>
      </w:r>
      <w:r>
        <w:rPr>
          <w:rStyle w:val="7"/>
        </w:rPr>
        <w:t>体积比为2:1</w:t>
      </w:r>
      <w:r>
        <w:t xml:space="preserve">，证明水由氢、氧元素组成。 </w:t>
      </w:r>
    </w:p>
    <w:p w14:paraId="32137F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净化方法</w:t>
      </w:r>
      <w:r>
        <w:t>：沉淀→过滤→吸附→蒸馏（</w:t>
      </w:r>
      <w:r>
        <w:rPr>
          <w:rStyle w:val="7"/>
        </w:rPr>
        <w:t>蒸馏净化程度最高</w:t>
      </w:r>
      <w:r>
        <w:t xml:space="preserve">）； </w:t>
      </w:r>
    </w:p>
    <w:p w14:paraId="7C5C90C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过滤操作要点：“一贴二低三靠”。</w:t>
      </w:r>
    </w:p>
    <w:p w14:paraId="102720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溶液特征</w:t>
      </w:r>
      <w:r>
        <w:t>：均一、稳定、混合物；</w:t>
      </w:r>
      <w:r>
        <w:rPr>
          <w:rStyle w:val="7"/>
        </w:rPr>
        <w:t>溶质质量分数=（溶质质量/溶液质量）×100%</w:t>
      </w:r>
      <w:r>
        <w:t>。</w:t>
      </w:r>
    </w:p>
    <w:p w14:paraId="03FFD71C">
      <w:pPr>
        <w:pStyle w:val="3"/>
        <w:keepNext w:val="0"/>
        <w:keepLines w:val="0"/>
        <w:widowControl/>
        <w:suppressLineNumbers w:val="0"/>
      </w:pPr>
      <w:r>
        <w:t>3. 碳及其氧化物</w:t>
      </w:r>
    </w:p>
    <w:p w14:paraId="5FA4E60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碳单质</w:t>
      </w:r>
      <w:r>
        <w:t xml:space="preserve">： </w:t>
      </w:r>
    </w:p>
    <w:p w14:paraId="36ACBB1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金刚石（硬度大）、石墨（导电性好）、C₆₀（分子结构），</w:t>
      </w:r>
      <w:r>
        <w:rPr>
          <w:rStyle w:val="7"/>
        </w:rPr>
        <w:t>物理性质差异源于原子排列方式不同</w:t>
      </w:r>
      <w:r>
        <w:t>。</w:t>
      </w:r>
    </w:p>
    <w:p w14:paraId="400766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CO₂性质</w:t>
      </w:r>
      <w:r>
        <w:t xml:space="preserve">： </w:t>
      </w:r>
    </w:p>
    <w:p w14:paraId="0C04D13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物理性质：无色无味、密度大于空气、能溶于水； </w:t>
      </w:r>
    </w:p>
    <w:p w14:paraId="016F4B7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化学性质：不燃烧不支持燃烧、</w:t>
      </w:r>
      <w:r>
        <w:rPr>
          <w:rStyle w:val="7"/>
        </w:rPr>
        <w:t>使澄清石灰水变浑浊（检验方法）</w:t>
      </w:r>
      <w:r>
        <w:t>、与水反应生成碳酸。</w:t>
      </w:r>
    </w:p>
    <w:p w14:paraId="127F02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CO性质</w:t>
      </w:r>
      <w:r>
        <w:t>：可燃性、还原性（冶炼金属）、</w:t>
      </w:r>
      <w:r>
        <w:rPr>
          <w:rStyle w:val="7"/>
        </w:rPr>
        <w:t>剧毒性（与血红蛋白结合）</w:t>
      </w:r>
      <w:r>
        <w:t>。</w:t>
      </w:r>
    </w:p>
    <w:p w14:paraId="53019384">
      <w:pPr>
        <w:pStyle w:val="3"/>
        <w:keepNext w:val="0"/>
        <w:keepLines w:val="0"/>
        <w:widowControl/>
        <w:suppressLineNumbers w:val="0"/>
      </w:pPr>
      <w:r>
        <w:t>4. 金属与金属材料</w:t>
      </w:r>
    </w:p>
    <w:p w14:paraId="1EC3ADD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金属活动性顺序</w:t>
      </w:r>
      <w:r>
        <w:t xml:space="preserve">：K&gt;Ca&gt;Na&gt;Mg&gt;Al&gt;Zn&gt;Fe&gt;Sn&gt;Pb&gt;(H)&gt;Cu&gt;Hg&gt;Ag&gt;Pt&gt;Au； </w:t>
      </w:r>
    </w:p>
    <w:p w14:paraId="46FF09D0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应用</w:t>
      </w:r>
      <w:r>
        <w:t>：排在H前的金属能置换酸中氢，活动性强的金属能置换弱的金属。</w:t>
      </w:r>
    </w:p>
    <w:p w14:paraId="63B4A57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铁生锈条件</w:t>
      </w:r>
      <w:r>
        <w:t>：</w:t>
      </w:r>
      <w:r>
        <w:rPr>
          <w:rStyle w:val="7"/>
        </w:rPr>
        <w:t>水和氧气共同作用</w:t>
      </w:r>
      <w:r>
        <w:t>；防锈原理：隔绝空气或水（涂油、刷漆等）。</w:t>
      </w:r>
    </w:p>
    <w:p w14:paraId="63DFD971">
      <w:pPr>
        <w:pStyle w:val="3"/>
        <w:keepNext w:val="0"/>
        <w:keepLines w:val="0"/>
        <w:widowControl/>
        <w:suppressLineNumbers w:val="0"/>
      </w:pPr>
      <w:r>
        <w:t>5. 酸、碱、盐</w:t>
      </w:r>
    </w:p>
    <w:p w14:paraId="4B05DF3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酸的通性</w:t>
      </w:r>
      <w:r>
        <w:t xml:space="preserve">：使指示剂变色、与活泼金属反应、与金属氧化物反应、与碱反应、与某些盐反应； </w:t>
      </w:r>
    </w:p>
    <w:p w14:paraId="57AE008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碱的通性</w:t>
      </w:r>
      <w:r>
        <w:t xml:space="preserve">：使指示剂变色、与非金属氧化物反应、与酸反应、与某些盐反应； </w:t>
      </w:r>
    </w:p>
    <w:p w14:paraId="6854C8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中和反应</w:t>
      </w:r>
      <w:r>
        <w:t>：酸+碱→盐+水，</w:t>
      </w:r>
      <w:r>
        <w:rPr>
          <w:rStyle w:val="7"/>
        </w:rPr>
        <w:t>pH=7时溶液呈中性</w:t>
      </w:r>
      <w:r>
        <w:t xml:space="preserve">。 </w:t>
      </w:r>
    </w:p>
    <w:p w14:paraId="29AAA82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常见盐用途</w:t>
      </w:r>
      <w:r>
        <w:t>：NaCl（调味）、Na₂CO₃（洗涤）、CaCO₃（建筑材料）。</w:t>
      </w:r>
    </w:p>
    <w:p w14:paraId="68103AF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B6533">
      <w:pPr>
        <w:pStyle w:val="2"/>
        <w:keepNext w:val="0"/>
        <w:keepLines w:val="0"/>
        <w:widowControl/>
        <w:suppressLineNumbers w:val="0"/>
      </w:pPr>
      <w:r>
        <w:t>五、化学与社会发展</w:t>
      </w:r>
    </w:p>
    <w:p w14:paraId="75D8467D">
      <w:pPr>
        <w:pStyle w:val="3"/>
        <w:keepNext w:val="0"/>
        <w:keepLines w:val="0"/>
        <w:widowControl/>
        <w:suppressLineNumbers w:val="0"/>
      </w:pPr>
      <w:r>
        <w:t>1. 燃料与能源</w:t>
      </w:r>
    </w:p>
    <w:p w14:paraId="49ED0C1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燃烧条件</w:t>
      </w:r>
      <w:r>
        <w:t>：可燃物、氧气（或空气）、温度达到着火点；</w:t>
      </w:r>
      <w:r>
        <w:rPr>
          <w:rStyle w:val="7"/>
        </w:rPr>
        <w:t>灭火原理：破坏任一条件</w:t>
      </w:r>
      <w:r>
        <w:t xml:space="preserve">。 </w:t>
      </w:r>
    </w:p>
    <w:p w14:paraId="31B6F6C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化石燃料</w:t>
      </w:r>
      <w:r>
        <w:t>：煤、石油、天然气（</w:t>
      </w:r>
      <w:r>
        <w:rPr>
          <w:rStyle w:val="7"/>
        </w:rPr>
        <w:t>不可再生能源</w:t>
      </w:r>
      <w:r>
        <w:t xml:space="preserve">）； </w:t>
      </w:r>
    </w:p>
    <w:p w14:paraId="7FBF48D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新能源</w:t>
      </w:r>
      <w:r>
        <w:t>：氢能（</w:t>
      </w:r>
      <w:r>
        <w:rPr>
          <w:rStyle w:val="7"/>
        </w:rPr>
        <w:t>燃烧产物仅为水</w:t>
      </w:r>
      <w:r>
        <w:t>）、太阳能、风能。</w:t>
      </w:r>
    </w:p>
    <w:p w14:paraId="5E9B7972">
      <w:pPr>
        <w:pStyle w:val="3"/>
        <w:keepNext w:val="0"/>
        <w:keepLines w:val="0"/>
        <w:widowControl/>
        <w:suppressLineNumbers w:val="0"/>
      </w:pPr>
      <w:r>
        <w:t>2. 环境保护</w:t>
      </w:r>
    </w:p>
    <w:p w14:paraId="3C81E53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空气污染物</w:t>
      </w:r>
      <w:r>
        <w:t xml:space="preserve">：SO₂、NO₂、CO、O₃、PM₂.₅； </w:t>
      </w:r>
    </w:p>
    <w:p w14:paraId="6965558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低碳行动</w:t>
      </w:r>
      <w:r>
        <w:t>：减少化石燃料使用、开发清洁能源、</w:t>
      </w:r>
      <w:r>
        <w:rPr>
          <w:rStyle w:val="7"/>
        </w:rPr>
        <w:t>倡导碳中和理念</w:t>
      </w:r>
      <w:r>
        <w:t xml:space="preserve">。 </w:t>
      </w:r>
    </w:p>
    <w:p w14:paraId="7074D06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水体污染源</w:t>
      </w:r>
      <w:r>
        <w:t>：工业废水、农业化肥、生活污水；</w:t>
      </w:r>
      <w:r>
        <w:rPr>
          <w:rStyle w:val="7"/>
        </w:rPr>
        <w:t>爱护水资源：节约+防治污染</w:t>
      </w:r>
      <w:r>
        <w:t>。</w:t>
      </w:r>
    </w:p>
    <w:p w14:paraId="7F16100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F2DA5">
      <w:pPr>
        <w:pStyle w:val="2"/>
        <w:keepNext w:val="0"/>
        <w:keepLines w:val="0"/>
        <w:widowControl/>
        <w:suppressLineNumbers w:val="0"/>
      </w:pPr>
      <w:r>
        <w:t>关键更新与注意事项</w:t>
      </w:r>
      <w:bookmarkStart w:id="0" w:name="_GoBack"/>
      <w:bookmarkEnd w:id="0"/>
    </w:p>
    <w:p w14:paraId="4DD8112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2024新版教材变化</w:t>
      </w:r>
      <w:r>
        <w:t xml:space="preserve">： </w:t>
      </w:r>
    </w:p>
    <w:p w14:paraId="5DA2442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单元调整：原“酸和碱”“盐 化肥”合并为“常见的酸、碱、盐”； </w:t>
      </w:r>
    </w:p>
    <w:p w14:paraId="0CDEB6FE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新增栏目：</w:t>
      </w:r>
      <w:r>
        <w:rPr>
          <w:rStyle w:val="7"/>
        </w:rPr>
        <w:t>跨学科实践活动</w:t>
      </w:r>
      <w:r>
        <w:t xml:space="preserve">（如“微型空气质量检测站”“碳中和行动方案”）； </w:t>
      </w:r>
    </w:p>
    <w:p w14:paraId="3D4B7BFE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强化中国元素：增加“科学家精神”“生态安全”“资源安全”案例。</w:t>
      </w:r>
    </w:p>
    <w:p w14:paraId="627D9D5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中考高频易错点</w:t>
      </w:r>
      <w:r>
        <w:t xml:space="preserve">： </w:t>
      </w:r>
    </w:p>
    <w:p w14:paraId="48DEF55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混淆“元素”与“原子”（如“食品含钙”指元素，非原子）； </w:t>
      </w:r>
    </w:p>
    <w:p w14:paraId="41FF92F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误认为CO₂有毒（实际无毒，但高浓度会窒息）； </w:t>
      </w:r>
    </w:p>
    <w:p w14:paraId="433F7798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误将质量守恒理解为“体积守恒”或“分子数守恒”</w:t>
      </w:r>
      <w:r>
        <w:t>。</w:t>
      </w:r>
    </w:p>
    <w:p w14:paraId="75A011CF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核心学习逻辑</w:t>
      </w:r>
      <w:r>
        <w:t xml:space="preserve">： </w:t>
      </w:r>
    </w:p>
    <w:p w14:paraId="05C80EB1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牢记“</w:t>
      </w:r>
      <w:r>
        <w:rPr>
          <w:rStyle w:val="7"/>
        </w:rPr>
        <w:t>结构决定性质，性质决定用途</w:t>
      </w:r>
      <w:r>
        <w:t xml:space="preserve">”（如石墨导电性源于层状结构）； </w:t>
      </w:r>
    </w:p>
    <w:p w14:paraId="281E7CB6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掌握“</w:t>
      </w:r>
      <w:r>
        <w:rPr>
          <w:rStyle w:val="7"/>
        </w:rPr>
        <w:t>宏观—微观—符号</w:t>
      </w:r>
      <w:r>
        <w:t xml:space="preserve">”三重表征思维（如H₂O既表示水，也隐含分子构成）； </w:t>
      </w:r>
    </w:p>
    <w:p w14:paraId="4DFEB694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实验题关注</w:t>
      </w:r>
      <w:r>
        <w:rPr>
          <w:rStyle w:val="7"/>
        </w:rPr>
        <w:t>操作目的与误差分析</w:t>
      </w:r>
      <w:r>
        <w:t>（如量筒仰视导致读数偏小）。</w:t>
      </w:r>
    </w:p>
    <w:p w14:paraId="6B0E3BA4">
      <w:pPr>
        <w:pStyle w:val="4"/>
        <w:keepNext w:val="0"/>
        <w:keepLines w:val="0"/>
        <w:widowControl/>
        <w:suppressLineNumbers w:val="0"/>
      </w:pPr>
      <w:r>
        <w:t>以上内容严格依据人教版2024年新版教材框架整理，覆盖全部11个单元核心知识点，重点标注关键概念与易错表述，符合当前教学与中考要求。</w:t>
      </w:r>
    </w:p>
    <w:p w14:paraId="071A34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CBC2A"/>
    <w:multiLevelType w:val="multilevel"/>
    <w:tmpl w:val="914CBC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EC6F87"/>
    <w:multiLevelType w:val="multilevel"/>
    <w:tmpl w:val="C1EC6F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E458A85"/>
    <w:multiLevelType w:val="multilevel"/>
    <w:tmpl w:val="CE458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AD999D"/>
    <w:multiLevelType w:val="multilevel"/>
    <w:tmpl w:val="CFAD9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044D0E"/>
    <w:multiLevelType w:val="multilevel"/>
    <w:tmpl w:val="D6044D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37EB645"/>
    <w:multiLevelType w:val="multilevel"/>
    <w:tmpl w:val="F37EB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BBC7119"/>
    <w:multiLevelType w:val="multilevel"/>
    <w:tmpl w:val="1BBC7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3AFF37E"/>
    <w:multiLevelType w:val="multilevel"/>
    <w:tmpl w:val="23AFF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B0943CD"/>
    <w:multiLevelType w:val="multilevel"/>
    <w:tmpl w:val="2B094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63E3739"/>
    <w:multiLevelType w:val="multilevel"/>
    <w:tmpl w:val="363E3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7BBDF18"/>
    <w:multiLevelType w:val="multilevel"/>
    <w:tmpl w:val="37BBD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832CDBA"/>
    <w:multiLevelType w:val="multilevel"/>
    <w:tmpl w:val="3832CD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5AAB6F8"/>
    <w:multiLevelType w:val="multilevel"/>
    <w:tmpl w:val="45AAB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DE25639"/>
    <w:multiLevelType w:val="multilevel"/>
    <w:tmpl w:val="6DE25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284AD2D"/>
    <w:multiLevelType w:val="multilevel"/>
    <w:tmpl w:val="7284AD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7"/>
  </w:num>
  <w:num w:numId="9">
    <w:abstractNumId w:val="6"/>
  </w:num>
  <w:num w:numId="10">
    <w:abstractNumId w:val="2"/>
  </w:num>
  <w:num w:numId="11">
    <w:abstractNumId w:val="0"/>
  </w:num>
  <w:num w:numId="12">
    <w:abstractNumId w:val="11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</w:num>
  <w:num w:numId="23">
    <w:abstractNumId w:val="1"/>
  </w:num>
  <w:num w:numId="24">
    <w:abstractNumId w:val="14"/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34C26"/>
    <w:rsid w:val="4CE3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2026-04-17T07:17:00Z</dcterms:created>
  <dc:creator>Daybreaker破灭残阳</dc:creator>
  <cp:lastModifiedBy>Daybreaker破灭残阳</cp:lastModifiedBy>
  <dcterms:modified xsi:type="dcterms:W3CDTF">2026-04-17T07:19:22Z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560605D226CF48BFAC63926F28CE4CAD_11</vt:lpwstr>
  </property>
  <property fmtid="{D5CDD505-2E9C-101B-9397-08002B2CF9AE}" pid="4" name="KSOTemplateDocerSaveRecord">
    <vt:lpwstr>eyJoZGlkIjoiYWM5OGI5ZWNiNmY2ZjIzZTJhNDBhMGU1MWEzM2E3NmMiLCJ1c2VySWQiOiI4ODgzODI1MTkifQ==</vt:lpwstr>
  </property>
</Properties>
</file>