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B0EFD">
      <w:pPr>
        <w:pStyle w:val="4"/>
        <w:bidi w:val="0"/>
        <w:rPr>
          <w:rFonts w:hint="eastAsia"/>
          <w:sz w:val="32"/>
          <w:szCs w:val="32"/>
        </w:rPr>
      </w:pPr>
      <w:r>
        <w:rPr>
          <w:rFonts w:hint="eastAsia"/>
          <w:sz w:val="32"/>
          <w:szCs w:val="32"/>
        </w:rPr>
        <w:t>任务一：基于电商评论的情感倾向二分类挖掘</w:t>
      </w:r>
    </w:p>
    <w:p w14:paraId="508128A5">
      <w:pPr>
        <w:numPr>
          <w:ilvl w:val="0"/>
          <w:numId w:val="1"/>
        </w:numPr>
        <w:rPr>
          <w:rFonts w:hint="eastAsia"/>
          <w:b/>
          <w:bCs/>
          <w:sz w:val="28"/>
          <w:szCs w:val="28"/>
        </w:rPr>
      </w:pPr>
      <w:r>
        <w:rPr>
          <w:rFonts w:hint="eastAsia"/>
          <w:b/>
          <w:bCs/>
          <w:sz w:val="28"/>
          <w:szCs w:val="28"/>
        </w:rPr>
        <w:t>任务背景与核心目的</w:t>
      </w:r>
    </w:p>
    <w:p w14:paraId="32BA03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在电子商务领域，用户撰写的商品评论蕴含着极高的商业价值。通过数据挖掘技术自动识别评论的情感倾向（正面/负面），能够帮助商家快速捕捉用户反馈、优化产品设计。</w:t>
      </w:r>
    </w:p>
    <w:p w14:paraId="54E642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本任务要求同学们针对真实的中文电商评论数据，完成一个从数据清洗、特征提取、模型训练到可视化评估与策略优化的完整数据挖掘流程，并按照《软件学报》的排版规范撰写课程论文。</w:t>
      </w:r>
    </w:p>
    <w:p w14:paraId="7D24A67E">
      <w:pPr>
        <w:numPr>
          <w:ilvl w:val="0"/>
          <w:numId w:val="1"/>
        </w:numPr>
        <w:rPr>
          <w:rFonts w:hint="eastAsia"/>
          <w:b/>
          <w:bCs/>
          <w:sz w:val="28"/>
          <w:szCs w:val="28"/>
        </w:rPr>
      </w:pPr>
      <w:r>
        <w:rPr>
          <w:rFonts w:hint="eastAsia"/>
          <w:b/>
          <w:bCs/>
          <w:sz w:val="28"/>
          <w:szCs w:val="28"/>
        </w:rPr>
        <w:t>数据集下载与说明</w:t>
      </w:r>
    </w:p>
    <w:p w14:paraId="35D884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本任务统一采用经典</w:t>
      </w:r>
      <w:r>
        <w:rPr>
          <w:rFonts w:hint="default" w:ascii="Times New Roman Regular" w:hAnsi="Times New Roman Regular" w:cs="Times New Roman Regular"/>
          <w:sz w:val="24"/>
          <w:szCs w:val="24"/>
        </w:rPr>
        <w:t>的 Online Shopping Reviews（</w:t>
      </w:r>
      <w:r>
        <w:rPr>
          <w:rFonts w:hint="eastAsia"/>
          <w:sz w:val="24"/>
          <w:szCs w:val="24"/>
        </w:rPr>
        <w:t>电商评论情感二分类数据集）。数据集中包含书籍、平板、手机、计算机等多个品类的电商评论，并已人工标注了情感倾向（1 表示正评，0 表示负评）。</w:t>
      </w:r>
    </w:p>
    <w:p w14:paraId="644403E3">
      <w:pPr>
        <w:pStyle w:val="6"/>
        <w:keepNext w:val="0"/>
        <w:keepLines w:val="0"/>
        <w:widowControl/>
        <w:numPr>
          <w:ilvl w:val="0"/>
          <w:numId w:val="2"/>
        </w:numPr>
        <w:suppressLineNumbers w:val="0"/>
        <w:ind w:left="420" w:leftChars="0" w:hanging="420" w:firstLineChars="0"/>
      </w:pPr>
      <w:r>
        <w:rPr>
          <w:b/>
          <w:bCs/>
        </w:rPr>
        <w:t>数据集下载链接</w:t>
      </w:r>
      <w:r>
        <w:t>：</w:t>
      </w:r>
    </w:p>
    <w:p w14:paraId="79A2D730">
      <w:pPr>
        <w:pStyle w:val="6"/>
        <w:keepNext w:val="0"/>
        <w:keepLines w:val="0"/>
        <w:widowControl/>
        <w:numPr>
          <w:ilvl w:val="0"/>
          <w:numId w:val="2"/>
        </w:numPr>
        <w:suppressLineNumbers w:val="0"/>
        <w:ind w:left="420" w:leftChars="0" w:hanging="420" w:firstLineChars="0"/>
      </w:pPr>
      <w:r>
        <w:rPr>
          <w:rFonts w:hint="eastAsia"/>
        </w:rPr>
        <w:t>https://pan.baidu.com/s/1C6-2277JEyWOMUzPT3zyxg?pwd=qmen 提取码: qmen</w:t>
      </w:r>
    </w:p>
    <w:p w14:paraId="72969782">
      <w:pPr>
        <w:numPr>
          <w:ilvl w:val="0"/>
          <w:numId w:val="1"/>
        </w:numPr>
        <w:rPr>
          <w:rFonts w:hint="default"/>
          <w:b/>
          <w:bCs/>
          <w:sz w:val="28"/>
          <w:szCs w:val="28"/>
          <w:lang w:val="en-US" w:eastAsia="zh-CN"/>
        </w:rPr>
      </w:pPr>
      <w:r>
        <w:rPr>
          <w:rFonts w:hint="eastAsia"/>
          <w:b/>
          <w:bCs/>
          <w:sz w:val="28"/>
          <w:szCs w:val="28"/>
          <w:lang w:val="en-US" w:eastAsia="zh-CN"/>
        </w:rPr>
        <w:t>任务内容</w:t>
      </w:r>
    </w:p>
    <w:p w14:paraId="05F004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本任务要求每位同学独立完成一个完整的文本挖掘实验，并严格模板撰写一篇正文不少于 8 页的课程论文。论文正文必须包含以下五个核心章节，各章节的实验与撰写要求如下：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5920"/>
        <w:gridCol w:w="1211"/>
      </w:tblGrid>
      <w:tr w14:paraId="2CE1FED5">
        <w:tc>
          <w:tcPr>
            <w:tcW w:w="1391" w:type="dxa"/>
            <w:vAlign w:val="center"/>
          </w:tcPr>
          <w:p w14:paraId="6347B8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论文章节</w:t>
            </w:r>
          </w:p>
          <w:p w14:paraId="77EF44F2">
            <w:pPr>
              <w:numPr>
                <w:ilvl w:val="0"/>
                <w:numId w:val="0"/>
              </w:numPr>
              <w:jc w:val="center"/>
              <w:rPr>
                <w:rFonts w:hint="eastAsia" w:ascii="宋体" w:hAnsi="宋体" w:eastAsia="宋体" w:cs="宋体"/>
                <w:b w:val="0"/>
                <w:bCs w:val="0"/>
                <w:sz w:val="24"/>
                <w:szCs w:val="24"/>
                <w:vertAlign w:val="baseline"/>
                <w:lang w:val="en-US" w:eastAsia="zh-CN"/>
              </w:rPr>
            </w:pPr>
          </w:p>
        </w:tc>
        <w:tc>
          <w:tcPr>
            <w:tcW w:w="5920" w:type="dxa"/>
            <w:vAlign w:val="center"/>
          </w:tcPr>
          <w:p w14:paraId="25291D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核心任务与产出要求</w:t>
            </w:r>
          </w:p>
        </w:tc>
        <w:tc>
          <w:tcPr>
            <w:tcW w:w="1211" w:type="dxa"/>
            <w:vAlign w:val="center"/>
          </w:tcPr>
          <w:p w14:paraId="4EA0ACA8">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得分比例</w:t>
            </w:r>
          </w:p>
        </w:tc>
      </w:tr>
      <w:tr w14:paraId="45F7967F">
        <w:tc>
          <w:tcPr>
            <w:tcW w:w="1391" w:type="dxa"/>
            <w:vAlign w:val="center"/>
          </w:tcPr>
          <w:p w14:paraId="762118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前言</w:t>
            </w:r>
          </w:p>
        </w:tc>
        <w:tc>
          <w:tcPr>
            <w:tcW w:w="5920" w:type="dxa"/>
            <w:vAlign w:val="center"/>
          </w:tcPr>
          <w:p w14:paraId="25E6AC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梳理电商评论情感分析业务落地背景，提炼人工分拣评论、判别情感的现存业务痛点；确立电商评论情感倾向二分类的整体挖掘实验目标。</w:t>
            </w:r>
          </w:p>
        </w:tc>
        <w:tc>
          <w:tcPr>
            <w:tcW w:w="1211" w:type="dxa"/>
            <w:vAlign w:val="center"/>
          </w:tcPr>
          <w:p w14:paraId="3C516D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20%</w:t>
            </w:r>
          </w:p>
        </w:tc>
      </w:tr>
      <w:tr w14:paraId="73F84A79">
        <w:tc>
          <w:tcPr>
            <w:tcW w:w="1391" w:type="dxa"/>
            <w:vAlign w:val="center"/>
          </w:tcPr>
          <w:p w14:paraId="44D285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数据探索</w:t>
            </w:r>
          </w:p>
          <w:p w14:paraId="4C356D10">
            <w:pPr>
              <w:numPr>
                <w:ilvl w:val="0"/>
                <w:numId w:val="0"/>
              </w:numPr>
              <w:jc w:val="center"/>
              <w:rPr>
                <w:rFonts w:hint="eastAsia" w:ascii="宋体" w:hAnsi="宋体" w:eastAsia="宋体" w:cs="宋体"/>
                <w:b w:val="0"/>
                <w:bCs w:val="0"/>
                <w:sz w:val="24"/>
                <w:szCs w:val="24"/>
                <w:vertAlign w:val="baseline"/>
                <w:lang w:val="en-US" w:eastAsia="zh-CN"/>
              </w:rPr>
            </w:pPr>
          </w:p>
        </w:tc>
        <w:tc>
          <w:tcPr>
            <w:tcW w:w="5920" w:type="dxa"/>
            <w:vAlign w:val="center"/>
          </w:tcPr>
          <w:p w14:paraId="45EF59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统计并汇报你所选数据集中正负样本的数量与比例（分析是否存在样本不均衡）；绘制正评与负评的词云图（Word Cloud），直观展示高频特征词。</w:t>
            </w:r>
          </w:p>
        </w:tc>
        <w:tc>
          <w:tcPr>
            <w:tcW w:w="1211" w:type="dxa"/>
            <w:vAlign w:val="center"/>
          </w:tcPr>
          <w:p w14:paraId="47310C74">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20%</w:t>
            </w:r>
          </w:p>
        </w:tc>
      </w:tr>
      <w:tr w14:paraId="2B6330A9">
        <w:tc>
          <w:tcPr>
            <w:tcW w:w="1391" w:type="dxa"/>
            <w:vAlign w:val="center"/>
          </w:tcPr>
          <w:p w14:paraId="5D634E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数据预处理</w:t>
            </w:r>
          </w:p>
        </w:tc>
        <w:tc>
          <w:tcPr>
            <w:tcW w:w="5920" w:type="dxa"/>
            <w:vAlign w:val="center"/>
          </w:tcPr>
          <w:p w14:paraId="4230EFD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default" w:ascii="Times New Roman Regular" w:hAnsi="Times New Roman Regular" w:eastAsia="宋体" w:cs="Times New Roman Regular"/>
                <w:b w:val="0"/>
                <w:bCs w:val="0"/>
                <w:sz w:val="24"/>
                <w:szCs w:val="24"/>
                <w:lang w:val="en-US" w:eastAsia="zh-CN"/>
              </w:rPr>
              <w:t>实施文本清洗（去除噪声符号、无效特殊字符）；按需执行分词、词形还原并过滤停用词；利用 TF-IDF 或 Word2Vec 算法将文本转化为数值矩阵，并交代最终的特征维度。</w:t>
            </w:r>
          </w:p>
        </w:tc>
        <w:tc>
          <w:tcPr>
            <w:tcW w:w="1211" w:type="dxa"/>
            <w:vAlign w:val="center"/>
          </w:tcPr>
          <w:p w14:paraId="2A3BD1BA">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20%</w:t>
            </w:r>
          </w:p>
        </w:tc>
      </w:tr>
      <w:tr w14:paraId="68395743">
        <w:trPr>
          <w:trHeight w:val="2081" w:hRule="atLeast"/>
        </w:trPr>
        <w:tc>
          <w:tcPr>
            <w:tcW w:w="1391" w:type="dxa"/>
            <w:vAlign w:val="center"/>
          </w:tcPr>
          <w:p w14:paraId="7E2D7664">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建模分析</w:t>
            </w:r>
          </w:p>
        </w:tc>
        <w:tc>
          <w:tcPr>
            <w:tcW w:w="5920" w:type="dxa"/>
            <w:vAlign w:val="center"/>
          </w:tcPr>
          <w:p w14:paraId="4190BD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default" w:ascii="Times New Roman" w:hAnsi="Times New Roman" w:eastAsia="宋体" w:cs="Times New Roman"/>
                <w:b w:val="0"/>
                <w:bCs w:val="0"/>
                <w:sz w:val="24"/>
                <w:szCs w:val="24"/>
                <w:lang w:val="en-US" w:eastAsia="zh-CN"/>
              </w:rPr>
              <w:t>选择至少两种分类算法（如朴素贝叶斯、SVM、随机森林</w:t>
            </w:r>
            <w:r>
              <w:rPr>
                <w:rFonts w:hint="eastAsia" w:ascii="Times New Roman" w:hAnsi="Times New Roman" w:eastAsia="宋体" w:cs="Times New Roman"/>
                <w:b w:val="0"/>
                <w:bCs w:val="0"/>
                <w:sz w:val="24"/>
                <w:szCs w:val="24"/>
                <w:lang w:val="en-US" w:eastAsia="zh-CN"/>
              </w:rPr>
              <w:t>、决策树、神经网络</w:t>
            </w:r>
            <w:r>
              <w:rPr>
                <w:rFonts w:hint="default" w:ascii="Times New Roman" w:hAnsi="Times New Roman" w:eastAsia="宋体" w:cs="Times New Roman"/>
                <w:b w:val="0"/>
                <w:bCs w:val="0"/>
                <w:sz w:val="24"/>
                <w:szCs w:val="24"/>
                <w:lang w:val="en-US" w:eastAsia="zh-CN"/>
              </w:rPr>
              <w:t>等）进行对比训练；在测试集上输出混淆矩阵热力图与 ROC 曲线图；列表对比并计算各模型的 Accuracy、Precision、Recall 和 F1-Score。</w:t>
            </w:r>
          </w:p>
        </w:tc>
        <w:tc>
          <w:tcPr>
            <w:tcW w:w="1211" w:type="dxa"/>
            <w:vAlign w:val="center"/>
          </w:tcPr>
          <w:p w14:paraId="3DE6964D">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25%</w:t>
            </w:r>
          </w:p>
        </w:tc>
      </w:tr>
      <w:tr w14:paraId="201239DF">
        <w:tc>
          <w:tcPr>
            <w:tcW w:w="1391" w:type="dxa"/>
            <w:vAlign w:val="center"/>
          </w:tcPr>
          <w:p w14:paraId="1053F4F3">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结论</w:t>
            </w:r>
          </w:p>
        </w:tc>
        <w:tc>
          <w:tcPr>
            <w:tcW w:w="5920" w:type="dxa"/>
            <w:vAlign w:val="center"/>
          </w:tcPr>
          <w:p w14:paraId="590F88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结合混淆矩阵，进行案例分析，挑出典型误判样本并深入分析模型犯错的原因；从商业应用层面提出具体的优化与落地建议，同时可进一步从技术迭代角度（如优化模型、特征重构等维度）设计针对性改进策略。</w:t>
            </w:r>
          </w:p>
          <w:p w14:paraId="5013FF54">
            <w:pPr>
              <w:numPr>
                <w:ilvl w:val="0"/>
                <w:numId w:val="0"/>
              </w:numPr>
              <w:jc w:val="both"/>
              <w:rPr>
                <w:rFonts w:hint="eastAsia" w:ascii="宋体" w:hAnsi="宋体" w:eastAsia="宋体" w:cs="宋体"/>
                <w:b w:val="0"/>
                <w:bCs w:val="0"/>
                <w:sz w:val="24"/>
                <w:szCs w:val="24"/>
                <w:vertAlign w:val="baseline"/>
                <w:lang w:val="en-US" w:eastAsia="zh-CN"/>
              </w:rPr>
            </w:pPr>
          </w:p>
        </w:tc>
        <w:tc>
          <w:tcPr>
            <w:tcW w:w="1211" w:type="dxa"/>
            <w:vAlign w:val="center"/>
          </w:tcPr>
          <w:p w14:paraId="7D2C9450">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15%</w:t>
            </w:r>
          </w:p>
        </w:tc>
      </w:tr>
    </w:tbl>
    <w:p w14:paraId="1F37AE43">
      <w:pPr>
        <w:numPr>
          <w:ilvl w:val="0"/>
          <w:numId w:val="0"/>
        </w:numPr>
        <w:rPr>
          <w:rFonts w:hint="default"/>
          <w:b/>
          <w:bCs/>
          <w:sz w:val="30"/>
          <w:szCs w:val="30"/>
          <w:lang w:val="en-US" w:eastAsia="zh-CN"/>
        </w:rPr>
        <w:sectPr>
          <w:pgSz w:w="11906" w:h="16838"/>
          <w:pgMar w:top="1440" w:right="1800" w:bottom="1440" w:left="1800" w:header="851" w:footer="992" w:gutter="0"/>
          <w:cols w:space="425" w:num="1"/>
          <w:docGrid w:type="lines" w:linePitch="312" w:charSpace="0"/>
        </w:sectPr>
      </w:pPr>
    </w:p>
    <w:p w14:paraId="5D9256F9">
      <w:pPr>
        <w:pStyle w:val="4"/>
        <w:bidi w:val="0"/>
        <w:jc w:val="left"/>
        <w:rPr>
          <w:rFonts w:hint="eastAsia" w:ascii="宋体" w:hAnsi="宋体" w:eastAsia="宋体" w:cs="宋体"/>
          <w:sz w:val="32"/>
          <w:szCs w:val="32"/>
        </w:rPr>
      </w:pPr>
      <w:r>
        <w:rPr>
          <w:rFonts w:hint="eastAsia" w:ascii="宋体" w:hAnsi="宋体" w:eastAsia="宋体" w:cs="宋体"/>
          <w:sz w:val="32"/>
          <w:szCs w:val="32"/>
        </w:rPr>
        <w:t>任务二：面向城市交通流量的时序预测与拟合挖掘</w:t>
      </w:r>
    </w:p>
    <w:p w14:paraId="547806A5">
      <w:pPr>
        <w:numPr>
          <w:ilvl w:val="0"/>
          <w:numId w:val="0"/>
        </w:numPr>
        <w:rPr>
          <w:rFonts w:hint="eastAsia" w:ascii="宋体" w:hAnsi="宋体" w:eastAsia="宋体" w:cs="宋体"/>
          <w:b/>
          <w:bCs/>
          <w:sz w:val="28"/>
          <w:szCs w:val="28"/>
        </w:rPr>
      </w:pPr>
      <w:r>
        <w:rPr>
          <w:rFonts w:hint="eastAsia" w:ascii="宋体" w:hAnsi="宋体" w:eastAsia="宋体" w:cs="宋体"/>
          <w:b/>
          <w:bCs/>
          <w:sz w:val="28"/>
          <w:szCs w:val="28"/>
        </w:rPr>
        <w:t>1. 任务背景与核心目的</w:t>
      </w:r>
    </w:p>
    <w:p w14:paraId="652F68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在智慧城市建设中，准确预测城市交通流量对于缓解交通拥堵、优化红绿灯配时以及科学规划公共交通具有至关重要的作用。交通流量数据具有典型的时间序列特征，通常呈现出明显的日周期性、周周期性以及受天气和节假日影响的波动性。 </w:t>
      </w:r>
    </w:p>
    <w:p w14:paraId="3C723F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b/>
          <w:bCs/>
          <w:sz w:val="30"/>
          <w:szCs w:val="30"/>
          <w:lang w:val="en-US" w:eastAsia="zh-CN"/>
        </w:rPr>
      </w:pPr>
      <w:r>
        <w:rPr>
          <w:rFonts w:hint="eastAsia"/>
          <w:sz w:val="24"/>
          <w:szCs w:val="24"/>
        </w:rPr>
        <w:t>本任务要求同学们针对真实的城市交通流量数据，完成一个从时序特征探索、数据缺失值处理、时序模型构建到拟合曲线可视化与策略优化的完整数据挖掘流程，并按照《软件学报》的排版规范撰写课程论文。</w:t>
      </w:r>
    </w:p>
    <w:p w14:paraId="4C36EC1D">
      <w:pPr>
        <w:numPr>
          <w:ilvl w:val="0"/>
          <w:numId w:val="0"/>
        </w:numPr>
        <w:rPr>
          <w:rFonts w:hint="default"/>
          <w:b/>
          <w:bCs/>
          <w:sz w:val="30"/>
          <w:szCs w:val="30"/>
          <w:lang w:val="en-US" w:eastAsia="zh-CN"/>
        </w:rPr>
      </w:pPr>
      <w:r>
        <w:rPr>
          <w:rFonts w:hint="eastAsia" w:ascii="宋体" w:hAnsi="宋体" w:eastAsia="宋体" w:cs="宋体"/>
          <w:b/>
          <w:bCs/>
          <w:sz w:val="28"/>
          <w:szCs w:val="28"/>
          <w:lang w:val="en-US" w:eastAsia="zh-CN"/>
        </w:rPr>
        <w:t>2.</w:t>
      </w:r>
      <w:r>
        <w:rPr>
          <w:rFonts w:hint="eastAsia" w:ascii="宋体" w:hAnsi="宋体" w:eastAsia="宋体" w:cs="宋体"/>
          <w:b/>
          <w:bCs/>
          <w:sz w:val="28"/>
          <w:szCs w:val="28"/>
        </w:rPr>
        <w:t>数据集下载与说明</w:t>
      </w:r>
    </w:p>
    <w:p w14:paraId="4DB13666">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本任务统一采用经典的 Metro</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Interstate</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Traffic</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Volume（交通流量时序数据集）。数据集中包含按小时（Hourly）统计的交通流量（Traffic Volume），并包含了天气状况、温度、雨量、雪量以及是否为法定节假日等丰富的外生变量。</w:t>
      </w:r>
    </w:p>
    <w:p w14:paraId="0888C876">
      <w:pPr>
        <w:pStyle w:val="6"/>
        <w:keepNext w:val="0"/>
        <w:keepLines w:val="0"/>
        <w:widowControl/>
        <w:numPr>
          <w:ilvl w:val="0"/>
          <w:numId w:val="2"/>
        </w:numPr>
        <w:suppressLineNumbers w:val="0"/>
        <w:ind w:left="420" w:leftChars="0" w:hanging="420" w:firstLineChars="0"/>
      </w:pPr>
      <w:r>
        <w:rPr>
          <w:b/>
          <w:bCs/>
        </w:rPr>
        <w:t>数据集下载链接</w:t>
      </w:r>
      <w:r>
        <w:t>：</w:t>
      </w:r>
    </w:p>
    <w:p w14:paraId="09438B4B">
      <w:pPr>
        <w:pStyle w:val="6"/>
        <w:keepNext w:val="0"/>
        <w:keepLines w:val="0"/>
        <w:widowControl/>
        <w:numPr>
          <w:ilvl w:val="0"/>
          <w:numId w:val="2"/>
        </w:numPr>
        <w:suppressLineNumbers w:val="0"/>
        <w:ind w:left="420" w:leftChars="0" w:hanging="420" w:firstLineChars="0"/>
        <w:rPr>
          <w:rFonts w:hint="default" w:ascii="Times New Roman Regular" w:hAnsi="Times New Roman Regular" w:cs="Times New Roman Regular"/>
          <w:sz w:val="24"/>
          <w:szCs w:val="24"/>
        </w:rPr>
      </w:pPr>
      <w:r>
        <w:rPr>
          <w:rFonts w:hint="eastAsia"/>
        </w:rPr>
        <w:t>https://pan.baidu.com/s/1gt5K-WOfTg4imXm1BKz9Bg?pwd=ptqi 提取码: ptqi</w:t>
      </w:r>
    </w:p>
    <w:p w14:paraId="6AAF5FC9">
      <w:pPr>
        <w:numPr>
          <w:ilvl w:val="0"/>
          <w:numId w:val="0"/>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3.任务内容</w:t>
      </w:r>
    </w:p>
    <w:p w14:paraId="0B7063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sz w:val="28"/>
          <w:szCs w:val="28"/>
          <w:lang w:val="en-US" w:eastAsia="zh-CN"/>
        </w:rPr>
      </w:pPr>
      <w:r>
        <w:rPr>
          <w:rFonts w:hint="eastAsia"/>
          <w:sz w:val="24"/>
          <w:szCs w:val="24"/>
          <w:lang w:val="en-US" w:eastAsia="zh-CN"/>
        </w:rPr>
        <w:t>本任务要求每位同学独立完成一个完整的文本挖掘实验，并严格模板撰写一篇正文不少于 8 页的课程论文。论文正文必须包含以下五个核心章节，各章节的实验与撰写要求如下：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5920"/>
        <w:gridCol w:w="1211"/>
      </w:tblGrid>
      <w:tr w14:paraId="3EC93A5A">
        <w:tc>
          <w:tcPr>
            <w:tcW w:w="1391" w:type="dxa"/>
            <w:vAlign w:val="center"/>
          </w:tcPr>
          <w:p w14:paraId="2138AF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论文章节</w:t>
            </w:r>
          </w:p>
          <w:p w14:paraId="27CA5345">
            <w:pPr>
              <w:numPr>
                <w:ilvl w:val="0"/>
                <w:numId w:val="0"/>
              </w:numPr>
              <w:jc w:val="center"/>
              <w:rPr>
                <w:rFonts w:hint="eastAsia" w:ascii="宋体" w:hAnsi="宋体" w:eastAsia="宋体" w:cs="宋体"/>
                <w:b w:val="0"/>
                <w:bCs w:val="0"/>
                <w:sz w:val="24"/>
                <w:szCs w:val="24"/>
                <w:vertAlign w:val="baseline"/>
                <w:lang w:val="en-US" w:eastAsia="zh-CN"/>
              </w:rPr>
            </w:pPr>
          </w:p>
        </w:tc>
        <w:tc>
          <w:tcPr>
            <w:tcW w:w="5920" w:type="dxa"/>
            <w:vAlign w:val="center"/>
          </w:tcPr>
          <w:p w14:paraId="70E651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核心任务与产出要求</w:t>
            </w:r>
          </w:p>
        </w:tc>
        <w:tc>
          <w:tcPr>
            <w:tcW w:w="1211" w:type="dxa"/>
            <w:vAlign w:val="center"/>
          </w:tcPr>
          <w:p w14:paraId="51BFB7E8">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得分比例</w:t>
            </w:r>
          </w:p>
        </w:tc>
      </w:tr>
      <w:tr w14:paraId="7619406C">
        <w:tc>
          <w:tcPr>
            <w:tcW w:w="1391" w:type="dxa"/>
            <w:vAlign w:val="center"/>
          </w:tcPr>
          <w:p w14:paraId="059A3B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前言</w:t>
            </w:r>
          </w:p>
        </w:tc>
        <w:tc>
          <w:tcPr>
            <w:tcW w:w="5920" w:type="dxa"/>
            <w:vAlign w:val="center"/>
          </w:tcPr>
          <w:p w14:paraId="116F94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阐述智慧交通发展现状；分析传统调配的滞后性及特殊天气/节假日的干扰；明确利用历史多维时序特征实现精准流量预测的任务目标。</w:t>
            </w:r>
          </w:p>
        </w:tc>
        <w:tc>
          <w:tcPr>
            <w:tcW w:w="1211" w:type="dxa"/>
            <w:vAlign w:val="center"/>
          </w:tcPr>
          <w:p w14:paraId="2072A6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20%</w:t>
            </w:r>
          </w:p>
        </w:tc>
      </w:tr>
      <w:tr w14:paraId="61DCFAA6">
        <w:tc>
          <w:tcPr>
            <w:tcW w:w="1391" w:type="dxa"/>
            <w:vAlign w:val="center"/>
          </w:tcPr>
          <w:p w14:paraId="13B114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数据探索</w:t>
            </w:r>
          </w:p>
          <w:p w14:paraId="23A0132B">
            <w:pPr>
              <w:numPr>
                <w:ilvl w:val="0"/>
                <w:numId w:val="0"/>
              </w:numPr>
              <w:jc w:val="center"/>
              <w:rPr>
                <w:rFonts w:hint="eastAsia" w:ascii="宋体" w:hAnsi="宋体" w:eastAsia="宋体" w:cs="宋体"/>
                <w:b w:val="0"/>
                <w:bCs w:val="0"/>
                <w:sz w:val="24"/>
                <w:szCs w:val="24"/>
                <w:vertAlign w:val="baseline"/>
                <w:lang w:val="en-US" w:eastAsia="zh-CN"/>
              </w:rPr>
            </w:pPr>
          </w:p>
        </w:tc>
        <w:tc>
          <w:tcPr>
            <w:tcW w:w="5920" w:type="dxa"/>
            <w:vAlign w:val="center"/>
          </w:tcPr>
          <w:p w14:paraId="6502A30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统计汇报交通流量的时序基本特征；绘制交通流量整体时序图；按“小时”或“星期”进行数据聚合，绘制并分析流量的日周期和周周期特征。</w:t>
            </w:r>
          </w:p>
        </w:tc>
        <w:tc>
          <w:tcPr>
            <w:tcW w:w="1211" w:type="dxa"/>
            <w:vAlign w:val="center"/>
          </w:tcPr>
          <w:p w14:paraId="55876F73">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20%</w:t>
            </w:r>
          </w:p>
        </w:tc>
      </w:tr>
      <w:tr w14:paraId="51812AD1">
        <w:tc>
          <w:tcPr>
            <w:tcW w:w="1391" w:type="dxa"/>
            <w:vAlign w:val="center"/>
          </w:tcPr>
          <w:p w14:paraId="7BAB6C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数据预处理</w:t>
            </w:r>
          </w:p>
        </w:tc>
        <w:tc>
          <w:tcPr>
            <w:tcW w:w="5920" w:type="dxa"/>
            <w:vAlign w:val="center"/>
          </w:tcPr>
          <w:p w14:paraId="52DF72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按需进行缺失值、重复值、不一致性分析与处理；对流量、温度等连续型变量进行归一化。</w:t>
            </w:r>
          </w:p>
        </w:tc>
        <w:tc>
          <w:tcPr>
            <w:tcW w:w="1211" w:type="dxa"/>
            <w:vAlign w:val="center"/>
          </w:tcPr>
          <w:p w14:paraId="47B7FD83">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20%</w:t>
            </w:r>
          </w:p>
        </w:tc>
      </w:tr>
      <w:tr w14:paraId="23514D4A">
        <w:tc>
          <w:tcPr>
            <w:tcW w:w="1391" w:type="dxa"/>
            <w:vAlign w:val="center"/>
          </w:tcPr>
          <w:p w14:paraId="0A906BCD">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建模分析</w:t>
            </w:r>
          </w:p>
        </w:tc>
        <w:tc>
          <w:tcPr>
            <w:tcW w:w="5920" w:type="dxa"/>
            <w:vAlign w:val="center"/>
          </w:tcPr>
          <w:p w14:paraId="2FF79E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对比训练至少两种时序算法（如 </w:t>
            </w:r>
            <w:r>
              <w:rPr>
                <w:rFonts w:hint="default" w:ascii="Times New Roman" w:hAnsi="Times New Roman" w:eastAsia="宋体" w:cs="Times New Roman"/>
                <w:b w:val="0"/>
                <w:bCs w:val="0"/>
                <w:sz w:val="24"/>
                <w:szCs w:val="24"/>
                <w:vertAlign w:val="baseline"/>
                <w:lang w:val="en-US" w:eastAsia="zh-CN"/>
              </w:rPr>
              <w:t>ARIMA</w:t>
            </w:r>
            <w:r>
              <w:rPr>
                <w:rFonts w:hint="eastAsia" w:ascii="宋体" w:hAnsi="宋体" w:eastAsia="宋体" w:cs="宋体"/>
                <w:b w:val="0"/>
                <w:bCs w:val="0"/>
                <w:sz w:val="24"/>
                <w:szCs w:val="24"/>
                <w:vertAlign w:val="baseline"/>
                <w:lang w:val="en-US" w:eastAsia="zh-CN"/>
              </w:rPr>
              <w:t xml:space="preserve"> 或 </w:t>
            </w:r>
            <w:r>
              <w:rPr>
                <w:rFonts w:hint="default" w:ascii="Times New Roman" w:hAnsi="Times New Roman" w:eastAsia="宋体" w:cs="Times New Roman"/>
                <w:b w:val="0"/>
                <w:bCs w:val="0"/>
                <w:sz w:val="24"/>
                <w:szCs w:val="24"/>
                <w:vertAlign w:val="baseline"/>
                <w:lang w:val="en-US" w:eastAsia="zh-CN"/>
              </w:rPr>
              <w:t>XGBoost</w:t>
            </w:r>
            <w:r>
              <w:rPr>
                <w:rFonts w:hint="eastAsia" w:ascii="宋体" w:hAnsi="宋体" w:eastAsia="宋体" w:cs="宋体"/>
                <w:b w:val="0"/>
                <w:bCs w:val="0"/>
                <w:sz w:val="24"/>
                <w:szCs w:val="24"/>
                <w:vertAlign w:val="baseline"/>
                <w:lang w:val="en-US" w:eastAsia="zh-CN"/>
              </w:rPr>
              <w:t xml:space="preserve"> 回归）；在测试集上绘制真实值与预测值的时序拟合曲线图（含残差分析）；列表计算对比 </w:t>
            </w:r>
            <w:r>
              <w:rPr>
                <w:rFonts w:hint="default" w:ascii="Times New Roman" w:hAnsi="Times New Roman" w:eastAsia="宋体" w:cs="Times New Roman"/>
                <w:b w:val="0"/>
                <w:bCs w:val="0"/>
                <w:sz w:val="24"/>
                <w:szCs w:val="24"/>
                <w:vertAlign w:val="baseline"/>
                <w:lang w:val="en-US" w:eastAsia="zh-CN"/>
              </w:rPr>
              <w:t>MAE、RMSE</w:t>
            </w:r>
            <w:r>
              <w:rPr>
                <w:rFonts w:hint="eastAsia" w:ascii="宋体" w:hAnsi="宋体" w:eastAsia="宋体" w:cs="宋体"/>
                <w:b w:val="0"/>
                <w:bCs w:val="0"/>
                <w:sz w:val="24"/>
                <w:szCs w:val="24"/>
                <w:vertAlign w:val="baseline"/>
                <w:lang w:val="en-US" w:eastAsia="zh-CN"/>
              </w:rPr>
              <w:t xml:space="preserve"> 和 </w:t>
            </w:r>
            <m:oMath>
              <m:sSup>
                <m:sSupPr>
                  <m:ctrlPr>
                    <w:rPr>
                      <w:rFonts w:hint="default" w:ascii="DejaVu Math TeX Gyre" w:hAnsi="DejaVu Math TeX Gyre" w:eastAsia="宋体" w:cs="宋体"/>
                      <w:b w:val="0"/>
                      <w:bCs w:val="0"/>
                      <w:i/>
                      <w:kern w:val="2"/>
                      <w:sz w:val="24"/>
                      <w:szCs w:val="24"/>
                      <w:vertAlign w:val="baseline"/>
                      <w:lang w:val="en-US" w:eastAsia="zh-CN" w:bidi="ar-SA"/>
                    </w:rPr>
                  </m:ctrlPr>
                </m:sSupPr>
                <m:e>
                  <m:r>
                    <m:rPr/>
                    <w:rPr>
                      <w:rFonts w:hint="default" w:ascii="DejaVu Math TeX Gyre" w:hAnsi="DejaVu Math TeX Gyre" w:eastAsia="宋体" w:cs="宋体"/>
                      <w:kern w:val="2"/>
                      <w:sz w:val="24"/>
                      <w:szCs w:val="24"/>
                      <w:vertAlign w:val="baseline"/>
                      <w:lang w:val="en-US" w:eastAsia="zh-CN" w:bidi="ar-SA"/>
                    </w:rPr>
                    <m:t>R</m:t>
                  </m:r>
                  <m:ctrlPr>
                    <w:rPr>
                      <w:rFonts w:hint="default" w:ascii="DejaVu Math TeX Gyre" w:hAnsi="DejaVu Math TeX Gyre" w:eastAsia="宋体" w:cs="宋体"/>
                      <w:b w:val="0"/>
                      <w:bCs w:val="0"/>
                      <w:i/>
                      <w:kern w:val="2"/>
                      <w:sz w:val="24"/>
                      <w:szCs w:val="24"/>
                      <w:vertAlign w:val="baseline"/>
                      <w:lang w:val="en-US" w:eastAsia="zh-CN" w:bidi="ar-SA"/>
                    </w:rPr>
                  </m:ctrlPr>
                </m:e>
                <m:sup>
                  <m:r>
                    <m:rPr/>
                    <w:rPr>
                      <w:rFonts w:hint="default" w:ascii="DejaVu Math TeX Gyre" w:hAnsi="DejaVu Math TeX Gyre" w:eastAsia="宋体" w:cs="宋体"/>
                      <w:kern w:val="2"/>
                      <w:sz w:val="24"/>
                      <w:szCs w:val="24"/>
                      <w:vertAlign w:val="baseline"/>
                      <w:lang w:val="en-US" w:eastAsia="zh-CN" w:bidi="ar-SA"/>
                    </w:rPr>
                    <m:t>2</m:t>
                  </m:r>
                  <m:ctrlPr>
                    <w:rPr>
                      <w:rFonts w:hint="default" w:ascii="DejaVu Math TeX Gyre" w:hAnsi="DejaVu Math TeX Gyre" w:eastAsia="宋体" w:cs="宋体"/>
                      <w:b w:val="0"/>
                      <w:bCs w:val="0"/>
                      <w:i/>
                      <w:kern w:val="2"/>
                      <w:sz w:val="24"/>
                      <w:szCs w:val="24"/>
                      <w:vertAlign w:val="baseline"/>
                      <w:lang w:val="en-US" w:eastAsia="zh-CN" w:bidi="ar-SA"/>
                    </w:rPr>
                  </m:ctrlPr>
                </m:sup>
              </m:sSup>
            </m:oMath>
            <w:r>
              <w:rPr>
                <w:rFonts w:hint="eastAsia" w:ascii="宋体" w:hAnsi="宋体" w:eastAsia="宋体" w:cs="宋体"/>
                <w:b w:val="0"/>
                <w:bCs w:val="0"/>
                <w:sz w:val="24"/>
                <w:szCs w:val="24"/>
                <w:vertAlign w:val="baseline"/>
                <w:lang w:val="en-US" w:eastAsia="zh-CN"/>
              </w:rPr>
              <w:t>指标。</w:t>
            </w:r>
          </w:p>
        </w:tc>
        <w:tc>
          <w:tcPr>
            <w:tcW w:w="1211" w:type="dxa"/>
            <w:vAlign w:val="center"/>
          </w:tcPr>
          <w:p w14:paraId="13EB6DA9">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25%</w:t>
            </w:r>
          </w:p>
        </w:tc>
      </w:tr>
      <w:tr w14:paraId="6E25F29F">
        <w:tc>
          <w:tcPr>
            <w:tcW w:w="1391" w:type="dxa"/>
            <w:vAlign w:val="center"/>
          </w:tcPr>
          <w:p w14:paraId="66E2ECDB">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结论</w:t>
            </w:r>
          </w:p>
        </w:tc>
        <w:tc>
          <w:tcPr>
            <w:tcW w:w="5920" w:type="dxa"/>
            <w:vAlign w:val="center"/>
          </w:tcPr>
          <w:p w14:paraId="2C0A3C3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vertAlign w:val="baseline"/>
                <w:lang w:val="en-US" w:eastAsia="zh-CN"/>
              </w:rPr>
            </w:pPr>
            <w:r>
              <w:rPr>
                <w:rFonts w:ascii="宋体" w:hAnsi="宋体" w:eastAsia="宋体" w:cs="宋体"/>
                <w:kern w:val="0"/>
                <w:sz w:val="24"/>
                <w:szCs w:val="24"/>
                <w:lang w:val="en-US" w:eastAsia="zh-CN" w:bidi="ar"/>
              </w:rPr>
              <w:t xml:space="preserve">结合拟合曲线，深入分析模型在早晚高峰或恶劣天气下的预测误差原因；从智慧城市交通管理层面提出具体的优化与落地建议。 </w:t>
            </w:r>
          </w:p>
        </w:tc>
        <w:tc>
          <w:tcPr>
            <w:tcW w:w="1211" w:type="dxa"/>
            <w:vAlign w:val="center"/>
          </w:tcPr>
          <w:p w14:paraId="02150C88">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15%</w:t>
            </w:r>
          </w:p>
        </w:tc>
      </w:tr>
    </w:tbl>
    <w:p w14:paraId="7983D469">
      <w:pPr>
        <w:numPr>
          <w:ilvl w:val="0"/>
          <w:numId w:val="0"/>
        </w:numPr>
        <w:ind w:leftChars="0"/>
        <w:rPr>
          <w:rFonts w:hint="eastAsia" w:ascii="宋体" w:hAnsi="宋体" w:eastAsia="宋体" w:cs="宋体"/>
          <w:b/>
          <w:bCs/>
          <w:sz w:val="28"/>
          <w:szCs w:val="28"/>
          <w:lang w:val="en-US" w:eastAsia="zh-CN"/>
        </w:rPr>
        <w:sectPr>
          <w:pgSz w:w="11906" w:h="16838"/>
          <w:pgMar w:top="1440" w:right="1800" w:bottom="1440" w:left="1800" w:header="851" w:footer="992" w:gutter="0"/>
          <w:cols w:space="425" w:num="1"/>
          <w:docGrid w:type="lines" w:linePitch="312" w:charSpace="0"/>
        </w:sectPr>
      </w:pPr>
    </w:p>
    <w:p w14:paraId="7FB2D0E4">
      <w:pPr>
        <w:pStyle w:val="4"/>
        <w:bidi w:val="0"/>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任务三： 基于</w:t>
      </w:r>
      <w:r>
        <w:rPr>
          <w:rFonts w:hint="eastAsia" w:cs="宋体"/>
          <w:sz w:val="32"/>
          <w:szCs w:val="32"/>
          <w:lang w:val="en-US" w:eastAsia="zh-CN"/>
        </w:rPr>
        <w:t>电商购物篮</w:t>
      </w:r>
      <w:r>
        <w:rPr>
          <w:rFonts w:hint="eastAsia" w:ascii="宋体" w:hAnsi="宋体" w:eastAsia="宋体" w:cs="宋体"/>
          <w:sz w:val="32"/>
          <w:szCs w:val="32"/>
          <w:lang w:val="en-US" w:eastAsia="zh-CN"/>
        </w:rPr>
        <w:t>数据的协同关联规则挖掘</w:t>
      </w:r>
    </w:p>
    <w:p w14:paraId="1DEB1BEE">
      <w:pPr>
        <w:numPr>
          <w:ilvl w:val="0"/>
          <w:numId w:val="0"/>
        </w:numPr>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1. 任务背景与核心目的</w:t>
      </w:r>
    </w:p>
    <w:p w14:paraId="60ADA4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在多媒体电商与大数据时代，如何从海量用户购物行为中挖掘潜在的消费偏好并进行精准推荐，是电商平台的核心竞争力。关联规则挖掘（如 Apriori 算法）能够突破传统人工分析的局限，自动发现不同商品之间的隐式“共现关系”。</w:t>
      </w:r>
    </w:p>
    <w:p w14:paraId="2E724A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32"/>
          <w:szCs w:val="32"/>
          <w:lang w:val="en-US" w:eastAsia="zh-CN"/>
        </w:rPr>
      </w:pPr>
      <w:bookmarkStart w:id="0" w:name="_GoBack"/>
      <w:r>
        <w:rPr>
          <w:rFonts w:hint="default"/>
          <w:sz w:val="24"/>
          <w:szCs w:val="24"/>
          <w:lang w:val="en-US" w:eastAsia="zh-CN"/>
        </w:rPr>
        <w:t>本任务要求同学们针对真实的电商购物篮数据，完成一个从事务集构建、长尾效应探索、频繁项集挖掘到强关联规则可视化与推荐策略落地的完整数据挖掘流程，并按照《软件学报》的排版规范撰写课程论文。</w:t>
      </w:r>
    </w:p>
    <w:bookmarkEnd w:id="0"/>
    <w:p w14:paraId="31817DAA">
      <w:pPr>
        <w:numPr>
          <w:ilvl w:val="0"/>
          <w:numId w:val="0"/>
        </w:numPr>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2. 数据集下载与说明</w:t>
      </w:r>
    </w:p>
    <w:p w14:paraId="2C2EE7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本任务统一采用电商购物篮数据集（模拟电商订单的交易记录）。数据集中每条记录表示一个订单中购买的商品及数量，包含多类商品，如</w:t>
      </w:r>
      <w:r>
        <w:rPr>
          <w:rFonts w:hint="eastAsia" w:ascii="宋体" w:hAnsi="宋体" w:eastAsia="宋体" w:cs="宋体"/>
          <w:sz w:val="24"/>
          <w:szCs w:val="24"/>
          <w:lang w:val="en-US" w:eastAsia="zh-CN"/>
        </w:rPr>
        <w:t>家具、厨房用品、</w:t>
      </w:r>
      <w:r>
        <w:rPr>
          <w:rFonts w:hint="default" w:ascii="宋体" w:hAnsi="宋体" w:eastAsia="宋体" w:cs="宋体"/>
          <w:sz w:val="24"/>
          <w:szCs w:val="24"/>
          <w:lang w:val="en-US" w:eastAsia="zh-CN"/>
        </w:rPr>
        <w:t>饮料、零食等。</w:t>
      </w:r>
    </w:p>
    <w:p w14:paraId="126A53A7">
      <w:pPr>
        <w:pStyle w:val="6"/>
        <w:keepNext w:val="0"/>
        <w:keepLines w:val="0"/>
        <w:widowControl/>
        <w:numPr>
          <w:ilvl w:val="0"/>
          <w:numId w:val="3"/>
        </w:numPr>
        <w:suppressLineNumbers w:val="0"/>
        <w:ind w:left="420" w:leftChars="0" w:hanging="420" w:firstLineChars="0"/>
        <w:rPr>
          <w:rFonts w:hint="eastAsia"/>
        </w:rPr>
      </w:pPr>
      <w:r>
        <w:rPr>
          <w:rFonts w:hint="eastAsia"/>
          <w:b/>
          <w:bCs/>
          <w:lang w:val="en-US" w:eastAsia="zh-CN"/>
        </w:rPr>
        <w:t>数</w:t>
      </w:r>
      <w:r>
        <w:rPr>
          <w:b/>
          <w:bCs/>
        </w:rPr>
        <w:t>据集下载链接</w:t>
      </w:r>
      <w:r>
        <w:t>：</w:t>
      </w:r>
    </w:p>
    <w:p w14:paraId="59C6E19B">
      <w:pPr>
        <w:pStyle w:val="6"/>
        <w:keepNext w:val="0"/>
        <w:keepLines w:val="0"/>
        <w:widowControl/>
        <w:numPr>
          <w:ilvl w:val="0"/>
          <w:numId w:val="3"/>
        </w:numPr>
        <w:suppressLineNumbers w:val="0"/>
        <w:ind w:left="420" w:leftChars="0" w:hanging="420" w:firstLineChars="0"/>
        <w:rPr>
          <w:rFonts w:hint="eastAsia" w:ascii="宋体" w:hAnsi="宋体" w:eastAsia="宋体" w:cs="宋体"/>
          <w:b/>
          <w:bCs/>
          <w:sz w:val="28"/>
          <w:szCs w:val="28"/>
          <w:lang w:val="en-US" w:eastAsia="zh-CN"/>
        </w:rPr>
      </w:pPr>
      <w:r>
        <w:rPr>
          <w:rFonts w:hint="eastAsia"/>
        </w:rPr>
        <w:t>https://pan.baidu.com/s/1GfYTHO_gYuuAk78hqBRH9A?pwd=qarf 提取码: qarf</w:t>
      </w:r>
    </w:p>
    <w:p w14:paraId="2E9D83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eastAsia"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3.</w:t>
      </w:r>
      <w:r>
        <w:rPr>
          <w:rFonts w:hint="eastAsia" w:asciiTheme="minorHAnsi" w:hAnsiTheme="minorHAnsi" w:eastAsiaTheme="minorEastAsia" w:cstheme="minorBidi"/>
          <w:kern w:val="2"/>
          <w:sz w:val="28"/>
          <w:szCs w:val="28"/>
          <w:lang w:val="en-US" w:eastAsia="zh-CN" w:bidi="ar-SA"/>
        </w:rPr>
        <w:t>任务内容</w:t>
      </w:r>
    </w:p>
    <w:p w14:paraId="3B84FC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HAnsi" w:hAnsiTheme="minorHAnsi" w:eastAsiaTheme="minorEastAsia" w:cstheme="minorBidi"/>
          <w:kern w:val="2"/>
          <w:sz w:val="28"/>
          <w:szCs w:val="28"/>
          <w:lang w:val="en-US" w:eastAsia="zh-CN" w:bidi="ar-SA"/>
        </w:rPr>
      </w:pPr>
      <w:r>
        <w:rPr>
          <w:rFonts w:hint="eastAsia"/>
          <w:sz w:val="24"/>
          <w:szCs w:val="24"/>
          <w:lang w:val="en-US" w:eastAsia="zh-CN"/>
        </w:rPr>
        <w:t>本任务要求每位同学独立完成一个完整的文本挖掘实验，并严格模板撰写一篇正文不少于 8 页的课程论文。论文正文必须包含以下五个核心章节，各章节的实验与撰写要求如下：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1"/>
        <w:gridCol w:w="5920"/>
        <w:gridCol w:w="1211"/>
      </w:tblGrid>
      <w:tr w14:paraId="2FF7CAA6">
        <w:tc>
          <w:tcPr>
            <w:tcW w:w="1391" w:type="dxa"/>
            <w:vAlign w:val="center"/>
          </w:tcPr>
          <w:p w14:paraId="54D99F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论文章节</w:t>
            </w:r>
          </w:p>
          <w:p w14:paraId="3CBB7F5B">
            <w:pPr>
              <w:numPr>
                <w:ilvl w:val="0"/>
                <w:numId w:val="0"/>
              </w:numPr>
              <w:jc w:val="center"/>
              <w:rPr>
                <w:rFonts w:hint="eastAsia" w:ascii="宋体" w:hAnsi="宋体" w:eastAsia="宋体" w:cs="宋体"/>
                <w:b w:val="0"/>
                <w:bCs w:val="0"/>
                <w:sz w:val="24"/>
                <w:szCs w:val="24"/>
                <w:vertAlign w:val="baseline"/>
                <w:lang w:val="en-US" w:eastAsia="zh-CN"/>
              </w:rPr>
            </w:pPr>
          </w:p>
        </w:tc>
        <w:tc>
          <w:tcPr>
            <w:tcW w:w="5920" w:type="dxa"/>
            <w:vAlign w:val="center"/>
          </w:tcPr>
          <w:p w14:paraId="3D06B1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核心任务与产出要求</w:t>
            </w:r>
          </w:p>
        </w:tc>
        <w:tc>
          <w:tcPr>
            <w:tcW w:w="1211" w:type="dxa"/>
            <w:vAlign w:val="center"/>
          </w:tcPr>
          <w:p w14:paraId="3F41C995">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得分比例</w:t>
            </w:r>
          </w:p>
        </w:tc>
      </w:tr>
      <w:tr w14:paraId="22B95AB6">
        <w:tc>
          <w:tcPr>
            <w:tcW w:w="1391" w:type="dxa"/>
            <w:vAlign w:val="center"/>
          </w:tcPr>
          <w:p w14:paraId="7257E9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前言</w:t>
            </w:r>
          </w:p>
        </w:tc>
        <w:tc>
          <w:tcPr>
            <w:tcW w:w="5920" w:type="dxa"/>
            <w:vAlign w:val="center"/>
          </w:tcPr>
          <w:p w14:paraId="217F8B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梳理电商购物篮分析业务背景，分析人工推荐的局限性；明确通过挖掘用户购物共现规律，发现强关联规则以辅助智能推荐的实验目标。</w:t>
            </w:r>
          </w:p>
        </w:tc>
        <w:tc>
          <w:tcPr>
            <w:tcW w:w="1211" w:type="dxa"/>
            <w:vAlign w:val="center"/>
          </w:tcPr>
          <w:p w14:paraId="06879D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20%</w:t>
            </w:r>
          </w:p>
        </w:tc>
      </w:tr>
      <w:tr w14:paraId="6D7AC294">
        <w:tc>
          <w:tcPr>
            <w:tcW w:w="1391" w:type="dxa"/>
            <w:vAlign w:val="center"/>
          </w:tcPr>
          <w:p w14:paraId="3A242B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数据探索</w:t>
            </w:r>
          </w:p>
          <w:p w14:paraId="7AAB76AD">
            <w:pPr>
              <w:numPr>
                <w:ilvl w:val="0"/>
                <w:numId w:val="0"/>
              </w:numPr>
              <w:jc w:val="center"/>
              <w:rPr>
                <w:rFonts w:hint="eastAsia" w:ascii="宋体" w:hAnsi="宋体" w:eastAsia="宋体" w:cs="宋体"/>
                <w:b w:val="0"/>
                <w:bCs w:val="0"/>
                <w:sz w:val="24"/>
                <w:szCs w:val="24"/>
                <w:vertAlign w:val="baseline"/>
                <w:lang w:val="en-US" w:eastAsia="zh-CN"/>
              </w:rPr>
            </w:pPr>
          </w:p>
        </w:tc>
        <w:tc>
          <w:tcPr>
            <w:tcW w:w="5920" w:type="dxa"/>
            <w:vAlign w:val="center"/>
          </w:tcPr>
          <w:p w14:paraId="47910ED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统计汇报购物篮数据集中每个商品和类别的购买频次；绘制高频商品柱状图和类别饼图；分析数据长尾效应。</w:t>
            </w:r>
          </w:p>
        </w:tc>
        <w:tc>
          <w:tcPr>
            <w:tcW w:w="1211" w:type="dxa"/>
            <w:vAlign w:val="center"/>
          </w:tcPr>
          <w:p w14:paraId="1B5B2CA6">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20%</w:t>
            </w:r>
          </w:p>
        </w:tc>
      </w:tr>
      <w:tr w14:paraId="44EBD632">
        <w:tc>
          <w:tcPr>
            <w:tcW w:w="1391" w:type="dxa"/>
            <w:vAlign w:val="center"/>
          </w:tcPr>
          <w:p w14:paraId="574CFA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数据预处理</w:t>
            </w:r>
          </w:p>
        </w:tc>
        <w:tc>
          <w:tcPr>
            <w:tcW w:w="5920" w:type="dxa"/>
            <w:vAlign w:val="center"/>
          </w:tcPr>
          <w:p w14:paraId="6A63ED4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kern w:val="0"/>
                <w:sz w:val="24"/>
                <w:szCs w:val="24"/>
                <w:lang w:val="en-US" w:eastAsia="zh-CN" w:bidi="ar"/>
              </w:rPr>
              <w:t>过滤低频商品或活跃度低的订单；将事务集二值化（商品出现为1，否则为0）；整理商品ID与类别名称映射</w:t>
            </w:r>
            <w:r>
              <w:rPr>
                <w:rFonts w:ascii="宋体" w:hAnsi="宋体" w:eastAsia="宋体" w:cs="宋体"/>
                <w:kern w:val="0"/>
                <w:sz w:val="24"/>
                <w:szCs w:val="24"/>
                <w:lang w:val="en-US" w:eastAsia="zh-CN" w:bidi="ar"/>
              </w:rPr>
              <w:t>。</w:t>
            </w:r>
          </w:p>
        </w:tc>
        <w:tc>
          <w:tcPr>
            <w:tcW w:w="1211" w:type="dxa"/>
            <w:vAlign w:val="center"/>
          </w:tcPr>
          <w:p w14:paraId="31D79E93">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20%</w:t>
            </w:r>
          </w:p>
        </w:tc>
      </w:tr>
      <w:tr w14:paraId="407CD53C">
        <w:tc>
          <w:tcPr>
            <w:tcW w:w="1391" w:type="dxa"/>
            <w:vAlign w:val="center"/>
          </w:tcPr>
          <w:p w14:paraId="226084C9">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建模分析</w:t>
            </w:r>
          </w:p>
        </w:tc>
        <w:tc>
          <w:tcPr>
            <w:tcW w:w="5920" w:type="dxa"/>
            <w:vAlign w:val="center"/>
          </w:tcPr>
          <w:p w14:paraId="035CEF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kern w:val="0"/>
                <w:sz w:val="24"/>
                <w:szCs w:val="24"/>
                <w:lang w:val="en-US" w:eastAsia="zh-CN" w:bidi="ar"/>
              </w:rPr>
              <w:t>使用 Apriori 算法挖掘频繁项集与强关联规则；设定支持度、置信度阈值，输出前件、后件、支持度、置信度和提升度；利用散点图或网络图可视化强关联规则。</w:t>
            </w:r>
          </w:p>
        </w:tc>
        <w:tc>
          <w:tcPr>
            <w:tcW w:w="1211" w:type="dxa"/>
            <w:vAlign w:val="center"/>
          </w:tcPr>
          <w:p w14:paraId="4F830C83">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25%</w:t>
            </w:r>
          </w:p>
        </w:tc>
      </w:tr>
      <w:tr w14:paraId="7085C697">
        <w:tc>
          <w:tcPr>
            <w:tcW w:w="1391" w:type="dxa"/>
            <w:vAlign w:val="center"/>
          </w:tcPr>
          <w:p w14:paraId="7D410B84">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结论</w:t>
            </w:r>
          </w:p>
        </w:tc>
        <w:tc>
          <w:tcPr>
            <w:tcW w:w="5920" w:type="dxa"/>
            <w:vAlign w:val="center"/>
          </w:tcPr>
          <w:p w14:paraId="39FA5F6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kern w:val="0"/>
                <w:sz w:val="24"/>
                <w:szCs w:val="24"/>
                <w:lang w:val="en-US" w:eastAsia="zh-CN" w:bidi="ar"/>
              </w:rPr>
              <w:t>分析挖掘出的强关联规则，如“购买家具用品的人往往也会购买玩具”；探讨规则背后的消费者心理或商品共性；提出算法参数优化和电商平台运营落地建议。</w:t>
            </w:r>
          </w:p>
        </w:tc>
        <w:tc>
          <w:tcPr>
            <w:tcW w:w="1211" w:type="dxa"/>
            <w:vAlign w:val="center"/>
          </w:tcPr>
          <w:p w14:paraId="5902FC2B">
            <w:pPr>
              <w:numPr>
                <w:ilvl w:val="0"/>
                <w:numId w:val="0"/>
              </w:numPr>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15%</w:t>
            </w:r>
          </w:p>
        </w:tc>
      </w:tr>
    </w:tbl>
    <w:p w14:paraId="097EC0B2">
      <w:pPr>
        <w:numPr>
          <w:ilvl w:val="0"/>
          <w:numId w:val="0"/>
        </w:numPr>
        <w:ind w:leftChars="0"/>
        <w:rPr>
          <w:rFonts w:hint="default" w:ascii="宋体" w:hAnsi="宋体" w:eastAsia="宋体" w:cs="宋体"/>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Bold">
    <w:panose1 w:val="020B0604020202090204"/>
    <w:charset w:val="00"/>
    <w:family w:val="auto"/>
    <w:pitch w:val="default"/>
    <w:sig w:usb0="E0000AFF" w:usb1="00007843" w:usb2="00000001" w:usb3="00000000" w:csb0="400001BF" w:csb1="DFF70000"/>
  </w:font>
  <w:font w:name="Kaiti SC Bold">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EA37C"/>
    <w:multiLevelType w:val="singleLevel"/>
    <w:tmpl w:val="EFFEA37C"/>
    <w:lvl w:ilvl="0" w:tentative="0">
      <w:start w:val="1"/>
      <w:numFmt w:val="bullet"/>
      <w:lvlText w:val=""/>
      <w:lvlJc w:val="left"/>
      <w:pPr>
        <w:ind w:left="420" w:hanging="420"/>
      </w:pPr>
      <w:rPr>
        <w:rFonts w:hint="default" w:ascii="Wingdings" w:hAnsi="Wingdings"/>
      </w:rPr>
    </w:lvl>
  </w:abstractNum>
  <w:abstractNum w:abstractNumId="1">
    <w:nsid w:val="5A9C60D2"/>
    <w:multiLevelType w:val="singleLevel"/>
    <w:tmpl w:val="5A9C60D2"/>
    <w:lvl w:ilvl="0" w:tentative="0">
      <w:start w:val="1"/>
      <w:numFmt w:val="decimal"/>
      <w:suff w:val="space"/>
      <w:lvlText w:val="%1."/>
      <w:lvlJc w:val="left"/>
    </w:lvl>
  </w:abstractNum>
  <w:abstractNum w:abstractNumId="2">
    <w:nsid w:val="7FF475E3"/>
    <w:multiLevelType w:val="singleLevel"/>
    <w:tmpl w:val="7FF475E3"/>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F53F9A"/>
    <w:rsid w:val="01F8440D"/>
    <w:rsid w:val="09876D73"/>
    <w:rsid w:val="0E213B6C"/>
    <w:rsid w:val="0EE7691D"/>
    <w:rsid w:val="0FAE692A"/>
    <w:rsid w:val="107B7E45"/>
    <w:rsid w:val="15971601"/>
    <w:rsid w:val="15DC2E79"/>
    <w:rsid w:val="1B90327A"/>
    <w:rsid w:val="1FDD3EFF"/>
    <w:rsid w:val="20045661"/>
    <w:rsid w:val="23F131DB"/>
    <w:rsid w:val="2DCC08D8"/>
    <w:rsid w:val="2F4E6DC2"/>
    <w:rsid w:val="39A66533"/>
    <w:rsid w:val="39BF723D"/>
    <w:rsid w:val="3A281E72"/>
    <w:rsid w:val="3BFB5799"/>
    <w:rsid w:val="3F69DF50"/>
    <w:rsid w:val="45F15F77"/>
    <w:rsid w:val="526F6689"/>
    <w:rsid w:val="56156C6C"/>
    <w:rsid w:val="5E794835"/>
    <w:rsid w:val="6365494C"/>
    <w:rsid w:val="65664300"/>
    <w:rsid w:val="68F306A9"/>
    <w:rsid w:val="69A2602B"/>
    <w:rsid w:val="6CFE6EFA"/>
    <w:rsid w:val="73679381"/>
    <w:rsid w:val="74582108"/>
    <w:rsid w:val="76453B75"/>
    <w:rsid w:val="777E4B4B"/>
    <w:rsid w:val="7C9C5030"/>
    <w:rsid w:val="7E167E4E"/>
    <w:rsid w:val="7EEEBE05"/>
    <w:rsid w:val="7EFFA3C2"/>
    <w:rsid w:val="AFF53F9A"/>
    <w:rsid w:val="B6F8ACBC"/>
    <w:rsid w:val="BA313AAF"/>
    <w:rsid w:val="BFB6995D"/>
    <w:rsid w:val="DCFA9577"/>
    <w:rsid w:val="E68D24E2"/>
    <w:rsid w:val="EF6C834F"/>
    <w:rsid w:val="FB93941F"/>
    <w:rsid w:val="FBF331A6"/>
    <w:rsid w:val="FDF3E99F"/>
    <w:rsid w:val="FE7FF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eastAsiaTheme="minorEastAsia"/>
      <w:b/>
      <w:color w:val="2E54A1" w:themeColor="accent1" w:themeShade="BF"/>
      <w:kern w:val="44"/>
      <w:sz w:val="44"/>
      <w:szCs w:val="2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color w:val="2E54A1" w:themeColor="accent1" w:themeShade="BF"/>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uiPriority w:val="0"/>
    <w:rPr>
      <w:color w:val="800080"/>
      <w:u w:val="single"/>
    </w:rPr>
  </w:style>
  <w:style w:type="character" w:styleId="11">
    <w:name w:val="Hyperlink"/>
    <w:basedOn w:val="9"/>
    <w:uiPriority w:val="0"/>
    <w:rPr>
      <w:color w:val="0000FF"/>
      <w:u w:val="single"/>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2177</Words>
  <Characters>2496</Characters>
  <Lines>0</Lines>
  <Paragraphs>0</Paragraphs>
  <TotalTime>12</TotalTime>
  <ScaleCrop>false</ScaleCrop>
  <LinksUpToDate>false</LinksUpToDate>
  <CharactersWithSpaces>2563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2026-06-12T01:02:00Z</dcterms:created>
  <dc:creator>陆晓燕</dc:creator>
  <cp:lastModifiedBy>陆晓燕</cp:lastModifiedBy>
  <dcterms:modified xsi:type="dcterms:W3CDTF">2026-06-12T17:13:37Z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F414524BF2662C68C1CD2B6AC9C34E57_43</vt:lpwstr>
  </property>
  <property fmtid="{D5CDD505-2E9C-101B-9397-08002B2CF9AE}" pid="4" name="KSOTemplateDocerSaveRecord">
    <vt:lpwstr>eyJoZGlkIjoiNWFiNDZjNzNjYWVhODBjYWU1YWRiNzU0NGJlM2I0ODMiLCJ1c2VySWQiOiIzNDE2NDI4MTUifQ==</vt:lpwstr>
  </property>
</Properties>
</file>