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3864"/>
          <w:sz w:val="52"/>
          <w:szCs w:val="52"/>
        </w:rPr>
        <w:t xml:space="preserve">PROJECT HORIZON</w:t>
      </w:r>
    </w:p>
    <w:p>
      <w:pPr>
        <w:spacing w:after="60" w:before="0"/>
        <w:jc w:val="center"/>
      </w:pPr>
      <w:r>
        <w:rPr>
          <w:rFonts w:ascii="Arial" w:cs="Arial" w:eastAsia="Arial" w:hAnsi="Arial"/>
          <w:b w:val="false"/>
          <w:bCs w:val="false"/>
          <w:color w:val="2E5D9E"/>
          <w:sz w:val="32"/>
          <w:szCs w:val="32"/>
        </w:rPr>
        <w:t xml:space="preserve">VaultPay Technologies Pty Ltd</w:t>
      </w:r>
    </w:p>
    <w:p>
      <w:pPr>
        <w:spacing w:after="360" w:before="0"/>
        <w:jc w:val="center"/>
      </w:pPr>
      <w:r>
        <w:rPr>
          <w:rFonts w:ascii="Arial" w:cs="Arial" w:eastAsia="Arial" w:hAnsi="Arial"/>
          <w:i/>
          <w:iCs/>
          <w:color w:val="595959"/>
          <w:sz w:val="22"/>
          <w:szCs w:val="22"/>
        </w:rPr>
        <w:t xml:space="preserve">Consolidated Due Diligence Summary  |  March 2026</w:t>
      </w:r>
    </w:p>
    <w:p>
      <w:pPr>
        <w:pBdr>
          <w:bottom w:val="single" w:color="2E5D9E" w:sz="8" w:space="2"/>
        </w:pBdr>
        <w:spacing w:after="120" w:before="0"/>
      </w:pPr>
    </w:p>
    <w:p>
      <w:pPr>
        <w:spacing w:after="2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Project Codename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Project Horizon (VaultPay Technologies Pty Ltd)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Document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Consolidated Due Diligence Summary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Prepared 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Investment Deal Team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26 March 2026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Classification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STRICTLY CONFIDENTIAL — INVESTMENT COMMITTEE ONLY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Sources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Market Intelligence Brief (Doc 1) | Target Company Profile (Doc 2) | Expert Interview Notes (Doc 3) | IC Memorandum (Doc 4)</w:t>
            </w:r>
          </w:p>
        </w:tc>
      </w:tr>
    </w:tbl>
    <w:p>
      <w:pPr>
        <w:spacing w:after="240" w:before="240"/>
      </w:pPr>
    </w:p>
    <w:p>
      <w:pPr>
        <w:jc w:val="center"/>
      </w:pPr>
      <w:r>
        <w:rPr>
          <w:rFonts w:ascii="Arial" w:cs="Arial" w:eastAsia="Arial" w:hAnsi="Arial"/>
          <w:i/>
          <w:iCs/>
          <w:color w:val="595959"/>
          <w:sz w:val="17"/>
          <w:szCs w:val="17"/>
        </w:rPr>
        <w:t xml:space="preserve">This document is strictly confidential and intended solely for the named recipients. It may not be reproduced or distributed without prior written consent.</w:t>
      </w:r>
    </w:p>
    <w:p>
      <w:r>
        <w:br w:type="page"/>
      </w:r>
    </w:p>
    <w:p>
      <w:pPr>
        <w:pStyle w:val="Heading1"/>
        <w:spacing w:after="60" w:before="360"/>
      </w:pPr>
      <w:r>
        <w:rPr>
          <w:rFonts w:ascii="Arial" w:cs="Arial" w:eastAsia="Arial" w:hAnsi="Arial"/>
          <w:b/>
          <w:bCs/>
          <w:color w:val="1F3864"/>
          <w:sz w:val="28"/>
          <w:szCs w:val="28"/>
        </w:rPr>
        <w:t xml:space="preserve">1.  Executive Summary</w:t>
      </w:r>
    </w:p>
    <w:p>
      <w:pPr>
        <w:pBdr>
          <w:bottom w:val="single" w:color="2E5D9E" w:sz="8" w:space="2"/>
        </w:pBdr>
        <w:spacing w:after="120" w:before="0"/>
      </w:pPr>
    </w:p>
    <w:p>
      <w:pPr>
        <w:spacing w:after="80" w:before="80"/>
      </w:pPr>
      <w:r>
        <w:rPr>
          <w:rFonts w:ascii="Arial" w:cs="Arial" w:eastAsia="Arial" w:hAnsi="Arial"/>
          <w:b w:val="false"/>
          <w:bCs w:val="false"/>
          <w:i w:val="false"/>
          <w:iCs w:val="false"/>
          <w:color w:val="595959"/>
          <w:sz w:val="20"/>
          <w:szCs w:val="20"/>
        </w:rPr>
        <w:t xml:space="preserve">VaultPay Technologies is a Cape Town-based B2B payments infrastructure company operating across 9 African markets. It has delivered $12.4mn ARR as at FY2025 (87% YoY growth), 68% gross margins, and 124% Net Revenue Retention — metrics that place it in the top decile of African fintech infrastructure peers. The deal team recommends a $15–20mn minority investment at $175mn pre-money valuation for an 8–12% stake, with a target exit via trade sale within 24–36 months.</w:t>
      </w:r>
    </w:p>
    <w:p>
      <w:pPr>
        <w:spacing w:after="40" w:before="40"/>
      </w:pPr>
    </w:p>
    <w:p>
      <w:pPr>
        <w:spacing w:after="80" w:before="80"/>
      </w:pPr>
      <w:r>
        <w:rPr>
          <w:rFonts w:ascii="Arial" w:cs="Arial" w:eastAsia="Arial" w:hAnsi="Arial"/>
          <w:b w:val="false"/>
          <w:bCs w:val="false"/>
          <w:i w:val="false"/>
          <w:iCs w:val="false"/>
          <w:color w:val="595959"/>
          <w:sz w:val="20"/>
          <w:szCs w:val="20"/>
        </w:rPr>
        <w:t xml:space="preserve">The investment case is compelling: a genuinely differentiated reconciliation engine, strong customer stickiness confirmed by independent reference checks, and near-term regulatory tailwinds (Nigeria Open Banking Q2 2026; SADC interoperability 2027). The company is 12–18 months from EBITDA breakeven, creating an opportunity to enter at pre-profitability valuation ahead of expected multiple expansion.</w:t>
      </w:r>
    </w:p>
    <w:p>
      <w:pPr>
        <w:spacing w:after="40" w:before="40"/>
      </w:pPr>
    </w:p>
    <w:p>
      <w:pPr>
        <w:spacing w:after="80" w:before="80"/>
      </w:pPr>
      <w:r>
        <w:rPr>
          <w:rFonts w:ascii="Arial" w:cs="Arial" w:eastAsia="Arial" w:hAnsi="Arial"/>
          <w:b w:val="false"/>
          <w:bCs w:val="false"/>
          <w:i w:val="false"/>
          <w:iCs w:val="false"/>
          <w:color w:val="595959"/>
          <w:sz w:val="20"/>
          <w:szCs w:val="20"/>
        </w:rPr>
        <w:t xml:space="preserve">Three issues are non-negotiable preconditions for proceeding: (i) CTO retention — raised unprompted by 4 of 6 independent experts as the single greatest risk to the platform; (ii) regulatory licensing audit across 6 partner-model markets; and (iii) independent code review of the KYC compliance module. The deal should not be priced, and no term sheet issued, until these items are resolved. A valuation gap also exists: management is asking $210mn pre-money against a deal-team-supported range of $170–190mn. Negotiation strategy is required.</w:t>
      </w:r>
    </w:p>
    <w:p>
      <w:r>
        <w:br w:type="page"/>
      </w:r>
    </w:p>
    <w:p>
      <w:pPr>
        <w:pStyle w:val="Heading1"/>
        <w:spacing w:after="60" w:before="360"/>
      </w:pPr>
      <w:r>
        <w:rPr>
          <w:rFonts w:ascii="Arial" w:cs="Arial" w:eastAsia="Arial" w:hAnsi="Arial"/>
          <w:b/>
          <w:bCs/>
          <w:color w:val="1F3864"/>
          <w:sz w:val="28"/>
          <w:szCs w:val="28"/>
        </w:rPr>
        <w:t xml:space="preserve">2.  Investment Thesis</w:t>
      </w:r>
    </w:p>
    <w:p>
      <w:pPr>
        <w:pBdr>
          <w:bottom w:val="single" w:color="2E5D9E" w:sz="8" w:space="2"/>
        </w:pBdr>
        <w:spacing w:after="120" w:before="0"/>
      </w:pPr>
    </w:p>
    <w:p>
      <w:pPr>
        <w:pStyle w:val="Heading2"/>
        <w:spacing w:after="80" w:before="240"/>
      </w:pPr>
      <w:r>
        <w:rPr>
          <w:rFonts w:ascii="Arial" w:cs="Arial" w:eastAsia="Arial" w:hAnsi="Arial"/>
          <w:b/>
          <w:bCs/>
          <w:color w:val="2E5D9E"/>
          <w:sz w:val="24"/>
          <w:szCs w:val="24"/>
        </w:rPr>
        <w:t xml:space="preserve">2.1  Why VaultPay</w:t>
      </w:r>
    </w:p>
    <w:p>
      <w:pPr>
        <w:spacing w:after="80" w:before="80"/>
      </w:pPr>
      <w:r>
        <w:rPr>
          <w:rFonts w:ascii="Arial" w:cs="Arial" w:eastAsia="Arial" w:hAnsi="Arial"/>
          <w:b w:val="false"/>
          <w:bCs w:val="false"/>
          <w:i w:val="false"/>
          <w:iCs w:val="false"/>
          <w:color w:val="595959"/>
          <w:sz w:val="20"/>
          <w:szCs w:val="20"/>
        </w:rPr>
        <w:t xml:space="preserve">VaultPay occupies a defensible infrastructure position in the African B2B payments stack. Its proprietary reconciliation engine — independently validated by a former potential acquirer (Expert 1, Doc 3) — reduces settlement exceptions by 94% versus manual processes. No comparable product was identified in the market at the time of that evaluation, and current reference checks confirm the product remains the primary reason clients renew and expand.</w:t>
      </w:r>
    </w:p>
    <w:p>
      <w:pPr>
        <w:spacing w:after="80" w:before="80"/>
      </w:pPr>
      <w:r>
        <w:rPr>
          <w:rFonts w:ascii="Arial" w:cs="Arial" w:eastAsia="Arial" w:hAnsi="Arial"/>
          <w:b w:val="false"/>
          <w:bCs w:val="false"/>
          <w:i w:val="false"/>
          <w:iCs w:val="false"/>
          <w:color w:val="595959"/>
          <w:sz w:val="20"/>
          <w:szCs w:val="20"/>
        </w:rPr>
        <w:t xml:space="preserve">The platform's 124% NRR is the most diagnostic single metric. It means VaultPay earns more from existing clients every year without winning a single new customer — a function of volume growth, upsell of additional markets, and organic expansion within enterprise accounts. This is a hallmark of infrastructure that is embedded, not discretionary.</w:t>
      </w:r>
    </w:p>
    <w:p>
      <w:pPr>
        <w:pStyle w:val="Heading2"/>
        <w:spacing w:after="80" w:before="240"/>
      </w:pPr>
      <w:r>
        <w:rPr>
          <w:rFonts w:ascii="Arial" w:cs="Arial" w:eastAsia="Arial" w:hAnsi="Arial"/>
          <w:b/>
          <w:bCs/>
          <w:color w:val="2E5D9E"/>
          <w:sz w:val="24"/>
          <w:szCs w:val="24"/>
        </w:rPr>
        <w:t xml:space="preserve">2.2  Why Now</w:t>
      </w:r>
    </w:p>
    <w:p>
      <w:pPr>
        <w:pStyle w:val="ListParagraph"/>
        <w:numPr>
          <w:ilvl w:val="0"/>
          <w:numId w:val="2"/>
        </w:numPr>
        <w:spacing w:after="40" w:before="40"/>
      </w:pPr>
      <w:r>
        <w:rPr>
          <w:rFonts w:ascii="Arial" w:cs="Arial" w:eastAsia="Arial" w:hAnsi="Arial"/>
          <w:color w:val="595959"/>
          <w:sz w:val="20"/>
          <w:szCs w:val="20"/>
        </w:rPr>
        <w:t xml:space="preserve">Pre-profitability entry point: Company is 12–18 months from EBITDA breakeven. Minority investment at pre-profitability multiples captures the re-rating that should accompany profitability achievement. [Docs 2, 4]</w:t>
      </w:r>
    </w:p>
    <w:p>
      <w:pPr>
        <w:pStyle w:val="ListParagraph"/>
        <w:numPr>
          <w:ilvl w:val="0"/>
          <w:numId w:val="2"/>
        </w:numPr>
        <w:spacing w:after="40" w:before="40"/>
      </w:pPr>
      <w:r>
        <w:rPr>
          <w:rFonts w:ascii="Arial" w:cs="Arial" w:eastAsia="Arial" w:hAnsi="Arial"/>
          <w:color w:val="595959"/>
          <w:sz w:val="20"/>
          <w:szCs w:val="20"/>
        </w:rPr>
        <w:t xml:space="preserve">Nigeria Open Banking mandate (Q2 2026): CBN mandates API connectivity for tier-1 banks, creating immediate commercial pull for VaultPay's ERP-integrated platform. Companies already embedded in corporate workflows will be structurally advantaged over new entrants. [Docs 1, 4]</w:t>
      </w:r>
    </w:p>
    <w:p>
      <w:pPr>
        <w:pStyle w:val="ListParagraph"/>
        <w:numPr>
          <w:ilvl w:val="0"/>
          <w:numId w:val="2"/>
        </w:numPr>
        <w:spacing w:after="40" w:before="40"/>
      </w:pPr>
      <w:r>
        <w:rPr>
          <w:rFonts w:ascii="Arial" w:cs="Arial" w:eastAsia="Arial" w:hAnsi="Arial"/>
          <w:color w:val="595959"/>
          <w:sz w:val="20"/>
          <w:szCs w:val="20"/>
        </w:rPr>
        <w:t xml:space="preserve">SADC payment interoperability (2027): Regional framework on track per regulator (Expert 4, Doc 3). Implementation would expand VaultPay's addressable market by 40% without incremental sales effort. [Docs 3, 4]</w:t>
      </w:r>
    </w:p>
    <w:p>
      <w:pPr>
        <w:pStyle w:val="ListParagraph"/>
        <w:numPr>
          <w:ilvl w:val="0"/>
          <w:numId w:val="2"/>
        </w:numPr>
        <w:spacing w:after="40" w:before="40"/>
      </w:pPr>
      <w:r>
        <w:rPr>
          <w:rFonts w:ascii="Arial" w:cs="Arial" w:eastAsia="Arial" w:hAnsi="Arial"/>
          <w:color w:val="595959"/>
          <w:sz w:val="20"/>
          <w:szCs w:val="20"/>
        </w:rPr>
        <w:t xml:space="preserve">Pre-competitive window closing: Two stealth-mode competitors, staffed by ex-Paystack and ex-Cellulant talent, are 12–18 months from market entry (Expert 3, Doc 3). The window to establish incumbency advantages is narrowing.</w:t>
      </w:r>
    </w:p>
    <w:p>
      <w:pPr>
        <w:pStyle w:val="ListParagraph"/>
        <w:numPr>
          <w:ilvl w:val="0"/>
          <w:numId w:val="2"/>
        </w:numPr>
        <w:spacing w:after="40" w:before="40"/>
      </w:pPr>
      <w:r>
        <w:rPr>
          <w:rFonts w:ascii="Arial" w:cs="Arial" w:eastAsia="Arial" w:hAnsi="Arial"/>
          <w:color w:val="595959"/>
          <w:sz w:val="20"/>
          <w:szCs w:val="20"/>
        </w:rPr>
        <w:t xml:space="preserve">Favourable exit environment: Two of the top-five global payment processors hold active Africa mandates from their boards. M&amp;A specialist (Expert 6, Doc 3) assesses quality infrastructure assets at 12–18x ARR. Quality infrastructure assets at this price point attract genuine buyer interest.</w:t>
      </w:r>
    </w:p>
    <w:p>
      <w:r>
        <w:br w:type="page"/>
      </w:r>
    </w:p>
    <w:p>
      <w:pPr>
        <w:pStyle w:val="Heading1"/>
        <w:spacing w:after="60" w:before="360"/>
      </w:pPr>
      <w:r>
        <w:rPr>
          <w:rFonts w:ascii="Arial" w:cs="Arial" w:eastAsia="Arial" w:hAnsi="Arial"/>
          <w:b/>
          <w:bCs/>
          <w:color w:val="1F3864"/>
          <w:sz w:val="28"/>
          <w:szCs w:val="28"/>
        </w:rPr>
        <w:t xml:space="preserve">3.  Key Strengths</w:t>
      </w:r>
    </w:p>
    <w:p>
      <w:pPr>
        <w:pBdr>
          <w:bottom w:val="single" w:color="2E5D9E" w:sz="8" w:space="2"/>
        </w:pBdr>
        <w:spacing w:after="120" w:before="0"/>
      </w:pPr>
    </w:p>
    <w:p>
      <w:pPr>
        <w:spacing w:after="80" w:before="80"/>
      </w:pPr>
      <w:r>
        <w:rPr>
          <w:rFonts w:ascii="Arial" w:cs="Arial" w:eastAsia="Arial" w:hAnsi="Arial"/>
          <w:b w:val="false"/>
          <w:bCs w:val="false"/>
          <w:i w:val="false"/>
          <w:iCs w:val="false"/>
          <w:color w:val="595959"/>
          <w:sz w:val="20"/>
          <w:szCs w:val="20"/>
        </w:rPr>
        <w:t xml:space="preserve">The following strengths are corroborated across multiple independent sources:</w:t>
      </w:r>
    </w:p>
    <w:p>
      <w:pPr>
        <w:spacing w:after="40" w:before="40"/>
      </w:pPr>
    </w:p>
    <w:p>
      <w:pPr>
        <w:pStyle w:val="Heading2"/>
        <w:spacing w:after="80" w:before="240"/>
      </w:pPr>
      <w:r>
        <w:rPr>
          <w:rFonts w:ascii="Arial" w:cs="Arial" w:eastAsia="Arial" w:hAnsi="Arial"/>
          <w:b/>
          <w:bCs/>
          <w:color w:val="2E5D9E"/>
          <w:sz w:val="24"/>
          <w:szCs w:val="24"/>
        </w:rPr>
        <w:t xml:space="preserve">3.1  Differentiated Core Technology</w:t>
      </w:r>
    </w:p>
    <w:p>
      <w:pPr>
        <w:spacing w:after="80" w:before="80"/>
      </w:pPr>
      <w:r>
        <w:rPr>
          <w:rFonts w:ascii="Arial" w:cs="Arial" w:eastAsia="Arial" w:hAnsi="Arial"/>
          <w:b w:val="false"/>
          <w:bCs w:val="false"/>
          <w:i w:val="false"/>
          <w:iCs w:val="false"/>
          <w:color w:val="595959"/>
          <w:sz w:val="20"/>
          <w:szCs w:val="20"/>
        </w:rPr>
        <w:t xml:space="preserve">The reconciliation engine is described as 'genuinely differentiated' and 'hard to replicate' across both technical review (Doc 2), expert interview with a former potential acquirer (Doc 3, Expert 1), and former engineer assessment (Doc 3, Expert 5). The AI anomaly detection module (99.2% fraud detection rate per Doc 2) was independently confirmed effective by a current client who saw results in its first two weeks of deployment (Doc 3, Expert 2).</w:t>
      </w:r>
    </w:p>
    <w:p>
      <w:pPr>
        <w:pStyle w:val="Heading2"/>
        <w:spacing w:after="80" w:before="240"/>
      </w:pPr>
      <w:r>
        <w:rPr>
          <w:rFonts w:ascii="Arial" w:cs="Arial" w:eastAsia="Arial" w:hAnsi="Arial"/>
          <w:b/>
          <w:bCs/>
          <w:color w:val="2E5D9E"/>
          <w:sz w:val="24"/>
          <w:szCs w:val="24"/>
        </w:rPr>
        <w:t xml:space="preserve">3.2  Product-Market Fit Evidenced by Retention Metrics</w:t>
      </w:r>
    </w:p>
    <w:p>
      <w:pPr>
        <w:pStyle w:val="ListParagraph"/>
        <w:numPr>
          <w:ilvl w:val="0"/>
          <w:numId w:val="2"/>
        </w:numPr>
        <w:spacing w:after="40" w:before="40"/>
      </w:pPr>
      <w:r>
        <w:rPr>
          <w:rFonts w:ascii="Arial" w:cs="Arial" w:eastAsia="Arial" w:hAnsi="Arial"/>
          <w:color w:val="595959"/>
          <w:sz w:val="20"/>
          <w:szCs w:val="20"/>
        </w:rPr>
        <w:t xml:space="preserve">124% Net Revenue Retention — driven by volume expansion within accounts, not price increases. [Doc 2]</w:t>
      </w:r>
    </w:p>
    <w:p>
      <w:pPr>
        <w:pStyle w:val="ListParagraph"/>
        <w:numPr>
          <w:ilvl w:val="0"/>
          <w:numId w:val="2"/>
        </w:numPr>
        <w:spacing w:after="40" w:before="40"/>
      </w:pPr>
      <w:r>
        <w:rPr>
          <w:rFonts w:ascii="Arial" w:cs="Arial" w:eastAsia="Arial" w:hAnsi="Arial"/>
          <w:color w:val="595959"/>
          <w:sz w:val="20"/>
          <w:szCs w:val="20"/>
        </w:rPr>
        <w:t xml:space="preserve">4.2% annual logo churn — best-in-class for B2B SaaS in emerging market infrastructure. [Doc 2]</w:t>
      </w:r>
    </w:p>
    <w:p>
      <w:pPr>
        <w:pStyle w:val="ListParagraph"/>
        <w:numPr>
          <w:ilvl w:val="0"/>
          <w:numId w:val="2"/>
        </w:numPr>
        <w:spacing w:after="40" w:before="40"/>
      </w:pPr>
      <w:r>
        <w:rPr>
          <w:rFonts w:ascii="Arial" w:cs="Arial" w:eastAsia="Arial" w:hAnsi="Arial"/>
          <w:color w:val="595959"/>
          <w:sz w:val="20"/>
          <w:szCs w:val="20"/>
        </w:rPr>
        <w:t xml:space="preserve">Current enterprise client (JSE-listed retailer, Expert 2, Doc 3) confirmed: 'We'd be very reluctant to switch. The operational cost of migrating payment infrastructure is enormous.' Processing $4.2mn/month; received competing pitch 20% cheaper and declined.</w:t>
      </w:r>
    </w:p>
    <w:p>
      <w:pPr>
        <w:pStyle w:val="Heading2"/>
        <w:spacing w:after="80" w:before="240"/>
      </w:pPr>
      <w:r>
        <w:rPr>
          <w:rFonts w:ascii="Arial" w:cs="Arial" w:eastAsia="Arial" w:hAnsi="Arial"/>
          <w:b/>
          <w:bCs/>
          <w:color w:val="2E5D9E"/>
          <w:sz w:val="24"/>
          <w:szCs w:val="24"/>
        </w:rPr>
        <w:t xml:space="preserve">3.3  Improving Unit Economics</w:t>
      </w:r>
    </w:p>
    <w:p>
      <w:pPr>
        <w:pStyle w:val="ListParagraph"/>
        <w:numPr>
          <w:ilvl w:val="0"/>
          <w:numId w:val="2"/>
        </w:numPr>
        <w:spacing w:after="40" w:before="40"/>
      </w:pPr>
      <w:r>
        <w:rPr>
          <w:rFonts w:ascii="Arial" w:cs="Arial" w:eastAsia="Arial" w:hAnsi="Arial"/>
          <w:color w:val="595959"/>
          <w:sz w:val="20"/>
          <w:szCs w:val="20"/>
        </w:rPr>
        <w:t xml:space="preserve">Gross margin has expanded 700 basis points in two years: 61% (FY2023) → 68% (FY2025) → 70% target (FY2026E). [Doc 2]</w:t>
      </w:r>
    </w:p>
    <w:p>
      <w:pPr>
        <w:pStyle w:val="ListParagraph"/>
        <w:numPr>
          <w:ilvl w:val="0"/>
          <w:numId w:val="2"/>
        </w:numPr>
        <w:spacing w:after="40" w:before="40"/>
      </w:pPr>
      <w:r>
        <w:rPr>
          <w:rFonts w:ascii="Arial" w:cs="Arial" w:eastAsia="Arial" w:hAnsi="Arial"/>
          <w:color w:val="595959"/>
          <w:sz w:val="20"/>
          <w:szCs w:val="20"/>
        </w:rPr>
        <w:t xml:space="preserve">Monthly net burn reduced 31% from $510k (FY2023) to $350k (FY2025) — without sacrificing growth acceleration. [Doc 2]</w:t>
      </w:r>
    </w:p>
    <w:p>
      <w:pPr>
        <w:pStyle w:val="ListParagraph"/>
        <w:numPr>
          <w:ilvl w:val="0"/>
          <w:numId w:val="2"/>
        </w:numPr>
        <w:spacing w:after="40" w:before="40"/>
      </w:pPr>
      <w:r>
        <w:rPr>
          <w:rFonts w:ascii="Arial" w:cs="Arial" w:eastAsia="Arial" w:hAnsi="Arial"/>
          <w:color w:val="595959"/>
          <w:sz w:val="20"/>
          <w:szCs w:val="20"/>
        </w:rPr>
        <w:t xml:space="preserve">Runway extended from 14 months to 22 months over the same period. [Doc 2]</w:t>
      </w:r>
    </w:p>
    <w:p>
      <w:pPr>
        <w:pStyle w:val="Heading2"/>
        <w:spacing w:after="80" w:before="240"/>
      </w:pPr>
      <w:r>
        <w:rPr>
          <w:rFonts w:ascii="Arial" w:cs="Arial" w:eastAsia="Arial" w:hAnsi="Arial"/>
          <w:b/>
          <w:bCs/>
          <w:color w:val="2E5D9E"/>
          <w:sz w:val="24"/>
          <w:szCs w:val="24"/>
        </w:rPr>
        <w:t xml:space="preserve">3.4  Regulatory Positioning</w:t>
      </w:r>
    </w:p>
    <w:p>
      <w:pPr>
        <w:pStyle w:val="ListParagraph"/>
        <w:numPr>
          <w:ilvl w:val="0"/>
          <w:numId w:val="2"/>
        </w:numPr>
        <w:spacing w:after="40" w:before="40"/>
      </w:pPr>
      <w:r>
        <w:rPr>
          <w:rFonts w:ascii="Arial" w:cs="Arial" w:eastAsia="Arial" w:hAnsi="Arial"/>
          <w:color w:val="595959"/>
          <w:sz w:val="20"/>
          <w:szCs w:val="20"/>
        </w:rPr>
        <w:t xml:space="preserve">IFC Ventures as investor provides credibility in restricted markets where development finance institution relationships facilitate licensing. [Doc 2]</w:t>
      </w:r>
    </w:p>
    <w:p>
      <w:pPr>
        <w:pStyle w:val="ListParagraph"/>
        <w:numPr>
          <w:ilvl w:val="0"/>
          <w:numId w:val="2"/>
        </w:numPr>
        <w:spacing w:after="40" w:before="40"/>
      </w:pPr>
      <w:r>
        <w:rPr>
          <w:rFonts w:ascii="Arial" w:cs="Arial" w:eastAsia="Arial" w:hAnsi="Arial"/>
          <w:color w:val="595959"/>
          <w:sz w:val="20"/>
          <w:szCs w:val="20"/>
        </w:rPr>
        <w:t xml:space="preserve">VaultPay has been 'constructive in the consultation process' with SADC regulators — a positive differentiator versus peers. [Doc 3, Expert 4]</w:t>
      </w:r>
    </w:p>
    <w:p>
      <w:pPr>
        <w:pStyle w:val="ListParagraph"/>
        <w:numPr>
          <w:ilvl w:val="0"/>
          <w:numId w:val="2"/>
        </w:numPr>
        <w:spacing w:after="40" w:before="40"/>
      </w:pPr>
      <w:r>
        <w:rPr>
          <w:rFonts w:ascii="Arial" w:cs="Arial" w:eastAsia="Arial" w:hAnsi="Arial"/>
          <w:color w:val="595959"/>
          <w:sz w:val="20"/>
          <w:szCs w:val="20"/>
        </w:rPr>
        <w:t xml:space="preserve">Nigeria Open Banking framework finalised; VaultPay's ERP integration positions it as an incumbent ahead of mandatory API connectivity. [Docs 1, 4]</w:t>
      </w:r>
    </w:p>
    <w:p>
      <w:pPr>
        <w:pStyle w:val="Heading2"/>
        <w:spacing w:after="80" w:before="240"/>
      </w:pPr>
      <w:r>
        <w:rPr>
          <w:rFonts w:ascii="Arial" w:cs="Arial" w:eastAsia="Arial" w:hAnsi="Arial"/>
          <w:b/>
          <w:bCs/>
          <w:color w:val="2E5D9E"/>
          <w:sz w:val="24"/>
          <w:szCs w:val="24"/>
        </w:rPr>
        <w:t xml:space="preserve">3.5  Management Quality</w:t>
      </w:r>
    </w:p>
    <w:p>
      <w:pPr>
        <w:pStyle w:val="ListParagraph"/>
        <w:numPr>
          <w:ilvl w:val="0"/>
          <w:numId w:val="2"/>
        </w:numPr>
        <w:spacing w:after="40" w:before="40"/>
      </w:pPr>
      <w:r>
        <w:rPr>
          <w:rFonts w:ascii="Arial" w:cs="Arial" w:eastAsia="Arial" w:hAnsi="Arial"/>
          <w:color w:val="595959"/>
          <w:sz w:val="20"/>
          <w:szCs w:val="20"/>
        </w:rPr>
        <w:t xml:space="preserve">CEO Siya Dlamini: Ex-Standard Bank with a demonstrated ability to close institutional rounds (Series A and B). Enterprise sales track record is directly relevant to the customer profile. [Doc 2]</w:t>
      </w:r>
    </w:p>
    <w:p>
      <w:pPr>
        <w:pStyle w:val="ListParagraph"/>
        <w:numPr>
          <w:ilvl w:val="0"/>
          <w:numId w:val="2"/>
        </w:numPr>
        <w:spacing w:after="40" w:before="40"/>
      </w:pPr>
      <w:r>
        <w:rPr>
          <w:rFonts w:ascii="Arial" w:cs="Arial" w:eastAsia="Arial" w:hAnsi="Arial"/>
          <w:color w:val="595959"/>
          <w:sz w:val="20"/>
          <w:szCs w:val="20"/>
        </w:rPr>
        <w:t xml:space="preserve">CFO James Osei appointed Q1 2025 from Deloitte — disciplined financial governance and credible path-to-profitability narrative. [Doc 2]</w:t>
      </w:r>
    </w:p>
    <w:p>
      <w:pPr>
        <w:pStyle w:val="ListParagraph"/>
        <w:numPr>
          <w:ilvl w:val="0"/>
          <w:numId w:val="2"/>
        </w:numPr>
        <w:spacing w:after="40" w:before="40"/>
      </w:pPr>
      <w:r>
        <w:rPr>
          <w:rFonts w:ascii="Arial" w:cs="Arial" w:eastAsia="Arial" w:hAnsi="Arial"/>
          <w:color w:val="595959"/>
          <w:sz w:val="20"/>
          <w:szCs w:val="20"/>
        </w:rPr>
        <w:t xml:space="preserve">CTO Priya Naidoo (Ex-Amazon AWS): Rebuilt the core infrastructure from 2021. The platform quality is a direct function of her architectural decisions. [Doc 2]</w:t>
      </w:r>
    </w:p>
    <w:p>
      <w:r>
        <w:br w:type="page"/>
      </w:r>
    </w:p>
    <w:p>
      <w:pPr>
        <w:pStyle w:val="Heading1"/>
        <w:spacing w:after="60" w:before="360"/>
      </w:pPr>
      <w:r>
        <w:rPr>
          <w:rFonts w:ascii="Arial" w:cs="Arial" w:eastAsia="Arial" w:hAnsi="Arial"/>
          <w:b/>
          <w:bCs/>
          <w:color w:val="1F3864"/>
          <w:sz w:val="28"/>
          <w:szCs w:val="28"/>
        </w:rPr>
        <w:t xml:space="preserve">4.  Key Risks &amp; Red Flags</w:t>
      </w:r>
    </w:p>
    <w:p>
      <w:pPr>
        <w:pBdr>
          <w:bottom w:val="single" w:color="2E5D9E" w:sz="8" w:space="2"/>
        </w:pBdr>
        <w:spacing w:after="120" w:before="0"/>
      </w:pPr>
    </w:p>
    <w:p>
      <w:pPr>
        <w:spacing w:after="80" w:before="80"/>
      </w:pPr>
      <w:r>
        <w:rPr>
          <w:rFonts w:ascii="Arial" w:cs="Arial" w:eastAsia="Arial" w:hAnsi="Arial"/>
          <w:b w:val="false"/>
          <w:bCs w:val="false"/>
          <w:i w:val="false"/>
          <w:iCs w:val="false"/>
          <w:color w:val="595959"/>
          <w:sz w:val="20"/>
          <w:szCs w:val="20"/>
        </w:rPr>
        <w:t xml:space="preserve">The table below summarises all material risks identified across the four source documents. Each risk is attributed to its source(s). Where sources disagree on severity, the more conservative assessment has been applied — see Section 7 for explicit conflicts.</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900"/>
        <w:gridCol w:w="900"/>
        <w:gridCol w:w="3360"/>
      </w:tblGrid>
      <w:tr>
        <w:tc>
          <w:tcPr>
            <w:tcW w:type="dxa" w:w="2600"/>
            <w:tcBorders>
              <w:top w:val="single" w:color="CCCCCC" w:sz="1"/>
              <w:left w:val="single" w:color="CCCCCC" w:sz="1"/>
              <w:bottom w:val="single" w:color="CCCCCC" w:sz="1"/>
              <w:right w:val="single" w:color="CCCCCC" w:sz="1"/>
            </w:tcBorders>
            <w:shd w:fill="2E5D9E" w:val="clear"/>
            <w:tcMar>
              <w:top w:type="dxa" w:w="100"/>
              <w:left w:type="dxa" w:w="120"/>
              <w:bottom w:type="dxa" w:w="100"/>
              <w:right w:type="dxa" w:w="120"/>
            </w:tcMar>
            <w:vAlign w:val="center"/>
          </w:tcPr>
          <w:p>
            <w:pPr>
              <w:jc w:val="left"/>
            </w:pPr>
            <w:r>
              <w:rPr>
                <w:rFonts w:ascii="Arial" w:cs="Arial" w:eastAsia="Arial" w:hAnsi="Arial"/>
                <w:b/>
                <w:bCs/>
                <w:color w:val="FFFFFF"/>
                <w:sz w:val="19"/>
                <w:szCs w:val="19"/>
              </w:rPr>
              <w:t xml:space="preserve">Risk / Red Flag</w:t>
            </w:r>
          </w:p>
        </w:tc>
        <w:tc>
          <w:tcPr>
            <w:tcW w:type="dxa" w:w="1600"/>
            <w:tcBorders>
              <w:top w:val="single" w:color="CCCCCC" w:sz="1"/>
              <w:left w:val="single" w:color="CCCCCC" w:sz="1"/>
              <w:bottom w:val="single" w:color="CCCCCC" w:sz="1"/>
              <w:right w:val="single" w:color="CCCCCC" w:sz="1"/>
            </w:tcBorders>
            <w:shd w:fill="2E5D9E" w:val="clear"/>
            <w:tcMar>
              <w:top w:type="dxa" w:w="100"/>
              <w:left w:type="dxa" w:w="120"/>
              <w:bottom w:type="dxa" w:w="100"/>
              <w:right w:type="dxa" w:w="120"/>
            </w:tcMar>
            <w:vAlign w:val="center"/>
          </w:tcPr>
          <w:p>
            <w:pPr>
              <w:jc w:val="left"/>
            </w:pPr>
            <w:r>
              <w:rPr>
                <w:rFonts w:ascii="Arial" w:cs="Arial" w:eastAsia="Arial" w:hAnsi="Arial"/>
                <w:b/>
                <w:bCs/>
                <w:color w:val="FFFFFF"/>
                <w:sz w:val="19"/>
                <w:szCs w:val="19"/>
              </w:rPr>
              <w:t xml:space="preserve">Source(s)</w:t>
            </w:r>
          </w:p>
        </w:tc>
        <w:tc>
          <w:tcPr>
            <w:tcW w:type="dxa" w:w="900"/>
            <w:tcBorders>
              <w:top w:val="single" w:color="CCCCCC" w:sz="1"/>
              <w:left w:val="single" w:color="CCCCCC" w:sz="1"/>
              <w:bottom w:val="single" w:color="CCCCCC" w:sz="1"/>
              <w:right w:val="single" w:color="CCCCCC" w:sz="1"/>
            </w:tcBorders>
            <w:shd w:fill="2E5D9E" w:val="clear"/>
            <w:tcMar>
              <w:top w:type="dxa" w:w="100"/>
              <w:left w:type="dxa" w:w="120"/>
              <w:bottom w:type="dxa" w:w="100"/>
              <w:right w:type="dxa" w:w="120"/>
            </w:tcMar>
            <w:vAlign w:val="center"/>
          </w:tcPr>
          <w:p>
            <w:pPr>
              <w:jc w:val="left"/>
            </w:pPr>
            <w:r>
              <w:rPr>
                <w:rFonts w:ascii="Arial" w:cs="Arial" w:eastAsia="Arial" w:hAnsi="Arial"/>
                <w:b/>
                <w:bCs/>
                <w:color w:val="FFFFFF"/>
                <w:sz w:val="19"/>
                <w:szCs w:val="19"/>
              </w:rPr>
              <w:t xml:space="preserve">Probability</w:t>
            </w:r>
          </w:p>
        </w:tc>
        <w:tc>
          <w:tcPr>
            <w:tcW w:type="dxa" w:w="900"/>
            <w:tcBorders>
              <w:top w:val="single" w:color="CCCCCC" w:sz="1"/>
              <w:left w:val="single" w:color="CCCCCC" w:sz="1"/>
              <w:bottom w:val="single" w:color="CCCCCC" w:sz="1"/>
              <w:right w:val="single" w:color="CCCCCC" w:sz="1"/>
            </w:tcBorders>
            <w:shd w:fill="2E5D9E" w:val="clear"/>
            <w:tcMar>
              <w:top w:type="dxa" w:w="100"/>
              <w:left w:type="dxa" w:w="120"/>
              <w:bottom w:type="dxa" w:w="100"/>
              <w:right w:type="dxa" w:w="120"/>
            </w:tcMar>
            <w:vAlign w:val="center"/>
          </w:tcPr>
          <w:p>
            <w:pPr>
              <w:jc w:val="left"/>
            </w:pPr>
            <w:r>
              <w:rPr>
                <w:rFonts w:ascii="Arial" w:cs="Arial" w:eastAsia="Arial" w:hAnsi="Arial"/>
                <w:b/>
                <w:bCs/>
                <w:color w:val="FFFFFF"/>
                <w:sz w:val="19"/>
                <w:szCs w:val="19"/>
              </w:rPr>
              <w:t xml:space="preserve">Impact</w:t>
            </w:r>
          </w:p>
        </w:tc>
        <w:tc>
          <w:tcPr>
            <w:tcW w:type="dxa" w:w="3360"/>
            <w:tcBorders>
              <w:top w:val="single" w:color="CCCCCC" w:sz="1"/>
              <w:left w:val="single" w:color="CCCCCC" w:sz="1"/>
              <w:bottom w:val="single" w:color="CCCCCC" w:sz="1"/>
              <w:right w:val="single" w:color="CCCCCC" w:sz="1"/>
            </w:tcBorders>
            <w:shd w:fill="2E5D9E" w:val="clear"/>
            <w:tcMar>
              <w:top w:type="dxa" w:w="100"/>
              <w:left w:type="dxa" w:w="120"/>
              <w:bottom w:type="dxa" w:w="100"/>
              <w:right w:type="dxa" w:w="120"/>
            </w:tcMar>
            <w:vAlign w:val="center"/>
          </w:tcPr>
          <w:p>
            <w:pPr>
              <w:jc w:val="left"/>
            </w:pPr>
            <w:r>
              <w:rPr>
                <w:rFonts w:ascii="Arial" w:cs="Arial" w:eastAsia="Arial" w:hAnsi="Arial"/>
                <w:b/>
                <w:bCs/>
                <w:color w:val="FFFFFF"/>
                <w:sz w:val="19"/>
                <w:szCs w:val="19"/>
              </w:rPr>
              <w:t xml:space="preserve">Commentary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CTO Retention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Docs 2, 3, 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8B0000"/>
                <w:sz w:val="19"/>
                <w:szCs w:val="19"/>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8B0000"/>
                <w:sz w:val="19"/>
                <w:szCs w:val="19"/>
              </w:rPr>
              <w:t xml:space="preserve">Critical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4 of 6 expert interviews raised unprompted. Architecture "lives in her head" (Expert 5). IC conditions precedent include 3-year lock-up package.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Regulatory Licensing (6/9 partner markets)</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Docs 3, 4</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7F5000"/>
                <w:sz w:val="19"/>
                <w:szCs w:val="19"/>
              </w:rPr>
              <w:t xml:space="preserve">Medium</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8B0000"/>
                <w:sz w:val="19"/>
                <w:szCs w:val="19"/>
              </w:rPr>
              <w:t xml:space="preserve">High</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Regulator warned tightening requirements for non-bank providers. Partner licences create compliance cost exposure and potential market exit risk.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Customer Concentration (Top 10 = 38% ARR)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Doc 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7F5000"/>
                <w:sz w:val="19"/>
                <w:szCs w:val="19"/>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7F5000"/>
                <w:sz w:val="19"/>
                <w:szCs w:val="19"/>
              </w:rPr>
              <w:t xml:space="preserve">Medium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Single largest client = 8.2% ARR. Manageable but requires monitoring; loss of one anchor client would materially impact revenue.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KYC Module Code Quality</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Doc 3</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7F5000"/>
                <w:sz w:val="19"/>
                <w:szCs w:val="19"/>
              </w:rPr>
              <w:t xml:space="preserve">Medium</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8B0000"/>
                <w:sz w:val="19"/>
                <w:szCs w:val="19"/>
              </w:rPr>
              <w:t xml:space="preserve">High</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Former engineer recommended independent audit. Compliance failure risk in regulated markets.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Legacy Payment Gateway (15% volume)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Docs 2, 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75623"/>
                <w:sz w:val="19"/>
                <w:szCs w:val="19"/>
              </w:rPr>
              <w:t xml:space="preserve">Low–Medium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7F5000"/>
                <w:sz w:val="19"/>
                <w:szCs w:val="19"/>
              </w:rPr>
              <w:t xml:space="preserve">Medium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Scheduled for Q2 2026 deprecation. Expert 5: "should have been deprecated 18 months ago." Timeline credibility uncertain.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Nairobi Office Losses ($2.1mn)</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Doc 2</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7F5000"/>
                <w:sz w:val="19"/>
                <w:szCs w:val="19"/>
              </w:rPr>
              <w:t xml:space="preserve">Medium</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7F5000"/>
                <w:sz w:val="19"/>
                <w:szCs w:val="19"/>
              </w:rPr>
              <w:t xml:space="preserve">Medium</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Accumulated losses with unclear path to profitability. East Africa is a key growth pillar — execution risk here is material.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Cap Table: Series A Anti-Dilution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Docs 2, 3, 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7F5000"/>
                <w:sz w:val="19"/>
                <w:szCs w:val="19"/>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8B0000"/>
                <w:sz w:val="19"/>
                <w:szCs w:val="19"/>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Investment banker flagged real problems in African fintech exits. IC requires legal confirmation prior to close.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Pending IP Litigation</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Doc 2</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375623"/>
                <w:sz w:val="19"/>
                <w:szCs w:val="19"/>
              </w:rPr>
              <w:t xml:space="preserve">Low</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7F5000"/>
                <w:sz w:val="19"/>
                <w:szCs w:val="19"/>
              </w:rPr>
              <w:t xml:space="preserve">Medium</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Undisclosed in data room — flagged only in company profile. Legal counsel assesses as low risk but transparency concern.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Dashboard / Reporting Gap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Doc 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8B0000"/>
                <w:sz w:val="19"/>
                <w:szCs w:val="19"/>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7F5000"/>
                <w:sz w:val="19"/>
                <w:szCs w:val="19"/>
              </w:rPr>
              <w:t xml:space="preserve">Medium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Current client confirmed 8-month undelivered roadmap promise. Risk of churn and NRR compression if unresolved.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Competitive Entry (Stealth Startups + Flutterwave)</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Docs 1, 3</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7F5000"/>
                <w:sz w:val="19"/>
                <w:szCs w:val="19"/>
              </w:rPr>
              <w:t xml:space="preserve">Medium</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8B0000"/>
                <w:sz w:val="19"/>
                <w:szCs w:val="19"/>
              </w:rPr>
              <w:t xml:space="preserve">High</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Two stealth startups (ex-Paystack, ex-Cellulant) 12–18 months from market. Unconfirmed Flutterwave adjacency rumour. Distribution is the moat — must accelerate enterprise sales.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Valuation Gap (Management vs Deal Team)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Docs 3, 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8B0000"/>
                <w:sz w:val="19"/>
                <w:szCs w:val="19"/>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7F5000"/>
                <w:sz w:val="19"/>
                <w:szCs w:val="19"/>
              </w:rPr>
              <w:t xml:space="preserve">Medium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Management asking $210mn; deal team supports $170–190mn; VC peer sees $185mn as "full." Negotiation required.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Audited Financials Not Yet Available</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Doc 4</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7F5000"/>
                <w:sz w:val="19"/>
                <w:szCs w:val="19"/>
              </w:rPr>
              <w:t xml:space="preserve">Medium</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7F5000"/>
                <w:sz w:val="19"/>
                <w:szCs w:val="19"/>
              </w:rPr>
              <w:t xml:space="preserve">Medium</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IC conditions precedent include audited FY2025 accounts. Current model relies on management accounts only.</w:t>
            </w:r>
          </w:p>
        </w:tc>
      </w:tr>
    </w:tbl>
    <w:p>
      <w:r>
        <w:br w:type="page"/>
      </w:r>
    </w:p>
    <w:p>
      <w:pPr>
        <w:pStyle w:val="Heading1"/>
        <w:spacing w:after="60" w:before="360"/>
      </w:pPr>
      <w:r>
        <w:rPr>
          <w:rFonts w:ascii="Arial" w:cs="Arial" w:eastAsia="Arial" w:hAnsi="Arial"/>
          <w:b/>
          <w:bCs/>
          <w:color w:val="1F3864"/>
          <w:sz w:val="28"/>
          <w:szCs w:val="28"/>
        </w:rPr>
        <w:t xml:space="preserve">5.  Valuation Assessment</w:t>
      </w:r>
    </w:p>
    <w:p>
      <w:pPr>
        <w:pBdr>
          <w:bottom w:val="single" w:color="2E5D9E" w:sz="8" w:space="2"/>
        </w:pBdr>
        <w:spacing w:after="120" w:before="0"/>
      </w:pPr>
    </w:p>
    <w:p>
      <w:pPr>
        <w:pStyle w:val="Heading2"/>
        <w:spacing w:after="80" w:before="240"/>
      </w:pPr>
      <w:r>
        <w:rPr>
          <w:rFonts w:ascii="Arial" w:cs="Arial" w:eastAsia="Arial" w:hAnsi="Arial"/>
          <w:b/>
          <w:bCs/>
          <w:color w:val="2E5D9E"/>
          <w:sz w:val="24"/>
          <w:szCs w:val="24"/>
        </w:rPr>
        <w:t xml:space="preserve">5.1  Financial Performance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c>
          <w:tcPr>
            <w:tcW w:type="dxa" w:w="2600"/>
            <w:tcBorders>
              <w:top w:val="single" w:color="CCCCCC" w:sz="1"/>
              <w:left w:val="single" w:color="CCCCCC" w:sz="1"/>
              <w:bottom w:val="single" w:color="CCCCCC" w:sz="1"/>
              <w:right w:val="single" w:color="CCCCCC" w:sz="1"/>
            </w:tcBorders>
            <w:shd w:fill="2E5D9E" w:val="clear"/>
            <w:tcMar>
              <w:top w:type="dxa" w:w="100"/>
              <w:left w:type="dxa" w:w="120"/>
              <w:bottom w:type="dxa" w:w="100"/>
              <w:right w:type="dxa" w:w="120"/>
            </w:tcMar>
            <w:vAlign w:val="center"/>
          </w:tcPr>
          <w:p>
            <w:pPr>
              <w:jc w:val="left"/>
            </w:pPr>
            <w:r>
              <w:rPr>
                <w:rFonts w:ascii="Arial" w:cs="Arial" w:eastAsia="Arial" w:hAnsi="Arial"/>
                <w:b/>
                <w:bCs/>
                <w:color w:val="FFFFFF"/>
                <w:sz w:val="19"/>
                <w:szCs w:val="19"/>
              </w:rPr>
              <w:t xml:space="preserve">Metric</w:t>
            </w:r>
          </w:p>
        </w:tc>
        <w:tc>
          <w:tcPr>
            <w:tcW w:type="dxa" w:w="1690"/>
            <w:tcBorders>
              <w:top w:val="single" w:color="CCCCCC" w:sz="1"/>
              <w:left w:val="single" w:color="CCCCCC" w:sz="1"/>
              <w:bottom w:val="single" w:color="CCCCCC" w:sz="1"/>
              <w:right w:val="single" w:color="CCCCCC" w:sz="1"/>
            </w:tcBorders>
            <w:shd w:fill="2E5D9E" w:val="clear"/>
            <w:tcMar>
              <w:top w:type="dxa" w:w="100"/>
              <w:left w:type="dxa" w:w="120"/>
              <w:bottom w:type="dxa" w:w="100"/>
              <w:right w:type="dxa" w:w="120"/>
            </w:tcMar>
            <w:vAlign w:val="center"/>
          </w:tcPr>
          <w:p>
            <w:pPr>
              <w:jc w:val="left"/>
            </w:pPr>
            <w:r>
              <w:rPr>
                <w:rFonts w:ascii="Arial" w:cs="Arial" w:eastAsia="Arial" w:hAnsi="Arial"/>
                <w:b/>
                <w:bCs/>
                <w:color w:val="FFFFFF"/>
                <w:sz w:val="19"/>
                <w:szCs w:val="19"/>
              </w:rPr>
              <w:t xml:space="preserve">FY2023</w:t>
            </w:r>
          </w:p>
        </w:tc>
        <w:tc>
          <w:tcPr>
            <w:tcW w:type="dxa" w:w="1690"/>
            <w:tcBorders>
              <w:top w:val="single" w:color="CCCCCC" w:sz="1"/>
              <w:left w:val="single" w:color="CCCCCC" w:sz="1"/>
              <w:bottom w:val="single" w:color="CCCCCC" w:sz="1"/>
              <w:right w:val="single" w:color="CCCCCC" w:sz="1"/>
            </w:tcBorders>
            <w:shd w:fill="2E5D9E" w:val="clear"/>
            <w:tcMar>
              <w:top w:type="dxa" w:w="100"/>
              <w:left w:type="dxa" w:w="120"/>
              <w:bottom w:type="dxa" w:w="100"/>
              <w:right w:type="dxa" w:w="120"/>
            </w:tcMar>
            <w:vAlign w:val="center"/>
          </w:tcPr>
          <w:p>
            <w:pPr>
              <w:jc w:val="left"/>
            </w:pPr>
            <w:r>
              <w:rPr>
                <w:rFonts w:ascii="Arial" w:cs="Arial" w:eastAsia="Arial" w:hAnsi="Arial"/>
                <w:b/>
                <w:bCs/>
                <w:color w:val="FFFFFF"/>
                <w:sz w:val="19"/>
                <w:szCs w:val="19"/>
              </w:rPr>
              <w:t xml:space="preserve">FY2024</w:t>
            </w:r>
          </w:p>
        </w:tc>
        <w:tc>
          <w:tcPr>
            <w:tcW w:type="dxa" w:w="1690"/>
            <w:tcBorders>
              <w:top w:val="single" w:color="CCCCCC" w:sz="1"/>
              <w:left w:val="single" w:color="CCCCCC" w:sz="1"/>
              <w:bottom w:val="single" w:color="CCCCCC" w:sz="1"/>
              <w:right w:val="single" w:color="CCCCCC" w:sz="1"/>
            </w:tcBorders>
            <w:shd w:fill="2E5D9E" w:val="clear"/>
            <w:tcMar>
              <w:top w:type="dxa" w:w="100"/>
              <w:left w:type="dxa" w:w="120"/>
              <w:bottom w:type="dxa" w:w="100"/>
              <w:right w:type="dxa" w:w="120"/>
            </w:tcMar>
            <w:vAlign w:val="center"/>
          </w:tcPr>
          <w:p>
            <w:pPr>
              <w:jc w:val="left"/>
            </w:pPr>
            <w:r>
              <w:rPr>
                <w:rFonts w:ascii="Arial" w:cs="Arial" w:eastAsia="Arial" w:hAnsi="Arial"/>
                <w:b/>
                <w:bCs/>
                <w:color w:val="FFFFFF"/>
                <w:sz w:val="19"/>
                <w:szCs w:val="19"/>
              </w:rPr>
              <w:t xml:space="preserve">FY2025</w:t>
            </w:r>
          </w:p>
        </w:tc>
        <w:tc>
          <w:tcPr>
            <w:tcW w:type="dxa" w:w="1690"/>
            <w:tcBorders>
              <w:top w:val="single" w:color="CCCCCC" w:sz="1"/>
              <w:left w:val="single" w:color="CCCCCC" w:sz="1"/>
              <w:bottom w:val="single" w:color="CCCCCC" w:sz="1"/>
              <w:right w:val="single" w:color="CCCCCC" w:sz="1"/>
            </w:tcBorders>
            <w:shd w:fill="2E5D9E" w:val="clear"/>
            <w:tcMar>
              <w:top w:type="dxa" w:w="100"/>
              <w:left w:type="dxa" w:w="120"/>
              <w:bottom w:type="dxa" w:w="100"/>
              <w:right w:type="dxa" w:w="120"/>
            </w:tcMar>
            <w:vAlign w:val="center"/>
          </w:tcPr>
          <w:p>
            <w:pPr>
              <w:jc w:val="left"/>
            </w:pPr>
            <w:r>
              <w:rPr>
                <w:rFonts w:ascii="Arial" w:cs="Arial" w:eastAsia="Arial" w:hAnsi="Arial"/>
                <w:b/>
                <w:bCs/>
                <w:color w:val="FFFFFF"/>
                <w:sz w:val="19"/>
                <w:szCs w:val="19"/>
              </w:rPr>
              <w:t xml:space="preserve">FY2026E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9"/>
                <w:szCs w:val="19"/>
              </w:rPr>
              <w:t xml:space="preserve">ARR ($mn)</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$3.8</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$6.6</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$12.4</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$21.5E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9"/>
                <w:szCs w:val="19"/>
              </w:rPr>
              <w:t xml:space="preserve">Revenue Growth</w:t>
            </w:r>
          </w:p>
        </w:tc>
        <w:tc>
          <w:tcPr>
            <w:tcW w:type="dxa" w:w="169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w:t>
            </w:r>
          </w:p>
        </w:tc>
        <w:tc>
          <w:tcPr>
            <w:tcW w:type="dxa" w:w="169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74%</w:t>
            </w:r>
          </w:p>
        </w:tc>
        <w:tc>
          <w:tcPr>
            <w:tcW w:type="dxa" w:w="169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87%</w:t>
            </w:r>
          </w:p>
        </w:tc>
        <w:tc>
          <w:tcPr>
            <w:tcW w:type="dxa" w:w="169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73%E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9"/>
                <w:szCs w:val="19"/>
              </w:rPr>
              <w:t xml:space="preserve">Gross Margin</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61%</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65%</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68%</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70%E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9"/>
                <w:szCs w:val="19"/>
              </w:rPr>
              <w:t xml:space="preserve">EBITDA ($mn)</w:t>
            </w:r>
          </w:p>
        </w:tc>
        <w:tc>
          <w:tcPr>
            <w:tcW w:type="dxa" w:w="169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($6.1)</w:t>
            </w:r>
          </w:p>
        </w:tc>
        <w:tc>
          <w:tcPr>
            <w:tcW w:type="dxa" w:w="169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($5.8)</w:t>
            </w:r>
          </w:p>
        </w:tc>
        <w:tc>
          <w:tcPr>
            <w:tcW w:type="dxa" w:w="169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($4.2)</w:t>
            </w:r>
          </w:p>
        </w:tc>
        <w:tc>
          <w:tcPr>
            <w:tcW w:type="dxa" w:w="169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($0.8)E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9"/>
                <w:szCs w:val="19"/>
              </w:rPr>
              <w:t xml:space="preserve">Net Burn (monthly)</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$510k</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$483k</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$350k</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$67kE</w:t>
            </w:r>
          </w:p>
        </w:tc>
      </w:tr>
    </w:tbl>
    <w:p>
      <w:pPr>
        <w:spacing w:after="80" w:before="80"/>
      </w:pPr>
    </w:p>
    <w:p>
      <w:pPr>
        <w:spacing w:after="80" w:before="80"/>
      </w:pPr>
      <w:r>
        <w:rPr>
          <w:rFonts w:ascii="Arial" w:cs="Arial" w:eastAsia="Arial" w:hAnsi="Arial"/>
          <w:b w:val="false"/>
          <w:bCs w:val="false"/>
          <w:i w:val="false"/>
          <w:iCs w:val="false"/>
          <w:color w:val="595959"/>
          <w:sz w:val="20"/>
          <w:szCs w:val="20"/>
        </w:rPr>
        <w:t xml:space="preserve">Note: FY2026E figures are management projections on unaudited management accounts. Audited FY2025 financials are a condition precedent per the IC memo. [Doc 4]</w:t>
      </w:r>
    </w:p>
    <w:p>
      <w:pPr>
        <w:pStyle w:val="Heading2"/>
        <w:spacing w:after="80" w:before="240"/>
      </w:pPr>
      <w:r>
        <w:rPr>
          <w:rFonts w:ascii="Arial" w:cs="Arial" w:eastAsia="Arial" w:hAnsi="Arial"/>
          <w:b/>
          <w:bCs/>
          <w:color w:val="2E5D9E"/>
          <w:sz w:val="24"/>
          <w:szCs w:val="24"/>
        </w:rPr>
        <w:t xml:space="preserve">5.2  Bear / Base / Bull Scenarios</w:t>
      </w:r>
    </w:p>
    <w:p>
      <w:pPr>
        <w:spacing w:after="80" w:before="80"/>
      </w:pPr>
      <w:r>
        <w:rPr>
          <w:rFonts w:ascii="Arial" w:cs="Arial" w:eastAsia="Arial" w:hAnsi="Arial"/>
          <w:b w:val="false"/>
          <w:bCs w:val="false"/>
          <w:i w:val="false"/>
          <w:iCs w:val="false"/>
          <w:color w:val="595959"/>
          <w:sz w:val="20"/>
          <w:szCs w:val="20"/>
        </w:rPr>
        <w:t xml:space="preserve">The following framework is sourced from the IC memorandum (Doc 4) with deal team rationale applied. All scenarios assume a 3-year hold period and 10% equity stake at a $175mn pre-money entry valuation.</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19"/>
                <w:szCs w:val="19"/>
              </w:rPr>
              <w:t xml:space="preserve">Metric</w:t>
            </w:r>
          </w:p>
        </w:tc>
        <w:tc>
          <w:tcPr>
            <w:tcW w:type="dxa" w:w="2080"/>
            <w:tcBorders>
              <w:top w:val="single" w:color="CCCCCC" w:sz="1"/>
              <w:left w:val="single" w:color="CCCCCC" w:sz="1"/>
              <w:bottom w:val="single" w:color="CCCCCC" w:sz="1"/>
              <w:right w:val="single" w:color="CCCCCC" w:sz="1"/>
            </w:tcBorders>
            <w:shd w:fill="2E5D9E" w:val="clear"/>
            <w:tcMar>
              <w:top w:type="dxa" w:w="100"/>
              <w:left w:type="dxa" w:w="120"/>
              <w:bottom w:type="dxa" w:w="100"/>
              <w:right w:type="dxa" w:w="120"/>
            </w:tcMar>
            <w:vAlign w:val="center"/>
          </w:tcPr>
          <w:p>
            <w:pPr>
              <w:jc w:val="left"/>
            </w:pPr>
            <w:r>
              <w:rPr>
                <w:rFonts w:ascii="Arial" w:cs="Arial" w:eastAsia="Arial" w:hAnsi="Arial"/>
                <w:b/>
                <w:bCs/>
                <w:color w:val="FFFFFF"/>
                <w:sz w:val="19"/>
                <w:szCs w:val="19"/>
              </w:rPr>
              <w:t xml:space="preserve">Bear Case</w:t>
            </w:r>
          </w:p>
        </w:tc>
        <w:tc>
          <w:tcPr>
            <w:tcW w:type="dxa" w:w="2080"/>
            <w:tcBorders>
              <w:top w:val="single" w:color="CCCCCC" w:sz="1"/>
              <w:left w:val="single" w:color="CCCCCC" w:sz="1"/>
              <w:bottom w:val="single" w:color="CCCCCC" w:sz="1"/>
              <w:right w:val="single" w:color="CCCCCC" w:sz="1"/>
            </w:tcBorders>
            <w:shd w:fill="2E5D9E" w:val="clear"/>
            <w:tcMar>
              <w:top w:type="dxa" w:w="100"/>
              <w:left w:type="dxa" w:w="120"/>
              <w:bottom w:type="dxa" w:w="100"/>
              <w:right w:type="dxa" w:w="120"/>
            </w:tcMar>
            <w:vAlign w:val="center"/>
          </w:tcPr>
          <w:p>
            <w:pPr>
              <w:jc w:val="left"/>
            </w:pPr>
            <w:r>
              <w:rPr>
                <w:rFonts w:ascii="Arial" w:cs="Arial" w:eastAsia="Arial" w:hAnsi="Arial"/>
                <w:b/>
                <w:bCs/>
                <w:color w:val="FFFFFF"/>
                <w:sz w:val="19"/>
                <w:szCs w:val="19"/>
              </w:rPr>
              <w:t xml:space="preserve">Base Case</w:t>
            </w:r>
          </w:p>
        </w:tc>
        <w:tc>
          <w:tcPr>
            <w:tcW w:type="dxa" w:w="2080"/>
            <w:tcBorders>
              <w:top w:val="single" w:color="CCCCCC" w:sz="1"/>
              <w:left w:val="single" w:color="CCCCCC" w:sz="1"/>
              <w:bottom w:val="single" w:color="CCCCCC" w:sz="1"/>
              <w:right w:val="single" w:color="CCCCCC" w:sz="1"/>
            </w:tcBorders>
            <w:shd w:fill="2E5D9E" w:val="clear"/>
            <w:tcMar>
              <w:top w:type="dxa" w:w="100"/>
              <w:left w:type="dxa" w:w="120"/>
              <w:bottom w:type="dxa" w:w="100"/>
              <w:right w:type="dxa" w:w="120"/>
            </w:tcMar>
            <w:vAlign w:val="center"/>
          </w:tcPr>
          <w:p>
            <w:pPr>
              <w:jc w:val="left"/>
            </w:pPr>
            <w:r>
              <w:rPr>
                <w:rFonts w:ascii="Arial" w:cs="Arial" w:eastAsia="Arial" w:hAnsi="Arial"/>
                <w:b/>
                <w:bCs/>
                <w:color w:val="FFFFFF"/>
                <w:sz w:val="19"/>
                <w:szCs w:val="19"/>
              </w:rPr>
              <w:t xml:space="preserve">Bull Case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FY2028E ARR ($mn)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8B0000"/>
                <w:sz w:val="19"/>
                <w:szCs w:val="19"/>
              </w:rPr>
              <w:t xml:space="preserve">$38</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5E2A"/>
                <w:sz w:val="19"/>
                <w:szCs w:val="19"/>
              </w:rPr>
              <w:t xml:space="preserve">$52</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B3D1A"/>
                <w:sz w:val="19"/>
                <w:szCs w:val="19"/>
              </w:rPr>
              <w:t xml:space="preserve">$71</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Exit Multiple (x ARR)</w:t>
            </w:r>
          </w:p>
        </w:tc>
        <w:tc>
          <w:tcPr>
            <w:tcW w:type="dxa" w:w="2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8B0000"/>
                <w:sz w:val="19"/>
                <w:szCs w:val="19"/>
              </w:rPr>
              <w:t xml:space="preserve">8x</w:t>
            </w:r>
          </w:p>
        </w:tc>
        <w:tc>
          <w:tcPr>
            <w:tcW w:type="dxa" w:w="2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A5E2A"/>
                <w:sz w:val="19"/>
                <w:szCs w:val="19"/>
              </w:rPr>
              <w:t xml:space="preserve">12x</w:t>
            </w:r>
          </w:p>
        </w:tc>
        <w:tc>
          <w:tcPr>
            <w:tcW w:type="dxa" w:w="2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B3D1A"/>
                <w:sz w:val="19"/>
                <w:szCs w:val="19"/>
              </w:rPr>
              <w:t xml:space="preserve">16x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Enterprise Value ($mn)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8B0000"/>
                <w:sz w:val="19"/>
                <w:szCs w:val="19"/>
              </w:rPr>
              <w:t xml:space="preserve">$304</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5E2A"/>
                <w:sz w:val="19"/>
                <w:szCs w:val="19"/>
              </w:rPr>
              <w:t xml:space="preserve">$624</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B3D1A"/>
                <w:sz w:val="19"/>
                <w:szCs w:val="19"/>
              </w:rPr>
              <w:t xml:space="preserve">$1,136</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Net Debt Adjustment</w:t>
            </w:r>
          </w:p>
        </w:tc>
        <w:tc>
          <w:tcPr>
            <w:tcW w:type="dxa" w:w="2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8B0000"/>
                <w:sz w:val="19"/>
                <w:szCs w:val="19"/>
              </w:rPr>
              <w:t xml:space="preserve">($8mn)</w:t>
            </w:r>
          </w:p>
        </w:tc>
        <w:tc>
          <w:tcPr>
            <w:tcW w:type="dxa" w:w="2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A5E2A"/>
                <w:sz w:val="19"/>
                <w:szCs w:val="19"/>
              </w:rPr>
              <w:t xml:space="preserve">($8mn)</w:t>
            </w:r>
          </w:p>
        </w:tc>
        <w:tc>
          <w:tcPr>
            <w:tcW w:type="dxa" w:w="2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B3D1A"/>
                <w:sz w:val="19"/>
                <w:szCs w:val="19"/>
              </w:rPr>
              <w:t xml:space="preserve">($8mn)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Equity Value ($mn)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8B0000"/>
                <w:sz w:val="19"/>
                <w:szCs w:val="19"/>
              </w:rPr>
              <w:t xml:space="preserve">$296</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5E2A"/>
                <w:sz w:val="19"/>
                <w:szCs w:val="19"/>
              </w:rPr>
              <w:t xml:space="preserve">$616</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B3D1A"/>
                <w:sz w:val="19"/>
                <w:szCs w:val="19"/>
              </w:rPr>
              <w:t xml:space="preserve">$1,128</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Implied Return (10%)</w:t>
            </w:r>
          </w:p>
        </w:tc>
        <w:tc>
          <w:tcPr>
            <w:tcW w:type="dxa" w:w="2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8B0000"/>
                <w:sz w:val="19"/>
                <w:szCs w:val="19"/>
              </w:rPr>
              <w:t xml:space="preserve">1.5x</w:t>
            </w:r>
          </w:p>
        </w:tc>
        <w:tc>
          <w:tcPr>
            <w:tcW w:type="dxa" w:w="2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A5E2A"/>
                <w:sz w:val="19"/>
                <w:szCs w:val="19"/>
              </w:rPr>
              <w:t xml:space="preserve">3.1x</w:t>
            </w:r>
          </w:p>
        </w:tc>
        <w:tc>
          <w:tcPr>
            <w:tcW w:type="dxa" w:w="2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B3D1A"/>
                <w:sz w:val="19"/>
                <w:szCs w:val="19"/>
              </w:rPr>
              <w:t xml:space="preserve">5.6x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IRR (3-year hold)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8B0000"/>
                <w:sz w:val="19"/>
                <w:szCs w:val="19"/>
              </w:rPr>
              <w:t xml:space="preserve">14%</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5E2A"/>
                <w:sz w:val="19"/>
                <w:szCs w:val="19"/>
              </w:rPr>
              <w:t xml:space="preserve">46%</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B3D1A"/>
                <w:sz w:val="19"/>
                <w:szCs w:val="19"/>
              </w:rPr>
              <w:t xml:space="preserve">78%</w:t>
            </w:r>
          </w:p>
        </w:tc>
      </w:tr>
    </w:tbl>
    <w:p>
      <w:pPr>
        <w:spacing w:after="100" w:before="80"/>
      </w:pPr>
    </w:p>
    <w:p>
      <w:pPr>
        <w:pStyle w:val="Heading2"/>
        <w:spacing w:after="80" w:before="240"/>
      </w:pPr>
      <w:r>
        <w:rPr>
          <w:rFonts w:ascii="Arial" w:cs="Arial" w:eastAsia="Arial" w:hAnsi="Arial"/>
          <w:b/>
          <w:bCs/>
          <w:color w:val="2E5D9E"/>
          <w:sz w:val="24"/>
          <w:szCs w:val="24"/>
        </w:rPr>
        <w:t xml:space="preserve">5.3  Scenario Rationale</w:t>
      </w:r>
    </w:p>
    <w:p>
      <w:pPr>
        <w:spacing w:after="80" w:before="80"/>
      </w:pPr>
      <w:r>
        <w:rPr>
          <w:rFonts w:ascii="Arial" w:cs="Arial" w:eastAsia="Arial" w:hAnsi="Arial"/>
          <w:b w:val="false"/>
          <w:bCs w:val="false"/>
          <w:i w:val="false"/>
          <w:iCs w:val="false"/>
          <w:color w:val="595959"/>
          <w:sz w:val="20"/>
          <w:szCs w:val="20"/>
        </w:rPr>
        <w:t xml:space="preserve">Bear Case (14% IRR / 1.5x): ARR growth decelerates to below 30% CAGR, implying failure to execute Nairobi, CTO departure (or equivalent talent disruption), or competitive displacement. Exit at 8x ARR reflects a distressed or below-market multiple, implying buyer perception of structural impairment. This scenario is plausible if CTO retention fails and dashboard gap widens into a churn catalyst.</w:t>
      </w:r>
    </w:p>
    <w:p>
      <w:pPr>
        <w:spacing w:after="80" w:before="80"/>
      </w:pPr>
      <w:r>
        <w:rPr>
          <w:rFonts w:ascii="Arial" w:cs="Arial" w:eastAsia="Arial" w:hAnsi="Arial"/>
          <w:b w:val="false"/>
          <w:bCs w:val="false"/>
          <w:i w:val="false"/>
          <w:iCs w:val="false"/>
          <w:color w:val="595959"/>
          <w:sz w:val="20"/>
          <w:szCs w:val="20"/>
        </w:rPr>
        <w:t xml:space="preserve">Base Case (46% IRR / 3.1x): ARR reaches $52mn by FY2028 on continued ~35% CAGR, consistent with NRR performance and moderate new logo growth. Exit at 12x ARR is within the range described by M&amp;A specialist (Expert 6, Doc 3) for quality infrastructure assets. This scenario requires successful Nairobi turnaround, CTO retention, and at minimum one regulatory tailwind (Open Banking or SADC) converting to commercial volume.</w:t>
      </w:r>
    </w:p>
    <w:p>
      <w:pPr>
        <w:spacing w:after="80" w:before="80"/>
      </w:pPr>
      <w:r>
        <w:rPr>
          <w:rFonts w:ascii="Arial" w:cs="Arial" w:eastAsia="Arial" w:hAnsi="Arial"/>
          <w:b w:val="false"/>
          <w:bCs w:val="false"/>
          <w:i w:val="false"/>
          <w:iCs w:val="false"/>
          <w:color w:val="595959"/>
          <w:sz w:val="20"/>
          <w:szCs w:val="20"/>
        </w:rPr>
        <w:t xml:space="preserve">Bull Case (78% IRR / 5.6x): ARR of $71mn implies acceleration, likely driven by SADC interoperability (40% TAM expansion per management, Doc 4) and Nigeria Open Banking converting embedded ERP clients to higher-volume transactions. Exit at 16x ARR requires a competitive auction and strategic premium from a global payment processor seeking African infrastructure. The VC partner (Expert 3, Doc 3) assessed this scenario as possible 'if they can execute Nairobi.'</w:t>
      </w:r>
    </w:p>
    <w:p>
      <w:pPr>
        <w:pStyle w:val="Heading2"/>
        <w:spacing w:after="80" w:before="240"/>
      </w:pPr>
      <w:r>
        <w:rPr>
          <w:rFonts w:ascii="Arial" w:cs="Arial" w:eastAsia="Arial" w:hAnsi="Arial"/>
          <w:b/>
          <w:bCs/>
          <w:color w:val="2E5D9E"/>
          <w:sz w:val="24"/>
          <w:szCs w:val="24"/>
        </w:rPr>
        <w:t xml:space="preserve">5.4  Valuation Tension</w:t>
      </w:r>
    </w:p>
    <w:p>
      <w:pPr>
        <w:spacing w:after="80" w:before="80"/>
      </w:pPr>
      <w:r>
        <w:rPr>
          <w:rFonts w:ascii="Arial" w:cs="Arial" w:eastAsia="Arial" w:hAnsi="Arial"/>
          <w:b w:val="false"/>
          <w:bCs w:val="false"/>
          <w:i w:val="false"/>
          <w:iCs w:val="false"/>
          <w:color w:val="595959"/>
          <w:sz w:val="20"/>
          <w:szCs w:val="20"/>
        </w:rPr>
        <w:t xml:space="preserve">Management is seeking $210mn pre-money. The deal team supports $170–190mn. A VC peer described the current $185mn post-money (Dec 2024) valuation as 'full at current ARR but justifiable with execution' (Expert 3, Doc 3). The deal team should anchor to $175mn, with room to $185mn only if Phase 2 DD resolves all three conditions precedent satisfactorily. See also Section 7.</w:t>
      </w:r>
    </w:p>
    <w:p>
      <w:r>
        <w:br w:type="page"/>
      </w:r>
    </w:p>
    <w:p>
      <w:pPr>
        <w:pStyle w:val="Heading1"/>
        <w:spacing w:after="60" w:before="360"/>
      </w:pPr>
      <w:r>
        <w:rPr>
          <w:rFonts w:ascii="Arial" w:cs="Arial" w:eastAsia="Arial" w:hAnsi="Arial"/>
          <w:b/>
          <w:bCs/>
          <w:color w:val="1F3864"/>
          <w:sz w:val="28"/>
          <w:szCs w:val="28"/>
        </w:rPr>
        <w:t xml:space="preserve">6.  Open Issues &amp; Recommended Next Steps</w:t>
      </w:r>
    </w:p>
    <w:p>
      <w:pPr>
        <w:pBdr>
          <w:bottom w:val="single" w:color="2E5D9E" w:sz="8" w:space="2"/>
        </w:pBdr>
        <w:spacing w:after="120" w:before="0"/>
      </w:pPr>
    </w:p>
    <w:p>
      <w:pPr>
        <w:spacing w:after="80" w:before="80"/>
      </w:pPr>
      <w:r>
        <w:rPr>
          <w:rFonts w:ascii="Arial" w:cs="Arial" w:eastAsia="Arial" w:hAnsi="Arial"/>
          <w:b w:val="false"/>
          <w:bCs w:val="false"/>
          <w:i w:val="false"/>
          <w:iCs w:val="false"/>
          <w:color w:val="595959"/>
          <w:sz w:val="20"/>
          <w:szCs w:val="20"/>
        </w:rPr>
        <w:t xml:space="preserve">The following items must be addressed before advancing to Phase 2 DD or term sheet. Items 1–3 are IC-mandated conditions precedent. Items 4–10 are deal team recommendations.</w:t>
      </w:r>
    </w:p>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600"/>
        <w:gridCol w:w="4360"/>
        <w:gridCol w:w="2200"/>
      </w:tblGrid>
      <w:tr>
        <w:tc>
          <w:tcPr>
            <w:tcW w:type="dxa" w:w="200"/>
            <w:tcBorders>
              <w:top w:val="single" w:color="CCCCCC" w:sz="1"/>
              <w:left w:val="single" w:color="CCCCCC" w:sz="1"/>
              <w:bottom w:val="single" w:color="CCCCCC" w:sz="1"/>
              <w:right w:val="single" w:color="CCCCCC" w:sz="1"/>
            </w:tcBorders>
            <w:shd w:fill="2E5D9E" w:val="clear"/>
            <w:tcMar>
              <w:top w:type="dxa" w:w="100"/>
              <w:left w:type="dxa" w:w="120"/>
              <w:bottom w:type="dxa" w:w="100"/>
              <w:right w:type="dxa" w:w="120"/>
            </w:tcMar>
            <w:vAlign w:val="center"/>
          </w:tcPr>
          <w:p>
            <w:pPr>
              <w:jc w:val="left"/>
            </w:pPr>
            <w:r>
              <w:rPr>
                <w:rFonts w:ascii="Arial" w:cs="Arial" w:eastAsia="Arial" w:hAnsi="Arial"/>
                <w:b/>
                <w:bCs/>
                <w:color w:val="FFFFFF"/>
                <w:sz w:val="19"/>
                <w:szCs w:val="19"/>
              </w:rPr>
              <w:t xml:space="preserve">#</w:t>
            </w:r>
          </w:p>
        </w:tc>
        <w:tc>
          <w:tcPr>
            <w:tcW w:type="dxa" w:w="2600"/>
            <w:tcBorders>
              <w:top w:val="single" w:color="CCCCCC" w:sz="1"/>
              <w:left w:val="single" w:color="CCCCCC" w:sz="1"/>
              <w:bottom w:val="single" w:color="CCCCCC" w:sz="1"/>
              <w:right w:val="single" w:color="CCCCCC" w:sz="1"/>
            </w:tcBorders>
            <w:shd w:fill="2E5D9E" w:val="clear"/>
            <w:tcMar>
              <w:top w:type="dxa" w:w="100"/>
              <w:left w:type="dxa" w:w="120"/>
              <w:bottom w:type="dxa" w:w="100"/>
              <w:right w:type="dxa" w:w="120"/>
            </w:tcMar>
            <w:vAlign w:val="center"/>
          </w:tcPr>
          <w:p>
            <w:pPr>
              <w:jc w:val="left"/>
            </w:pPr>
            <w:r>
              <w:rPr>
                <w:rFonts w:ascii="Arial" w:cs="Arial" w:eastAsia="Arial" w:hAnsi="Arial"/>
                <w:b/>
                <w:bCs/>
                <w:color w:val="FFFFFF"/>
                <w:sz w:val="19"/>
                <w:szCs w:val="19"/>
              </w:rPr>
              <w:t xml:space="preserve">Open Issue</w:t>
            </w:r>
          </w:p>
        </w:tc>
        <w:tc>
          <w:tcPr>
            <w:tcW w:type="dxa" w:w="4360"/>
            <w:tcBorders>
              <w:top w:val="single" w:color="CCCCCC" w:sz="1"/>
              <w:left w:val="single" w:color="CCCCCC" w:sz="1"/>
              <w:bottom w:val="single" w:color="CCCCCC" w:sz="1"/>
              <w:right w:val="single" w:color="CCCCCC" w:sz="1"/>
            </w:tcBorders>
            <w:shd w:fill="2E5D9E" w:val="clear"/>
            <w:tcMar>
              <w:top w:type="dxa" w:w="100"/>
              <w:left w:type="dxa" w:w="120"/>
              <w:bottom w:type="dxa" w:w="100"/>
              <w:right w:type="dxa" w:w="120"/>
            </w:tcMar>
            <w:vAlign w:val="center"/>
          </w:tcPr>
          <w:p>
            <w:pPr>
              <w:jc w:val="left"/>
            </w:pPr>
            <w:r>
              <w:rPr>
                <w:rFonts w:ascii="Arial" w:cs="Arial" w:eastAsia="Arial" w:hAnsi="Arial"/>
                <w:b/>
                <w:bCs/>
                <w:color w:val="FFFFFF"/>
                <w:sz w:val="19"/>
                <w:szCs w:val="19"/>
              </w:rPr>
              <w:t xml:space="preserve">Recommended Next Step</w:t>
            </w:r>
          </w:p>
        </w:tc>
        <w:tc>
          <w:tcPr>
            <w:tcW w:type="dxa" w:w="2200"/>
            <w:tcBorders>
              <w:top w:val="single" w:color="CCCCCC" w:sz="1"/>
              <w:left w:val="single" w:color="CCCCCC" w:sz="1"/>
              <w:bottom w:val="single" w:color="CCCCCC" w:sz="1"/>
              <w:right w:val="single" w:color="CCCCCC" w:sz="1"/>
            </w:tcBorders>
            <w:shd w:fill="2E5D9E" w:val="clear"/>
            <w:tcMar>
              <w:top w:type="dxa" w:w="100"/>
              <w:left w:type="dxa" w:w="120"/>
              <w:bottom w:type="dxa" w:w="100"/>
              <w:right w:type="dxa" w:w="120"/>
            </w:tcMar>
            <w:vAlign w:val="center"/>
          </w:tcPr>
          <w:p>
            <w:pPr>
              <w:jc w:val="left"/>
            </w:pPr>
            <w:r>
              <w:rPr>
                <w:rFonts w:ascii="Arial" w:cs="Arial" w:eastAsia="Arial" w:hAnsi="Arial"/>
                <w:b/>
                <w:bCs/>
                <w:color w:val="FFFFFF"/>
                <w:sz w:val="19"/>
                <w:szCs w:val="19"/>
              </w:rPr>
              <w:t xml:space="preserve">Owner / Timing</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5D9E"/>
                <w:sz w:val="19"/>
                <w:szCs w:val="19"/>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CTO Retention Assurance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Negotiate 3-year equity lock-up as closing condition. Conduct direct confidential interview with CTO regarding intentions.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Deal team + Legal / Pre-close</w:t>
            </w:r>
          </w:p>
        </w:tc>
      </w:tr>
      <w:tr>
        <w:tc>
          <w:tcPr>
            <w:tcW w:type="dxa" w:w="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2E5D9E"/>
                <w:sz w:val="19"/>
                <w:szCs w:val="19"/>
              </w:rPr>
              <w:t xml:space="preserve">2</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Regulatory Licensing Audit (6 partner markets)</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Commission qualified African payments law firm to opine on licensing adequacy across all 9 markets, with focus on 6 partner-model jurisdictions.</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External Legal / Phase 2 DD</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5D9E"/>
                <w:sz w:val="19"/>
                <w:szCs w:val="19"/>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KYC Module Code Review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Engage independent technical auditor for targeted review of KYC compliance module. Escalate to full code audit if issues found.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Technical Advisor / Phase 2 DD</w:t>
            </w:r>
          </w:p>
        </w:tc>
      </w:tr>
      <w:tr>
        <w:tc>
          <w:tcPr>
            <w:tcW w:type="dxa" w:w="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2E5D9E"/>
                <w:sz w:val="19"/>
                <w:szCs w:val="19"/>
              </w:rPr>
              <w:t xml:space="preserve">4</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Audited FY2025 Financials</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Request audited accounts as condition of Phase 2 DD. Do not advance to term sheet on management accounts alone.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CFO / Immediately</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5D9E"/>
                <w:sz w:val="19"/>
                <w:szCs w:val="19"/>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Cap Table Anti-Dilution Analysis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Legal counsel to model anti-dilution scenarios for Series A provisions across all realistic exit structures.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Legal / Phase 2 DD</w:t>
            </w:r>
          </w:p>
        </w:tc>
      </w:tr>
      <w:tr>
        <w:tc>
          <w:tcPr>
            <w:tcW w:type="dxa" w:w="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2E5D9E"/>
                <w:sz w:val="19"/>
                <w:szCs w:val="19"/>
              </w:rPr>
              <w:t xml:space="preserve">6</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IP Litigation Disclosure</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Obtain full legal file; independently assess; understand why excluded from data room.</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Legal / Immediately</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5D9E"/>
                <w:sz w:val="19"/>
                <w:szCs w:val="19"/>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Dashboard Roadmap Commitment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Obtain written product roadmap with committed delivery dates for reporting module. Link to client satisfaction NPS tracking.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Deal team / Phase 2 DD</w:t>
            </w:r>
          </w:p>
        </w:tc>
      </w:tr>
      <w:tr>
        <w:tc>
          <w:tcPr>
            <w:tcW w:type="dxa" w:w="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2E5D9E"/>
                <w:sz w:val="19"/>
                <w:szCs w:val="19"/>
              </w:rPr>
              <w:t xml:space="preserve">8</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Competitive Intelligence</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Commission market research to identify stealth-mode competitors. Verify Flutterwave B2B adjacency rumour via channel checks.</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Deal team / Phase 2 DD</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5D9E"/>
                <w:sz w:val="19"/>
                <w:szCs w:val="19"/>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Valuation Negotiation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Counter management at $175mn pre-money per IC recommendation. Verify competitor term sheet independently if used as leverage.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Deal team / Immediately</w:t>
            </w:r>
          </w:p>
        </w:tc>
      </w:tr>
      <w:tr>
        <w:tc>
          <w:tcPr>
            <w:tcW w:type="dxa" w:w="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2E5D9E"/>
                <w:sz w:val="19"/>
                <w:szCs w:val="19"/>
              </w:rPr>
              <w:t xml:space="preserve">10</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Nairobi P&amp;L Review</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Obtain full Nairobi office financials and operating model. Require management to present credible path to unit profitability.</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Deal team + CFO / Phase 2 DD</w:t>
            </w:r>
          </w:p>
        </w:tc>
      </w:tr>
    </w:tbl>
    <w:p>
      <w:pPr>
        <w:spacing w:after="80" w:before="80"/>
      </w:pPr>
    </w:p>
    <w:p>
      <w:pPr>
        <w:pStyle w:val="Heading2"/>
        <w:spacing w:after="80" w:before="240"/>
      </w:pPr>
      <w:r>
        <w:rPr>
          <w:rFonts w:ascii="Arial" w:cs="Arial" w:eastAsia="Arial" w:hAnsi="Arial"/>
          <w:b/>
          <w:bCs/>
          <w:color w:val="2E5D9E"/>
          <w:sz w:val="24"/>
          <w:szCs w:val="24"/>
        </w:rPr>
        <w:t xml:space="preserve">6.1  Process Note on Timing</w:t>
      </w:r>
    </w:p>
    <w:p>
      <w:pPr>
        <w:spacing w:after="80" w:before="80"/>
      </w:pPr>
      <w:r>
        <w:rPr>
          <w:rFonts w:ascii="Arial" w:cs="Arial" w:eastAsia="Arial" w:hAnsi="Arial"/>
          <w:b w:val="false"/>
          <w:bCs w:val="false"/>
          <w:i w:val="false"/>
          <w:iCs w:val="false"/>
          <w:color w:val="595959"/>
          <w:sz w:val="20"/>
          <w:szCs w:val="20"/>
        </w:rPr>
        <w:t xml:space="preserve">Management has indicated a competing term sheet is expected by end of March 2026. The deal team recommends independently verifying this claim before treating it as a hard deadline. The M&amp;A specialist (Expert 6, Doc 3) noted that bilateral deals in this market 'consistently leave 15–25% on the table.' Pressure should not cause conditions precedent to be waived or compressed.</w:t>
      </w:r>
    </w:p>
    <w:p>
      <w:r>
        <w:br w:type="page"/>
      </w:r>
    </w:p>
    <w:p>
      <w:pPr>
        <w:pStyle w:val="Heading1"/>
        <w:spacing w:after="60" w:before="360"/>
      </w:pPr>
      <w:r>
        <w:rPr>
          <w:rFonts w:ascii="Arial" w:cs="Arial" w:eastAsia="Arial" w:hAnsi="Arial"/>
          <w:b/>
          <w:bCs/>
          <w:color w:val="1F3864"/>
          <w:sz w:val="28"/>
          <w:szCs w:val="28"/>
        </w:rPr>
        <w:t xml:space="preserve">7.  Appendix: Conflicting Views Across Source Documents</w:t>
      </w:r>
    </w:p>
    <w:p>
      <w:pPr>
        <w:pBdr>
          <w:bottom w:val="single" w:color="2E5D9E" w:sz="8" w:space="2"/>
        </w:pBdr>
        <w:spacing w:after="120" w:before="0"/>
      </w:pPr>
    </w:p>
    <w:p>
      <w:pPr>
        <w:spacing w:after="80" w:before="80"/>
      </w:pPr>
      <w:r>
        <w:rPr>
          <w:rFonts w:ascii="Arial" w:cs="Arial" w:eastAsia="Arial" w:hAnsi="Arial"/>
          <w:b w:val="false"/>
          <w:bCs w:val="false"/>
          <w:i w:val="false"/>
          <w:iCs w:val="false"/>
          <w:color w:val="595959"/>
          <w:sz w:val="20"/>
          <w:szCs w:val="20"/>
        </w:rPr>
        <w:t xml:space="preserve">The following conflicts are identified between source documents. They have NOT been resolved or reconciled. Each conflict is assessed for materiality to the investment decision. Where sources conflict, the investment committee should treat the more conservative view as the working assumption until diligence resolves the matter.</w:t>
      </w:r>
    </w:p>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2E5D9E" w:val="clear"/>
            <w:tcMar>
              <w:top w:type="dxa" w:w="100"/>
              <w:left w:type="dxa" w:w="120"/>
              <w:bottom w:type="dxa" w:w="100"/>
              <w:right w:type="dxa" w:w="120"/>
            </w:tcMar>
            <w:vAlign w:val="center"/>
          </w:tcPr>
          <w:p>
            <w:pPr>
              <w:jc w:val="left"/>
            </w:pPr>
            <w:r>
              <w:rPr>
                <w:rFonts w:ascii="Arial" w:cs="Arial" w:eastAsia="Arial" w:hAnsi="Arial"/>
                <w:b/>
                <w:bCs/>
                <w:color w:val="FFFFFF"/>
                <w:sz w:val="19"/>
                <w:szCs w:val="19"/>
              </w:rPr>
              <w:t xml:space="preserve">Issue</w:t>
            </w:r>
          </w:p>
        </w:tc>
        <w:tc>
          <w:tcPr>
            <w:tcW w:type="dxa" w:w="3500"/>
            <w:tcBorders>
              <w:top w:val="single" w:color="CCCCCC" w:sz="1"/>
              <w:left w:val="single" w:color="CCCCCC" w:sz="1"/>
              <w:bottom w:val="single" w:color="CCCCCC" w:sz="1"/>
              <w:right w:val="single" w:color="CCCCCC" w:sz="1"/>
            </w:tcBorders>
            <w:shd w:fill="2E5D9E" w:val="clear"/>
            <w:tcMar>
              <w:top w:type="dxa" w:w="100"/>
              <w:left w:type="dxa" w:w="120"/>
              <w:bottom w:type="dxa" w:w="100"/>
              <w:right w:type="dxa" w:w="120"/>
            </w:tcMar>
            <w:vAlign w:val="center"/>
          </w:tcPr>
          <w:p>
            <w:pPr>
              <w:jc w:val="left"/>
            </w:pPr>
            <w:r>
              <w:rPr>
                <w:rFonts w:ascii="Arial" w:cs="Arial" w:eastAsia="Arial" w:hAnsi="Arial"/>
                <w:b/>
                <w:bCs/>
                <w:color w:val="FFFFFF"/>
                <w:sz w:val="19"/>
                <w:szCs w:val="19"/>
              </w:rPr>
              <w:t xml:space="preserve">Source Tension</w:t>
            </w:r>
          </w:p>
        </w:tc>
        <w:tc>
          <w:tcPr>
            <w:tcW w:type="dxa" w:w="3660"/>
            <w:tcBorders>
              <w:top w:val="single" w:color="CCCCCC" w:sz="1"/>
              <w:left w:val="single" w:color="CCCCCC" w:sz="1"/>
              <w:bottom w:val="single" w:color="CCCCCC" w:sz="1"/>
              <w:right w:val="single" w:color="CCCCCC" w:sz="1"/>
            </w:tcBorders>
            <w:shd w:fill="2E5D9E" w:val="clear"/>
            <w:tcMar>
              <w:top w:type="dxa" w:w="100"/>
              <w:left w:type="dxa" w:w="120"/>
              <w:bottom w:type="dxa" w:w="100"/>
              <w:right w:type="dxa" w:w="120"/>
            </w:tcMar>
            <w:vAlign w:val="center"/>
          </w:tcPr>
          <w:p>
            <w:pPr>
              <w:jc w:val="left"/>
            </w:pPr>
            <w:r>
              <w:rPr>
                <w:rFonts w:ascii="Arial" w:cs="Arial" w:eastAsia="Arial" w:hAnsi="Arial"/>
                <w:b/>
                <w:bCs/>
                <w:color w:val="FFFFFF"/>
                <w:sz w:val="19"/>
                <w:szCs w:val="19"/>
              </w:rPr>
              <w:t xml:space="preserve">Materiality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Valuation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Management: $210mn pre-money. Deal team: $175mn. VC peer (Doc 3): "$185mn feels full." Three distinct price points from three sources.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8B0000"/>
                <w:sz w:val="19"/>
                <w:szCs w:val="19"/>
              </w:rPr>
              <w:t xml:space="preserve">HIGH — directly affects deal economics. Must be resolved in negotiation.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Target Market Attractiveness</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Company profile (Doc 2) presents mid-market ($10–500mn turnover) as the strategy. Expert 1 (Doc 3): "The sweet spot is actually the top 200 corporates — serving 340 clients at that ACV is operationally intensive."</w:t>
            </w:r>
          </w:p>
        </w:tc>
        <w:tc>
          <w:tcPr>
            <w:tcW w:type="dxa" w:w="3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8B0000"/>
                <w:sz w:val="19"/>
                <w:szCs w:val="19"/>
              </w:rPr>
              <w:t xml:space="preserve">HIGH — if Expert 1 is correct, growth ceiling and unit economics may be structurally challenged.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Legacy Gateway Remediation Timeline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Company profile (Doc 2): deprecation scheduled Q2 2026. Expert 5 (Doc 3): "should have been deprecated 18 months ago." Implies the existing schedule may already be slipping.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7F5000"/>
                <w:sz w:val="19"/>
                <w:szCs w:val="19"/>
              </w:rPr>
              <w:t xml:space="preserve">MEDIUM — technical debt creates operational and compliance risk if timeline slips further.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Litigation Disclosure</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Company profile (Doc 2) discloses pending IP dispute and assesses as low risk. IC memo (Doc 4) does not mention it. Expert interviews (Doc 3) do not reference it. Inconsistent surfacing across documents.</w:t>
            </w:r>
          </w:p>
        </w:tc>
        <w:tc>
          <w:tcPr>
            <w:tcW w:type="dxa" w:w="3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7F5000"/>
                <w:sz w:val="19"/>
                <w:szCs w:val="19"/>
              </w:rPr>
              <w:t xml:space="preserve">MEDIUM — omission from data room raises transparency concerns. Requires direct legal review.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Competitive Threat Immediacy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Market brief (Doc 1) treats fintech competition broadly. Expert 3 (Doc 3) identifies stealth startups 12–18 months from market. Expert 1 mentions an unconfirmed Flutterwave adjacency rumour. IC memo (Doc 4) notes two competitors but treats them as manageable.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7F5000"/>
                <w:sz w:val="19"/>
                <w:szCs w:val="19"/>
              </w:rPr>
              <w:t xml:space="preserve">MEDIUM–HIGH — if stealth competitors are better-capitalised than assumed, window for pre-competitive positioning is narrower than IC memo implies.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FX / Revenue Denominator Risk</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Market brief (Doc 1) rates FX/USD scarcity as High Probability, High Impact. Company profile (Doc 2) does not prominently address FX risk despite 7% of revenue from FX spread and cross-border exposure across 9 markets.</w:t>
            </w:r>
          </w:p>
        </w:tc>
        <w:tc>
          <w:tcPr>
            <w:tcW w:type="dxa" w:w="3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7F5000"/>
                <w:sz w:val="19"/>
                <w:szCs w:val="19"/>
              </w:rPr>
              <w:t xml:space="preserve">MEDIUM — company profile may underweight a structural sector risk flagged as critical by independent market analysis.</w:t>
            </w:r>
          </w:p>
        </w:tc>
      </w:tr>
    </w:tbl>
    <w:p>
      <w:pPr>
        <w:spacing w:after="80" w:before="120"/>
      </w:pPr>
    </w:p>
    <w:p>
      <w:pPr>
        <w:spacing w:after="80" w:before="80"/>
      </w:pPr>
      <w:r>
        <w:rPr>
          <w:rFonts w:ascii="Arial" w:cs="Arial" w:eastAsia="Arial" w:hAnsi="Arial"/>
          <w:b w:val="false"/>
          <w:bCs w:val="false"/>
          <w:i/>
          <w:iCs/>
          <w:color w:val="595959"/>
          <w:sz w:val="20"/>
          <w:szCs w:val="20"/>
        </w:rPr>
        <w:t xml:space="preserve">Prepared by: Investment Deal Team  |  March 2026  |  Project Horizon</w:t>
      </w:r>
    </w:p>
    <w:p>
      <w:pPr>
        <w:spacing w:after="80" w:before="80"/>
      </w:pPr>
      <w:r>
        <w:rPr>
          <w:rFonts w:ascii="Arial" w:cs="Arial" w:eastAsia="Arial" w:hAnsi="Arial"/>
          <w:b w:val="false"/>
          <w:bCs w:val="false"/>
          <w:i/>
          <w:iCs/>
          <w:color w:val="595959"/>
          <w:sz w:val="20"/>
          <w:szCs w:val="20"/>
        </w:rPr>
        <w:t xml:space="preserve">All source documents referenced above are on file. This consolidated summary does not supersede individual source materials.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D9E" w:sz="6" w:space="4"/>
      </w:pBdr>
      <w:tabs>
        <w:tab w:val="right" w:pos="9026"/>
      </w:tabs>
      <w:spacing w:after="0" w:before="120"/>
    </w:pPr>
    <w:r>
      <w:rPr>
        <w:rFonts w:ascii="Arial" w:cs="Arial" w:eastAsia="Arial" w:hAnsi="Arial"/>
        <w:i/>
        <w:iCs/>
        <w:color w:val="595959"/>
        <w:sz w:val="16"/>
        <w:szCs w:val="16"/>
      </w:rPr>
      <w:t xml:space="preserve">STRICTLY CONFIDENTIAL — INVESTMENT COMMITTEE ONLY</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D9E" w:sz="6" w:space="4"/>
      </w:pBdr>
      <w:tabs>
        <w:tab w:val="right" w:pos="9026"/>
      </w:tabs>
      <w:spacing w:after="120" w:before="0"/>
    </w:pPr>
    <w:r>
      <w:rPr>
        <w:rFonts w:ascii="Arial" w:cs="Arial" w:eastAsia="Arial" w:hAnsi="Arial"/>
        <w:b/>
        <w:bCs/>
        <w:color w:val="1F3864"/>
        <w:sz w:val="16"/>
        <w:szCs w:val="16"/>
      </w:rPr>
      <w:t xml:space="preserve">PROJECT HORIZON — CONFIDENTIAL</w:t>
    </w:r>
    <w:r>
      <w:rPr>
        <w:rFonts w:ascii="Arial" w:cs="Arial" w:eastAsia="Arial" w:hAnsi="Arial"/>
        <w:color w:val="595959"/>
        <w:sz w:val="16"/>
        <w:szCs w:val="16"/>
      </w:rPr>
      <w:t xml:space="preserve">	VaultPay Technologies Due Diligence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5D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2026-03-26T13:12:03.434Z</dcterms:created>
  <dcterms:modified xsi:type="dcterms:W3CDTF">2026-03-26T13:12:03.434Z</dcterms:modified>
</cp:coreProperties>
</file>

<file path=docProps/custom.xml><?xml version="1.0" encoding="utf-8"?>
<Properties xmlns="http://schemas.openxmlformats.org/officeDocument/2006/custom-properties" xmlns:vt="http://schemas.openxmlformats.org/officeDocument/2006/docPropsVTypes"/>
</file>