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880"/>
        <w:jc w:val="center"/>
      </w:pPr>
      <w:r>
        <w:rPr>
          <w:rFonts w:ascii="Arial" w:cs="Arial" w:eastAsia="Arial" w:hAnsi="Arial"/>
          <w:b/>
          <w:bCs/>
          <w:color w:val="1F3864"/>
          <w:sz w:val="44"/>
          <w:szCs w:val="44"/>
        </w:rPr>
        <w:t xml:space="preserve">INVESTMENT COMMITTEE MEMORANDUM</w:t>
      </w:r>
    </w:p>
    <w:p>
      <w:pPr>
        <w:pBdr>
          <w:bottom w:val="single" w:color="C09020" w:sz="12" w:space="2"/>
        </w:pBdr>
        <w:spacing w:after="480" w:before="0"/>
        <w:jc w:val="center"/>
      </w:pPr>
      <w:r>
        <w:rPr>
          <w:rFonts w:ascii="Arial" w:cs="Arial" w:eastAsia="Arial" w:hAnsi="Arial"/>
          <w:sz w:val="4"/>
          <w:szCs w:val="4"/>
        </w:rPr>
        <w:t xml:space="preserve"/>
      </w:r>
    </w:p>
    <w:p>
      <w:pPr>
        <w:spacing w:after="120" w:before="480"/>
        <w:jc w:val="center"/>
      </w:pPr>
      <w:r>
        <w:rPr>
          <w:rFonts w:ascii="Arial" w:cs="Arial" w:eastAsia="Arial" w:hAnsi="Arial"/>
          <w:b/>
          <w:bCs/>
          <w:color w:val="2E5B9A"/>
          <w:sz w:val="56"/>
          <w:szCs w:val="56"/>
        </w:rPr>
        <w:t xml:space="preserve">Famous Brands Limited</w:t>
      </w:r>
    </w:p>
    <w:p>
      <w:pPr>
        <w:spacing w:after="120" w:before="0"/>
        <w:jc w:val="center"/>
      </w:pPr>
      <w:r>
        <w:rPr>
          <w:rFonts w:ascii="Arial" w:cs="Arial" w:eastAsia="Arial" w:hAnsi="Arial"/>
          <w:color w:val="555555"/>
          <w:sz w:val="24"/>
          <w:szCs w:val="24"/>
        </w:rPr>
        <w:t xml:space="preserve">JSE: FBR  |  Africa's Leading Food Services Franchisor</w:t>
      </w:r>
    </w:p>
    <w:p>
      <w:pPr>
        <w:spacing w:after="960" w:before="120"/>
        <w:jc w:val="center"/>
      </w:pPr>
      <w:r>
        <w:rPr>
          <w:rFonts w:ascii="Arial" w:cs="Arial" w:eastAsia="Arial" w:hAnsi="Arial"/>
          <w:color w:val="555555"/>
          <w:sz w:val="24"/>
          <w:szCs w:val="24"/>
        </w:rPr>
        <w:t xml:space="preserve">Potential Acquisition / Strategic Investment</w:t>
      </w:r>
    </w:p>
    <w:p>
      <w:pPr>
        <w:spacing w:after="80" w:before="0"/>
        <w:jc w:val="center"/>
      </w:pPr>
      <w:r>
        <w:rPr>
          <w:rFonts w:ascii="Arial" w:cs="Arial" w:eastAsia="Arial" w:hAnsi="Arial"/>
          <w:color w:val="777777"/>
          <w:sz w:val="22"/>
          <w:szCs w:val="22"/>
        </w:rPr>
        <w:t xml:space="preserve">Prepared: March 2026</w:t>
      </w:r>
    </w:p>
    <w:p>
      <w:pPr>
        <w:spacing w:after="80" w:before="0"/>
        <w:jc w:val="center"/>
      </w:pPr>
      <w:r>
        <w:rPr>
          <w:rFonts w:ascii="Arial" w:cs="Arial" w:eastAsia="Arial" w:hAnsi="Arial"/>
          <w:color w:val="777777"/>
          <w:sz w:val="20"/>
          <w:szCs w:val="20"/>
        </w:rPr>
        <w:t xml:space="preserve">Based on FY2025 Integrated Annual Report (year ended 28 February 2025)</w:t>
      </w:r>
    </w:p>
    <w:p>
      <w:pPr>
        <w:spacing w:after="80" w:before="80"/>
        <w:jc w:val="center"/>
      </w:pPr>
      <w:r>
        <w:rPr>
          <w:rFonts w:ascii="Arial" w:cs="Arial" w:eastAsia="Arial" w:hAnsi="Arial"/>
          <w:b/>
          <w:bCs/>
          <w:color w:val="C00000"/>
          <w:sz w:val="20"/>
          <w:szCs w:val="20"/>
          <w:shd w:fill="FFF0F0" w:val="clear"/>
        </w:rPr>
        <w:t xml:space="preserve">STRICTLY CONFIDENTIAL</w:t>
      </w:r>
    </w:p>
    <w:p>
      <w:pPr>
        <w:pStyle w:val="Heading1"/>
        <w:pageBreakBefore/>
        <w:shd w:fill="1F3864" w:val="clear"/>
        <w:spacing w:after="240" w:before="0"/>
        <w:ind w:left="120"/>
      </w:pPr>
      <w:r>
        <w:rPr>
          <w:rFonts w:ascii="Arial" w:cs="Arial" w:eastAsia="Arial" w:hAnsi="Arial"/>
          <w:b/>
          <w:bCs/>
          <w:color w:val="FFFFFF"/>
          <w:sz w:val="32"/>
          <w:szCs w:val="32"/>
        </w:rPr>
        <w:t xml:space="preserve">I.  Executive Summary</w:t>
      </w:r>
    </w:p>
    <w:p>
      <w:pPr>
        <w:pStyle w:val="Heading2"/>
        <w:pBdr>
          <w:bottom w:val="single" w:color="2E5B9A" w:sz="4" w:space="1"/>
        </w:pBdr>
        <w:spacing w:after="120" w:before="240"/>
      </w:pPr>
      <w:r>
        <w:rPr>
          <w:rFonts w:ascii="Arial" w:cs="Arial" w:eastAsia="Arial" w:hAnsi="Arial"/>
          <w:b/>
          <w:bCs/>
          <w:color w:val="1F3864"/>
          <w:sz w:val="26"/>
          <w:szCs w:val="26"/>
        </w:rPr>
        <w:t xml:space="preserve">Company Overview</w:t>
      </w:r>
    </w:p>
    <w:p>
      <w:pPr>
        <w:spacing w:after="60" w:before="60"/>
      </w:pPr>
      <w:r>
        <w:rPr>
          <w:rFonts w:ascii="Arial" w:cs="Arial" w:eastAsia="Arial" w:hAnsi="Arial"/>
          <w:color w:val="333333"/>
          <w:sz w:val="20"/>
          <w:szCs w:val="20"/>
        </w:rPr>
        <w:t xml:space="preserve">Famous Brands Limited (JSE: FBR) is Africa's largest food services franchisor, operating a vertically integrated business that encompasses 16 restaurant brands across 2,979 restaurants in 20 countries. The company is headquartered in Midrand, South Africa, and listed on the JSE in November 1994 (originally as Steers Holdings). Its business model spans four pillars: Brands (franchise and company-owned restaurants), Manufacturing (10 plants), Logistics (6 distribution centres, 96-truck fleet), and Retail (110 products in 2,893 outlets).</w:t>
      </w:r>
    </w:p>
    <w:p>
      <w:pPr>
        <w:spacing w:after="40" w:before="40"/>
      </w:pPr>
      <w:r>
        <w:rPr>
          <w:rFonts w:ascii="Arial" w:cs="Arial" w:eastAsia="Arial" w:hAnsi="Arial"/>
          <w:sz w:val="16"/>
          <w:szCs w:val="16"/>
        </w:rPr>
        <w:t xml:space="preserve"/>
      </w:r>
    </w:p>
    <w:p>
      <w:pPr>
        <w:pStyle w:val="Heading2"/>
        <w:pBdr>
          <w:bottom w:val="single" w:color="2E5B9A" w:sz="4" w:space="1"/>
        </w:pBdr>
        <w:spacing w:after="120" w:before="240"/>
      </w:pPr>
      <w:r>
        <w:rPr>
          <w:rFonts w:ascii="Arial" w:cs="Arial" w:eastAsia="Arial" w:hAnsi="Arial"/>
          <w:b/>
          <w:bCs/>
          <w:color w:val="1F3864"/>
          <w:sz w:val="26"/>
          <w:szCs w:val="26"/>
        </w:rPr>
        <w:t xml:space="preserve">Key Financial Metrics  —  FY2025 (Year Ended 28 Feb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5E8F0" w:val="clear"/>
            <w:tcMar>
              <w:top w:type="dxa" w:w="160"/>
              <w:left w:type="dxa" w:w="180"/>
              <w:bottom w:type="dxa" w:w="160"/>
              <w:right w:type="dxa" w:w="180"/>
            </w:tcMar>
          </w:tcPr>
          <w:p>
            <w:pPr>
              <w:spacing w:after="0" w:before="0"/>
              <w:jc w:val="center"/>
            </w:pPr>
            <w:r>
              <w:rPr>
                <w:rFonts w:ascii="Arial" w:cs="Arial" w:eastAsia="Arial" w:hAnsi="Arial"/>
                <w:b/>
                <w:bCs/>
                <w:color w:val="1F3864"/>
                <w:sz w:val="36"/>
                <w:szCs w:val="36"/>
              </w:rPr>
              <w:t xml:space="preserve">R8.3bn</w:t>
            </w:r>
          </w:p>
          <w:p>
            <w:pPr>
              <w:spacing w:after="0" w:before="40"/>
              <w:jc w:val="center"/>
            </w:pPr>
            <w:r>
              <w:rPr>
                <w:rFonts w:ascii="Arial" w:cs="Arial" w:eastAsia="Arial" w:hAnsi="Arial"/>
                <w:b/>
                <w:bCs/>
                <w:color w:val="2E5B9A"/>
                <w:sz w:val="16"/>
                <w:szCs w:val="16"/>
              </w:rPr>
              <w:t xml:space="preserve">Revenue</w:t>
            </w:r>
          </w:p>
          <w:p>
            <w:pPr>
              <w:spacing w:after="0" w:before="0"/>
              <w:jc w:val="center"/>
            </w:pPr>
            <w:r>
              <w:rPr>
                <w:rFonts w:ascii="Arial" w:cs="Arial" w:eastAsia="Arial" w:hAnsi="Arial"/>
                <w:color w:val="666666"/>
                <w:sz w:val="16"/>
                <w:szCs w:val="16"/>
              </w:rPr>
              <w:t xml:space="preserve">+3.2% YoY</w:t>
            </w:r>
          </w:p>
        </w:tc>
        <w:tc>
          <w:tcPr>
            <w:tcW w:type="dxa" w:w="2340"/>
            <w:tcBorders>
              <w:top w:val="none" w:color="FFFFFF" w:sz="0"/>
              <w:left w:val="none" w:color="FFFFFF" w:sz="0"/>
              <w:bottom w:val="none" w:color="FFFFFF" w:sz="0"/>
              <w:right w:val="none" w:color="FFFFFF" w:sz="0"/>
            </w:tcBorders>
            <w:shd w:fill="D5E8F0" w:val="clear"/>
            <w:tcMar>
              <w:top w:type="dxa" w:w="160"/>
              <w:left w:type="dxa" w:w="180"/>
              <w:bottom w:type="dxa" w:w="160"/>
              <w:right w:type="dxa" w:w="180"/>
            </w:tcMar>
          </w:tcPr>
          <w:p>
            <w:pPr>
              <w:spacing w:after="0" w:before="0"/>
              <w:jc w:val="center"/>
            </w:pPr>
            <w:r>
              <w:rPr>
                <w:rFonts w:ascii="Arial" w:cs="Arial" w:eastAsia="Arial" w:hAnsi="Arial"/>
                <w:b/>
                <w:bCs/>
                <w:color w:val="1F3864"/>
                <w:sz w:val="36"/>
                <w:szCs w:val="36"/>
              </w:rPr>
              <w:t xml:space="preserve">R914m</w:t>
            </w:r>
          </w:p>
          <w:p>
            <w:pPr>
              <w:spacing w:after="0" w:before="40"/>
              <w:jc w:val="center"/>
            </w:pPr>
            <w:r>
              <w:rPr>
                <w:rFonts w:ascii="Arial" w:cs="Arial" w:eastAsia="Arial" w:hAnsi="Arial"/>
                <w:b/>
                <w:bCs/>
                <w:color w:val="2E5B9A"/>
                <w:sz w:val="16"/>
                <w:szCs w:val="16"/>
              </w:rPr>
              <w:t xml:space="preserve">Operating Profit</w:t>
            </w:r>
          </w:p>
          <w:p>
            <w:pPr>
              <w:spacing w:after="0" w:before="0"/>
              <w:jc w:val="center"/>
            </w:pPr>
            <w:r>
              <w:rPr>
                <w:rFonts w:ascii="Arial" w:cs="Arial" w:eastAsia="Arial" w:hAnsi="Arial"/>
                <w:color w:val="666666"/>
                <w:sz w:val="16"/>
                <w:szCs w:val="16"/>
              </w:rPr>
              <w:t xml:space="preserve">+12.6% YoY</w:t>
            </w:r>
          </w:p>
        </w:tc>
        <w:tc>
          <w:tcPr>
            <w:tcW w:type="dxa" w:w="2340"/>
            <w:tcBorders>
              <w:top w:val="none" w:color="FFFFFF" w:sz="0"/>
              <w:left w:val="none" w:color="FFFFFF" w:sz="0"/>
              <w:bottom w:val="none" w:color="FFFFFF" w:sz="0"/>
              <w:right w:val="none" w:color="FFFFFF" w:sz="0"/>
            </w:tcBorders>
            <w:shd w:fill="D5E8F0" w:val="clear"/>
            <w:tcMar>
              <w:top w:type="dxa" w:w="160"/>
              <w:left w:type="dxa" w:w="180"/>
              <w:bottom w:type="dxa" w:w="160"/>
              <w:right w:type="dxa" w:w="180"/>
            </w:tcMar>
          </w:tcPr>
          <w:p>
            <w:pPr>
              <w:spacing w:after="0" w:before="0"/>
              <w:jc w:val="center"/>
            </w:pPr>
            <w:r>
              <w:rPr>
                <w:rFonts w:ascii="Arial" w:cs="Arial" w:eastAsia="Arial" w:hAnsi="Arial"/>
                <w:b/>
                <w:bCs/>
                <w:color w:val="1F3864"/>
                <w:sz w:val="36"/>
                <w:szCs w:val="36"/>
              </w:rPr>
              <w:t xml:space="preserve">520 cps</w:t>
            </w:r>
          </w:p>
          <w:p>
            <w:pPr>
              <w:spacing w:after="0" w:before="40"/>
              <w:jc w:val="center"/>
            </w:pPr>
            <w:r>
              <w:rPr>
                <w:rFonts w:ascii="Arial" w:cs="Arial" w:eastAsia="Arial" w:hAnsi="Arial"/>
                <w:b/>
                <w:bCs/>
                <w:color w:val="2E5B9A"/>
                <w:sz w:val="16"/>
                <w:szCs w:val="16"/>
              </w:rPr>
              <w:t xml:space="preserve">HEPS</w:t>
            </w:r>
          </w:p>
          <w:p>
            <w:pPr>
              <w:spacing w:after="0" w:before="0"/>
              <w:jc w:val="center"/>
            </w:pPr>
            <w:r>
              <w:rPr>
                <w:rFonts w:ascii="Arial" w:cs="Arial" w:eastAsia="Arial" w:hAnsi="Arial"/>
                <w:color w:val="666666"/>
                <w:sz w:val="16"/>
                <w:szCs w:val="16"/>
              </w:rPr>
              <w:t xml:space="preserve">+11.9% YoY</w:t>
            </w:r>
          </w:p>
        </w:tc>
        <w:tc>
          <w:tcPr>
            <w:tcW w:type="dxa" w:w="2340"/>
            <w:tcBorders>
              <w:top w:val="none" w:color="FFFFFF" w:sz="0"/>
              <w:left w:val="none" w:color="FFFFFF" w:sz="0"/>
              <w:bottom w:val="none" w:color="FFFFFF" w:sz="0"/>
              <w:right w:val="none" w:color="FFFFFF" w:sz="0"/>
            </w:tcBorders>
            <w:shd w:fill="D5E8F0" w:val="clear"/>
            <w:tcMar>
              <w:top w:type="dxa" w:w="160"/>
              <w:left w:type="dxa" w:w="180"/>
              <w:bottom w:type="dxa" w:w="160"/>
              <w:right w:type="dxa" w:w="180"/>
            </w:tcMar>
          </w:tcPr>
          <w:p>
            <w:pPr>
              <w:spacing w:after="0" w:before="0"/>
              <w:jc w:val="center"/>
            </w:pPr>
            <w:r>
              <w:rPr>
                <w:rFonts w:ascii="Arial" w:cs="Arial" w:eastAsia="Arial" w:hAnsi="Arial"/>
                <w:b/>
                <w:bCs/>
                <w:color w:val="1F3864"/>
                <w:sz w:val="36"/>
                <w:szCs w:val="36"/>
              </w:rPr>
              <w:t xml:space="preserve">0.89x</w:t>
            </w:r>
          </w:p>
          <w:p>
            <w:pPr>
              <w:spacing w:after="0" w:before="40"/>
              <w:jc w:val="center"/>
            </w:pPr>
            <w:r>
              <w:rPr>
                <w:rFonts w:ascii="Arial" w:cs="Arial" w:eastAsia="Arial" w:hAnsi="Arial"/>
                <w:b/>
                <w:bCs/>
                <w:color w:val="2E5B9A"/>
                <w:sz w:val="16"/>
                <w:szCs w:val="16"/>
              </w:rPr>
              <w:t xml:space="preserve">Net Debt / EBITDA</w:t>
            </w:r>
          </w:p>
          <w:p>
            <w:pPr>
              <w:spacing w:after="0" w:before="0"/>
              <w:jc w:val="center"/>
            </w:pPr>
            <w:r>
              <w:rPr>
                <w:rFonts w:ascii="Arial" w:cs="Arial" w:eastAsia="Arial" w:hAnsi="Arial"/>
                <w:color w:val="666666"/>
                <w:sz w:val="16"/>
                <w:szCs w:val="16"/>
              </w:rPr>
              <w:t xml:space="preserve">vs 1.13x in FY24</w:t>
            </w:r>
          </w:p>
        </w:tc>
      </w:tr>
      <w:tr>
        <w:tc>
          <w:tcPr>
            <w:tcW w:type="dxa" w:w="9360"/>
            <w:gridSpan w:val="4"/>
            <w:tcBorders>
              <w:top w:val="none" w:color="FFFFFF" w:sz="0"/>
              <w:left w:val="none" w:color="FFFFFF" w:sz="0"/>
              <w:bottom w:val="none" w:color="FFFFFF" w:sz="0"/>
              <w:right w:val="none" w:color="FFFFFF" w:sz="0"/>
            </w:tcBorders>
          </w:tcPr>
          <w:p>
            <w:pPr>
              <w:spacing w:after="0" w:before="0"/>
            </w:pPr>
            <w:r>
              <w:t xml:space="preserve"/>
            </w:r>
          </w:p>
        </w:tc>
      </w:tr>
      <w:tr>
        <w:tc>
          <w:tcPr>
            <w:tcW w:type="dxa" w:w="2340"/>
            <w:tcBorders>
              <w:top w:val="none" w:color="FFFFFF" w:sz="0"/>
              <w:left w:val="none" w:color="FFFFFF" w:sz="0"/>
              <w:bottom w:val="none" w:color="FFFFFF" w:sz="0"/>
              <w:right w:val="none" w:color="FFFFFF" w:sz="0"/>
            </w:tcBorders>
            <w:shd w:fill="D5E8F0" w:val="clear"/>
            <w:tcMar>
              <w:top w:type="dxa" w:w="160"/>
              <w:left w:type="dxa" w:w="180"/>
              <w:bottom w:type="dxa" w:w="160"/>
              <w:right w:type="dxa" w:w="180"/>
            </w:tcMar>
          </w:tcPr>
          <w:p>
            <w:pPr>
              <w:spacing w:after="0" w:before="0"/>
              <w:jc w:val="center"/>
            </w:pPr>
            <w:r>
              <w:rPr>
                <w:rFonts w:ascii="Arial" w:cs="Arial" w:eastAsia="Arial" w:hAnsi="Arial"/>
                <w:b/>
                <w:bCs/>
                <w:color w:val="1F3864"/>
                <w:sz w:val="36"/>
                <w:szCs w:val="36"/>
              </w:rPr>
              <w:t xml:space="preserve">R753m</w:t>
            </w:r>
          </w:p>
          <w:p>
            <w:pPr>
              <w:spacing w:after="0" w:before="40"/>
              <w:jc w:val="center"/>
            </w:pPr>
            <w:r>
              <w:rPr>
                <w:rFonts w:ascii="Arial" w:cs="Arial" w:eastAsia="Arial" w:hAnsi="Arial"/>
                <w:b/>
                <w:bCs/>
                <w:color w:val="2E5B9A"/>
                <w:sz w:val="16"/>
                <w:szCs w:val="16"/>
              </w:rPr>
              <w:t xml:space="preserve">Free Cash Flow</w:t>
            </w:r>
          </w:p>
          <w:p>
            <w:pPr>
              <w:spacing w:after="0" w:before="0"/>
              <w:jc w:val="center"/>
            </w:pPr>
            <w:r>
              <w:rPr>
                <w:rFonts w:ascii="Arial" w:cs="Arial" w:eastAsia="Arial" w:hAnsi="Arial"/>
                <w:color w:val="666666"/>
                <w:sz w:val="16"/>
                <w:szCs w:val="16"/>
              </w:rPr>
              <w:t xml:space="preserve">+11.7% YoY</w:t>
            </w:r>
          </w:p>
        </w:tc>
        <w:tc>
          <w:tcPr>
            <w:tcW w:type="dxa" w:w="2340"/>
            <w:tcBorders>
              <w:top w:val="none" w:color="FFFFFF" w:sz="0"/>
              <w:left w:val="none" w:color="FFFFFF" w:sz="0"/>
              <w:bottom w:val="none" w:color="FFFFFF" w:sz="0"/>
              <w:right w:val="none" w:color="FFFFFF" w:sz="0"/>
            </w:tcBorders>
            <w:shd w:fill="D5E8F0" w:val="clear"/>
            <w:tcMar>
              <w:top w:type="dxa" w:w="160"/>
              <w:left w:type="dxa" w:w="180"/>
              <w:bottom w:type="dxa" w:w="160"/>
              <w:right w:type="dxa" w:w="180"/>
            </w:tcMar>
          </w:tcPr>
          <w:p>
            <w:pPr>
              <w:spacing w:after="0" w:before="0"/>
              <w:jc w:val="center"/>
            </w:pPr>
            <w:r>
              <w:rPr>
                <w:rFonts w:ascii="Arial" w:cs="Arial" w:eastAsia="Arial" w:hAnsi="Arial"/>
                <w:b/>
                <w:bCs/>
                <w:color w:val="1F3864"/>
                <w:sz w:val="36"/>
                <w:szCs w:val="36"/>
              </w:rPr>
              <w:t xml:space="preserve">34%</w:t>
            </w:r>
          </w:p>
          <w:p>
            <w:pPr>
              <w:spacing w:after="0" w:before="40"/>
              <w:jc w:val="center"/>
            </w:pPr>
            <w:r>
              <w:rPr>
                <w:rFonts w:ascii="Arial" w:cs="Arial" w:eastAsia="Arial" w:hAnsi="Arial"/>
                <w:b/>
                <w:bCs/>
                <w:color w:val="2E5B9A"/>
                <w:sz w:val="16"/>
                <w:szCs w:val="16"/>
              </w:rPr>
              <w:t xml:space="preserve">ROCE</w:t>
            </w:r>
          </w:p>
          <w:p>
            <w:pPr>
              <w:spacing w:after="0" w:before="0"/>
              <w:jc w:val="center"/>
            </w:pPr>
            <w:r>
              <w:rPr>
                <w:rFonts w:ascii="Arial" w:cs="Arial" w:eastAsia="Arial" w:hAnsi="Arial"/>
                <w:color w:val="666666"/>
                <w:sz w:val="16"/>
                <w:szCs w:val="16"/>
              </w:rPr>
              <w:t xml:space="preserve">vs 31% in FY24</w:t>
            </w:r>
          </w:p>
        </w:tc>
        <w:tc>
          <w:tcPr>
            <w:tcW w:type="dxa" w:w="2340"/>
            <w:tcBorders>
              <w:top w:val="none" w:color="FFFFFF" w:sz="0"/>
              <w:left w:val="none" w:color="FFFFFF" w:sz="0"/>
              <w:bottom w:val="none" w:color="FFFFFF" w:sz="0"/>
              <w:right w:val="none" w:color="FFFFFF" w:sz="0"/>
            </w:tcBorders>
            <w:shd w:fill="D5E8F0" w:val="clear"/>
            <w:tcMar>
              <w:top w:type="dxa" w:w="160"/>
              <w:left w:type="dxa" w:w="180"/>
              <w:bottom w:type="dxa" w:w="160"/>
              <w:right w:type="dxa" w:w="180"/>
            </w:tcMar>
          </w:tcPr>
          <w:p>
            <w:pPr>
              <w:spacing w:after="0" w:before="0"/>
              <w:jc w:val="center"/>
            </w:pPr>
            <w:r>
              <w:rPr>
                <w:rFonts w:ascii="Arial" w:cs="Arial" w:eastAsia="Arial" w:hAnsi="Arial"/>
                <w:b/>
                <w:bCs/>
                <w:color w:val="1F3864"/>
                <w:sz w:val="36"/>
                <w:szCs w:val="36"/>
              </w:rPr>
              <w:t xml:space="preserve">2,979</w:t>
            </w:r>
          </w:p>
          <w:p>
            <w:pPr>
              <w:spacing w:after="0" w:before="40"/>
              <w:jc w:val="center"/>
            </w:pPr>
            <w:r>
              <w:rPr>
                <w:rFonts w:ascii="Arial" w:cs="Arial" w:eastAsia="Arial" w:hAnsi="Arial"/>
                <w:b/>
                <w:bCs/>
                <w:color w:val="2E5B9A"/>
                <w:sz w:val="16"/>
                <w:szCs w:val="16"/>
              </w:rPr>
              <w:t xml:space="preserve">Restaurants</w:t>
            </w:r>
          </w:p>
          <w:p>
            <w:pPr>
              <w:spacing w:after="0" w:before="0"/>
              <w:jc w:val="center"/>
            </w:pPr>
            <w:r>
              <w:rPr>
                <w:rFonts w:ascii="Arial" w:cs="Arial" w:eastAsia="Arial" w:hAnsi="Arial"/>
                <w:color w:val="666666"/>
                <w:sz w:val="16"/>
                <w:szCs w:val="16"/>
              </w:rPr>
              <w:t xml:space="preserve">20 countries</w:t>
            </w:r>
          </w:p>
        </w:tc>
        <w:tc>
          <w:tcPr>
            <w:tcW w:type="dxa" w:w="2340"/>
            <w:tcBorders>
              <w:top w:val="none" w:color="FFFFFF" w:sz="0"/>
              <w:left w:val="none" w:color="FFFFFF" w:sz="0"/>
              <w:bottom w:val="none" w:color="FFFFFF" w:sz="0"/>
              <w:right w:val="none" w:color="FFFFFF" w:sz="0"/>
            </w:tcBorders>
            <w:shd w:fill="D5E8F0" w:val="clear"/>
            <w:tcMar>
              <w:top w:type="dxa" w:w="160"/>
              <w:left w:type="dxa" w:w="180"/>
              <w:bottom w:type="dxa" w:w="160"/>
              <w:right w:type="dxa" w:w="180"/>
            </w:tcMar>
          </w:tcPr>
          <w:p>
            <w:pPr>
              <w:spacing w:after="0" w:before="0"/>
              <w:jc w:val="center"/>
            </w:pPr>
            <w:r>
              <w:rPr>
                <w:rFonts w:ascii="Arial" w:cs="Arial" w:eastAsia="Arial" w:hAnsi="Arial"/>
                <w:b/>
                <w:bCs/>
                <w:color w:val="1F3864"/>
                <w:sz w:val="36"/>
                <w:szCs w:val="36"/>
              </w:rPr>
              <w:t xml:space="preserve">R997m</w:t>
            </w:r>
          </w:p>
          <w:p>
            <w:pPr>
              <w:spacing w:after="0" w:before="40"/>
              <w:jc w:val="center"/>
            </w:pPr>
            <w:r>
              <w:rPr>
                <w:rFonts w:ascii="Arial" w:cs="Arial" w:eastAsia="Arial" w:hAnsi="Arial"/>
                <w:b/>
                <w:bCs/>
                <w:color w:val="2E5B9A"/>
                <w:sz w:val="16"/>
                <w:szCs w:val="16"/>
              </w:rPr>
              <w:t xml:space="preserve">Net Debt</w:t>
            </w:r>
          </w:p>
          <w:p>
            <w:pPr>
              <w:spacing w:after="0" w:before="0"/>
              <w:jc w:val="center"/>
            </w:pPr>
            <w:r>
              <w:rPr>
                <w:rFonts w:ascii="Arial" w:cs="Arial" w:eastAsia="Arial" w:hAnsi="Arial"/>
                <w:color w:val="666666"/>
                <w:sz w:val="16"/>
                <w:szCs w:val="16"/>
              </w:rPr>
              <w:t xml:space="preserve">vs R1,170m in FY24</w:t>
            </w:r>
          </w:p>
        </w:tc>
      </w:tr>
    </w:tbl>
    <w:p>
      <w:pPr>
        <w:spacing w:after="40" w:before="40"/>
      </w:pPr>
      <w:r>
        <w:rPr>
          <w:rFonts w:ascii="Arial" w:cs="Arial" w:eastAsia="Arial" w:hAnsi="Arial"/>
          <w:sz w:val="16"/>
          <w:szCs w:val="16"/>
        </w:rPr>
        <w:t xml:space="preserve"/>
      </w:r>
    </w:p>
    <w:p>
      <w:pPr>
        <w:pStyle w:val="Heading2"/>
        <w:pBdr>
          <w:bottom w:val="single" w:color="2E5B9A" w:sz="4" w:space="1"/>
        </w:pBdr>
        <w:spacing w:after="120" w:before="240"/>
      </w:pPr>
      <w:r>
        <w:rPr>
          <w:rFonts w:ascii="Arial" w:cs="Arial" w:eastAsia="Arial" w:hAnsi="Arial"/>
          <w:b/>
          <w:bCs/>
          <w:color w:val="1F3864"/>
          <w:sz w:val="26"/>
          <w:szCs w:val="26"/>
        </w:rPr>
        <w:t xml:space="preserve">Deal Rationale</w:t>
      </w:r>
    </w:p>
    <w:p>
      <w:pPr>
        <w:spacing w:after="60" w:before="60"/>
      </w:pPr>
      <w:r>
        <w:rPr>
          <w:rFonts w:ascii="Arial" w:cs="Arial" w:eastAsia="Arial" w:hAnsi="Arial"/>
          <w:color w:val="333333"/>
          <w:sz w:val="20"/>
          <w:szCs w:val="20"/>
        </w:rPr>
        <w:t xml:space="preserve">Famous Brands represents a rare opportunity to acquire a dominant, asset-light franchise platform with the leading market position in Sub-Saharan Africa's resilient QSR and casual dining sector. The investment thesis rests on five pillars:</w:t>
      </w:r>
    </w:p>
    <w:p>
      <w:pPr>
        <w:pStyle w:val="ListParagraph"/>
        <w:numPr>
          <w:ilvl w:val="0"/>
          <w:numId w:val="2"/>
        </w:numPr>
        <w:spacing w:after="40" w:before="40"/>
      </w:pPr>
      <w:r>
        <w:rPr>
          <w:rFonts w:ascii="Arial" w:cs="Arial" w:eastAsia="Arial" w:hAnsi="Arial"/>
          <w:b w:val="false"/>
          <w:bCs w:val="false"/>
          <w:color w:val="333333"/>
          <w:sz w:val="20"/>
          <w:szCs w:val="20"/>
        </w:rPr>
        <w:t xml:space="preserve">Market leadership with structural moats: South Africa's largest food franchisor with 2,626 SA restaurants, 21 brand awards, and 27% of the QSR network facing no significant competitor within a 5km radius.</w:t>
      </w:r>
    </w:p>
    <w:p>
      <w:pPr>
        <w:pStyle w:val="ListParagraph"/>
        <w:numPr>
          <w:ilvl w:val="0"/>
          <w:numId w:val="2"/>
        </w:numPr>
        <w:spacing w:after="40" w:before="40"/>
      </w:pPr>
      <w:r>
        <w:rPr>
          <w:rFonts w:ascii="Arial" w:cs="Arial" w:eastAsia="Arial" w:hAnsi="Arial"/>
          <w:b w:val="false"/>
          <w:bCs w:val="false"/>
          <w:color w:val="333333"/>
          <w:sz w:val="20"/>
          <w:szCs w:val="20"/>
        </w:rPr>
        <w:t xml:space="preserve">Consistent cash generation: FCF of R753m in FY2025, 100% cash realisation rate, and R1.8bn of debt reduction since 2018 demonstrating disciplined capital management.</w:t>
      </w:r>
    </w:p>
    <w:p>
      <w:pPr>
        <w:pStyle w:val="ListParagraph"/>
        <w:numPr>
          <w:ilvl w:val="0"/>
          <w:numId w:val="2"/>
        </w:numPr>
        <w:spacing w:after="40" w:before="40"/>
      </w:pPr>
      <w:r>
        <w:rPr>
          <w:rFonts w:ascii="Arial" w:cs="Arial" w:eastAsia="Arial" w:hAnsi="Arial"/>
          <w:b w:val="false"/>
          <w:bCs w:val="false"/>
          <w:color w:val="333333"/>
          <w:sz w:val="20"/>
          <w:szCs w:val="20"/>
        </w:rPr>
        <w:t xml:space="preserve">Margin expansion trajectory: Group operating margin improved from 10.1% to 11.0% YoY; Leading Brands division operating margin reached 53.3%.</w:t>
      </w:r>
    </w:p>
    <w:p>
      <w:pPr>
        <w:pStyle w:val="ListParagraph"/>
        <w:numPr>
          <w:ilvl w:val="0"/>
          <w:numId w:val="2"/>
        </w:numPr>
        <w:spacing w:after="40" w:before="40"/>
      </w:pPr>
      <w:r>
        <w:rPr>
          <w:rFonts w:ascii="Arial" w:cs="Arial" w:eastAsia="Arial" w:hAnsi="Arial"/>
          <w:b w:val="false"/>
          <w:bCs w:val="false"/>
          <w:color w:val="333333"/>
          <w:sz w:val="20"/>
          <w:szCs w:val="20"/>
        </w:rPr>
        <w:t xml:space="preserve">Deleveraged balance sheet: Net debt/EBITDA fell to 0.89x — well below covenant levels — providing significant capacity for a leveraged acquisition or re-capitalisation.</w:t>
      </w:r>
    </w:p>
    <w:p>
      <w:pPr>
        <w:pStyle w:val="ListParagraph"/>
        <w:numPr>
          <w:ilvl w:val="0"/>
          <w:numId w:val="2"/>
        </w:numPr>
        <w:spacing w:after="40" w:before="40"/>
      </w:pPr>
      <w:r>
        <w:rPr>
          <w:rFonts w:ascii="Arial" w:cs="Arial" w:eastAsia="Arial" w:hAnsi="Arial"/>
          <w:b w:val="false"/>
          <w:bCs w:val="false"/>
          <w:color w:val="333333"/>
          <w:sz w:val="20"/>
          <w:szCs w:val="20"/>
        </w:rPr>
        <w:t xml:space="preserve">Platform for pan-African growth: Proven SADC expansion (+10% revenue YoY) and early traction in Egypt, Kuwait, and Ethiopia provide a credible growth runway beyond a mature SA base.</w:t>
      </w:r>
    </w:p>
    <w:p>
      <w:pPr>
        <w:spacing w:after="40" w:before="40"/>
      </w:pPr>
      <w:r>
        <w:rPr>
          <w:rFonts w:ascii="Arial" w:cs="Arial" w:eastAsia="Arial" w:hAnsi="Arial"/>
          <w:sz w:val="16"/>
          <w:szCs w:val="16"/>
        </w:rPr>
        <w:t xml:space="preserve"/>
      </w:r>
    </w:p>
    <w:p>
      <w:pPr>
        <w:pStyle w:val="Heading2"/>
        <w:pBdr>
          <w:bottom w:val="single" w:color="2E5B9A" w:sz="4" w:space="1"/>
        </w:pBdr>
        <w:spacing w:after="120" w:before="240"/>
      </w:pPr>
      <w:r>
        <w:rPr>
          <w:rFonts w:ascii="Arial" w:cs="Arial" w:eastAsia="Arial" w:hAnsi="Arial"/>
          <w:b/>
          <w:bCs/>
          <w:color w:val="1F3864"/>
          <w:sz w:val="26"/>
          <w:szCs w:val="26"/>
        </w:rPr>
        <w:t xml:space="preserve">Recommended Action</w:t>
      </w:r>
    </w:p>
    <w:p>
      <w:pPr>
        <w:spacing w:after="60" w:before="60"/>
      </w:pPr>
      <w:r>
        <w:rPr>
          <w:rFonts w:ascii="Arial" w:cs="Arial" w:eastAsia="Arial" w:hAnsi="Arial"/>
          <w:b/>
          <w:bCs/>
          <w:color w:val="333333"/>
          <w:sz w:val="20"/>
          <w:szCs w:val="20"/>
        </w:rPr>
        <w:t xml:space="preserve">PROCEED — Subject to confirmatory due diligence on deal price, capital structure, and regulatory approvals. The Committee is asked to approve the pursuit of a controlling interest or take-private transaction. Key conditions are noted in Section IX.</w:t>
      </w:r>
    </w:p>
    <w:p>
      <w:pPr>
        <w:spacing w:after="40" w:before="40"/>
      </w:pPr>
      <w:r>
        <w:rPr>
          <w:rFonts w:ascii="Arial" w:cs="Arial" w:eastAsia="Arial" w:hAnsi="Arial"/>
          <w:sz w:val="16"/>
          <w:szCs w:val="16"/>
        </w:rPr>
        <w:t xml:space="preserve"/>
      </w:r>
    </w:p>
    <w:p>
      <w:pPr>
        <w:pStyle w:val="Heading2"/>
        <w:pBdr>
          <w:bottom w:val="single" w:color="2E5B9A" w:sz="4" w:space="1"/>
        </w:pBdr>
        <w:spacing w:after="120" w:before="240"/>
      </w:pPr>
      <w:r>
        <w:rPr>
          <w:rFonts w:ascii="Arial" w:cs="Arial" w:eastAsia="Arial" w:hAnsi="Arial"/>
          <w:b/>
          <w:bCs/>
          <w:color w:val="1F3864"/>
          <w:sz w:val="26"/>
          <w:szCs w:val="26"/>
        </w:rPr>
        <w:t xml:space="preserve">Top 3 Risks and Mitigants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Risk</w:t>
            </w:r>
          </w:p>
        </w:tc>
        <w:tc>
          <w:tcPr>
            <w:tcW w:type="dxa" w:w="120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Severity</w:t>
            </w:r>
          </w:p>
        </w:tc>
        <w:tc>
          <w:tcPr>
            <w:tcW w:type="dxa" w:w="466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Mitigant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Constrained South African consumer spending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High</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Diversified format mix (QSR + CDR); value-price promotions (e.g., sub-R30 meals); continued store network expansion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AME operating losses (margin: -60.5%)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Medium</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AME revenues &lt;1% of Group; Nigeria impaired; selective market exits underway; Egypt and Kuwait showing early promise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Interest rate / Rand volatility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Medium</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Net debt/EBITDA only 0.89x; UK revenue 2% of Group; majority of revenue and costs ZAR-denominated</w:t>
            </w:r>
          </w:p>
        </w:tc>
      </w:tr>
    </w:tbl>
    <w:p>
      <w:pPr>
        <w:pStyle w:val="Heading1"/>
        <w:pageBreakBefore/>
        <w:shd w:fill="1F3864" w:val="clear"/>
        <w:spacing w:after="240" w:before="0"/>
        <w:ind w:left="120"/>
      </w:pPr>
      <w:r>
        <w:rPr>
          <w:rFonts w:ascii="Arial" w:cs="Arial" w:eastAsia="Arial" w:hAnsi="Arial"/>
          <w:b/>
          <w:bCs/>
          <w:color w:val="FFFFFF"/>
          <w:sz w:val="32"/>
          <w:szCs w:val="32"/>
        </w:rPr>
        <w:t xml:space="preserve">II.  Company Overview</w:t>
      </w:r>
    </w:p>
    <w:p>
      <w:pPr>
        <w:pStyle w:val="Heading2"/>
        <w:pBdr>
          <w:bottom w:val="single" w:color="2E5B9A" w:sz="4" w:space="1"/>
        </w:pBdr>
        <w:spacing w:after="120" w:before="240"/>
      </w:pPr>
      <w:r>
        <w:rPr>
          <w:rFonts w:ascii="Arial" w:cs="Arial" w:eastAsia="Arial" w:hAnsi="Arial"/>
          <w:b/>
          <w:bCs/>
          <w:color w:val="1F3864"/>
          <w:sz w:val="26"/>
          <w:szCs w:val="26"/>
        </w:rPr>
        <w:t xml:space="preserve">Business Description</w:t>
      </w:r>
    </w:p>
    <w:p>
      <w:pPr>
        <w:spacing w:after="60" w:before="60"/>
      </w:pPr>
      <w:r>
        <w:rPr>
          <w:rFonts w:ascii="Arial" w:cs="Arial" w:eastAsia="Arial" w:hAnsi="Arial"/>
          <w:color w:val="333333"/>
          <w:sz w:val="20"/>
          <w:szCs w:val="20"/>
        </w:rPr>
        <w:t xml:space="preserve">Famous Brands originated as a family business in the early 1960s when George Halamandres opened the first Steers restaurant. The Group listed on the JSE in November 1994 at R1.65 per share with a market capitalisation of R41 million. Over three decades it has transformed into Africa's leading food services franchisor through organic growth and acquisitions, celebrating its 30th anniversary as a listed company in November 2024.</w:t>
      </w:r>
    </w:p>
    <w:p>
      <w:pPr>
        <w:spacing w:after="60" w:before="60"/>
      </w:pPr>
      <w:r>
        <w:rPr>
          <w:rFonts w:ascii="Arial" w:cs="Arial" w:eastAsia="Arial" w:hAnsi="Arial"/>
          <w:color w:val="333333"/>
          <w:sz w:val="20"/>
          <w:szCs w:val="20"/>
        </w:rPr>
        <w:t xml:space="preserve">The business operates through a vertically integrated model:</w:t>
      </w:r>
    </w:p>
    <w:p>
      <w:pPr>
        <w:pStyle w:val="ListParagraph"/>
        <w:numPr>
          <w:ilvl w:val="0"/>
          <w:numId w:val="2"/>
        </w:numPr>
        <w:spacing w:after="40" w:before="40"/>
      </w:pPr>
      <w:r>
        <w:rPr>
          <w:rFonts w:ascii="Arial" w:cs="Arial" w:eastAsia="Arial" w:hAnsi="Arial"/>
          <w:b w:val="false"/>
          <w:bCs w:val="false"/>
          <w:color w:val="333333"/>
          <w:sz w:val="20"/>
          <w:szCs w:val="20"/>
        </w:rPr>
        <w:t xml:space="preserve">Brands: 16 restaurant brands (franchised, master-licenced, and company-owned) across QSR (Quick Service), CDR (Casual Dining), Signature (full service), Captive Markets, and Luxury segments.</w:t>
      </w:r>
    </w:p>
    <w:p>
      <w:pPr>
        <w:pStyle w:val="ListParagraph"/>
        <w:numPr>
          <w:ilvl w:val="0"/>
          <w:numId w:val="2"/>
        </w:numPr>
        <w:spacing w:after="40" w:before="40"/>
      </w:pPr>
      <w:r>
        <w:rPr>
          <w:rFonts w:ascii="Arial" w:cs="Arial" w:eastAsia="Arial" w:hAnsi="Arial"/>
          <w:b w:val="false"/>
          <w:bCs w:val="false"/>
          <w:color w:val="333333"/>
          <w:sz w:val="20"/>
          <w:szCs w:val="20"/>
        </w:rPr>
        <w:t xml:space="preserve">Manufacturing: 10 wholly or partly-owned plants producing meat, sauces, spices, coffee, ice cream, cheese, and potato products.</w:t>
      </w:r>
    </w:p>
    <w:p>
      <w:pPr>
        <w:pStyle w:val="ListParagraph"/>
        <w:numPr>
          <w:ilvl w:val="0"/>
          <w:numId w:val="2"/>
        </w:numPr>
        <w:spacing w:after="40" w:before="40"/>
      </w:pPr>
      <w:r>
        <w:rPr>
          <w:rFonts w:ascii="Arial" w:cs="Arial" w:eastAsia="Arial" w:hAnsi="Arial"/>
          <w:b w:val="false"/>
          <w:bCs w:val="false"/>
          <w:color w:val="333333"/>
          <w:sz w:val="20"/>
          <w:szCs w:val="20"/>
        </w:rPr>
        <w:t xml:space="preserve">Logistics: Six distribution centres (three cross-dock facilities), 96-truck fleet, and 33 owner-driver businesses, with export capabilities to SADC and AME.</w:t>
      </w:r>
    </w:p>
    <w:p>
      <w:pPr>
        <w:pStyle w:val="ListParagraph"/>
        <w:numPr>
          <w:ilvl w:val="0"/>
          <w:numId w:val="2"/>
        </w:numPr>
        <w:spacing w:after="40" w:before="40"/>
      </w:pPr>
      <w:r>
        <w:rPr>
          <w:rFonts w:ascii="Arial" w:cs="Arial" w:eastAsia="Arial" w:hAnsi="Arial"/>
          <w:b w:val="false"/>
          <w:bCs w:val="false"/>
          <w:color w:val="333333"/>
          <w:sz w:val="20"/>
          <w:szCs w:val="20"/>
        </w:rPr>
        <w:t xml:space="preserve">Retail: 110 products distributed through 2,893 retail outlets including branded condiments, frozen products, and coffee.</w:t>
      </w:r>
    </w:p>
    <w:p>
      <w:pPr>
        <w:spacing w:after="40" w:before="40"/>
      </w:pPr>
      <w:r>
        <w:rPr>
          <w:rFonts w:ascii="Arial" w:cs="Arial" w:eastAsia="Arial" w:hAnsi="Arial"/>
          <w:sz w:val="16"/>
          <w:szCs w:val="16"/>
        </w:rPr>
        <w:t xml:space="preserve"/>
      </w:r>
    </w:p>
    <w:p>
      <w:pPr>
        <w:pStyle w:val="Heading2"/>
        <w:pBdr>
          <w:bottom w:val="single" w:color="2E5B9A" w:sz="4" w:space="1"/>
        </w:pBdr>
        <w:spacing w:after="120" w:before="240"/>
      </w:pPr>
      <w:r>
        <w:rPr>
          <w:rFonts w:ascii="Arial" w:cs="Arial" w:eastAsia="Arial" w:hAnsi="Arial"/>
          <w:b/>
          <w:bCs/>
          <w:color w:val="1F3864"/>
          <w:sz w:val="26"/>
          <w:szCs w:val="26"/>
        </w:rPr>
        <w:t xml:space="preserve">Restaurant Portfolio — Leading Brands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100"/>
        <w:gridCol w:w="2000"/>
        <w:gridCol w:w="2260"/>
      </w:tblGrid>
      <w:tr>
        <w:tc>
          <w:tcPr>
            <w:tcW w:type="dxa" w:w="260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Brand</w:t>
            </w:r>
          </w:p>
        </w:tc>
        <w:tc>
          <w:tcPr>
            <w:tcW w:type="dxa" w:w="140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Segment</w:t>
            </w:r>
          </w:p>
        </w:tc>
        <w:tc>
          <w:tcPr>
            <w:tcW w:type="dxa" w:w="110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Markets</w:t>
            </w:r>
          </w:p>
        </w:tc>
        <w:tc>
          <w:tcPr>
            <w:tcW w:type="dxa" w:w="200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Restaurants (FY25)</w:t>
            </w:r>
          </w:p>
        </w:tc>
        <w:tc>
          <w:tcPr>
            <w:tcW w:type="dxa" w:w="226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Net Growth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Debonairs Pizza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QSR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868</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+27</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Steers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QSR</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735</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+21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Wimpy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CDR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539</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C00000"/>
                <w:sz w:val="18"/>
                <w:szCs w:val="18"/>
              </w:rPr>
              <w:t xml:space="preserve">(5)</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Mugg &amp; Bean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CDR</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322</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+36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Fishaways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QSR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242</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C00000"/>
                <w:sz w:val="18"/>
                <w:szCs w:val="18"/>
              </w:rPr>
              <w:t xml:space="preserve">(6)</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Milky Lane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CDR</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132</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+21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Signature Brands (6 brands)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Full Service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SA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122</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C00000"/>
                <w:sz w:val="18"/>
                <w:szCs w:val="18"/>
              </w:rPr>
              <w:t xml:space="preserve">(10)</w:t>
            </w:r>
          </w:p>
        </w:tc>
      </w:tr>
    </w:tbl>
    <w:p>
      <w:pPr>
        <w:spacing w:after="40" w:before="40"/>
      </w:pPr>
      <w:r>
        <w:rPr>
          <w:rFonts w:ascii="Arial" w:cs="Arial" w:eastAsia="Arial" w:hAnsi="Arial"/>
          <w:sz w:val="16"/>
          <w:szCs w:val="16"/>
        </w:rPr>
        <w:t xml:space="preserve"/>
      </w:r>
    </w:p>
    <w:p>
      <w:pPr>
        <w:pStyle w:val="Heading2"/>
        <w:pBdr>
          <w:bottom w:val="single" w:color="2E5B9A" w:sz="4" w:space="1"/>
        </w:pBdr>
        <w:spacing w:after="120" w:before="240"/>
      </w:pPr>
      <w:r>
        <w:rPr>
          <w:rFonts w:ascii="Arial" w:cs="Arial" w:eastAsia="Arial" w:hAnsi="Arial"/>
          <w:b/>
          <w:bCs/>
          <w:color w:val="1F3864"/>
          <w:sz w:val="26"/>
          <w:szCs w:val="26"/>
        </w:rPr>
        <w:t xml:space="preserve">Management Team</w:t>
      </w:r>
    </w:p>
    <w:p>
      <w:pPr>
        <w:spacing w:after="60" w:before="60"/>
      </w:pPr>
      <w:r>
        <w:rPr>
          <w:rFonts w:ascii="Arial" w:cs="Arial" w:eastAsia="Arial" w:hAnsi="Arial"/>
          <w:color w:val="333333"/>
          <w:sz w:val="20"/>
          <w:szCs w:val="20"/>
        </w:rPr>
        <w:t xml:space="preserve">The management team is experienced and has delivered consistent results through a difficult economic cycle:</w:t>
      </w:r>
    </w:p>
    <w:p>
      <w:pPr>
        <w:pStyle w:val="ListParagraph"/>
        <w:numPr>
          <w:ilvl w:val="0"/>
          <w:numId w:val="2"/>
        </w:numPr>
        <w:spacing w:after="40" w:before="40"/>
      </w:pPr>
      <w:r>
        <w:rPr>
          <w:rFonts w:ascii="Arial" w:cs="Arial" w:eastAsia="Arial" w:hAnsi="Arial"/>
          <w:b w:val="false"/>
          <w:bCs w:val="false"/>
          <w:color w:val="333333"/>
          <w:sz w:val="20"/>
          <w:szCs w:val="20"/>
        </w:rPr>
        <w:t xml:space="preserve">CEO: Darren Hele — leads strategy and operational execution across all divisions.</w:t>
      </w:r>
    </w:p>
    <w:p>
      <w:pPr>
        <w:pStyle w:val="ListParagraph"/>
        <w:numPr>
          <w:ilvl w:val="0"/>
          <w:numId w:val="2"/>
        </w:numPr>
        <w:spacing w:after="40" w:before="40"/>
      </w:pPr>
      <w:r>
        <w:rPr>
          <w:rFonts w:ascii="Arial" w:cs="Arial" w:eastAsia="Arial" w:hAnsi="Arial"/>
          <w:b w:val="false"/>
          <w:bCs w:val="false"/>
          <w:color w:val="333333"/>
          <w:sz w:val="20"/>
          <w:szCs w:val="20"/>
        </w:rPr>
        <w:t xml:space="preserve">Group Financial Director: Nelisiwe Shiluvana — oversees capital management and financial discipline; has reduced legacy debt by R1.8bn since 2018.</w:t>
      </w:r>
    </w:p>
    <w:p>
      <w:pPr>
        <w:pStyle w:val="ListParagraph"/>
        <w:numPr>
          <w:ilvl w:val="0"/>
          <w:numId w:val="2"/>
        </w:numPr>
        <w:spacing w:after="40" w:before="40"/>
      </w:pPr>
      <w:r>
        <w:rPr>
          <w:rFonts w:ascii="Arial" w:cs="Arial" w:eastAsia="Arial" w:hAnsi="Arial"/>
          <w:b w:val="false"/>
          <w:bCs w:val="false"/>
          <w:color w:val="333333"/>
          <w:sz w:val="20"/>
          <w:szCs w:val="20"/>
        </w:rPr>
        <w:t xml:space="preserve">Chairman: Chris Boulle — replaced Santie Botha; oversees Board governance with an independent non-executive majority.</w:t>
      </w:r>
    </w:p>
    <w:p>
      <w:pPr>
        <w:spacing w:after="60" w:before="60"/>
      </w:pPr>
      <w:r>
        <w:rPr>
          <w:rFonts w:ascii="Arial" w:cs="Arial" w:eastAsia="Arial" w:hAnsi="Arial"/>
          <w:color w:val="333333"/>
          <w:sz w:val="20"/>
          <w:szCs w:val="20"/>
        </w:rPr>
        <w:t xml:space="preserve">The Board authorised the FY2025 Integrated Annual Report on 20 June 2025. Financial statements are independently audited by KPMG Inc.</w:t>
      </w:r>
    </w:p>
    <w:p>
      <w:pPr>
        <w:spacing w:after="40" w:before="40"/>
      </w:pPr>
      <w:r>
        <w:rPr>
          <w:rFonts w:ascii="Arial" w:cs="Arial" w:eastAsia="Arial" w:hAnsi="Arial"/>
          <w:sz w:val="16"/>
          <w:szCs w:val="16"/>
        </w:rPr>
        <w:t xml:space="preserve"/>
      </w:r>
    </w:p>
    <w:p>
      <w:pPr>
        <w:pStyle w:val="Heading2"/>
        <w:pBdr>
          <w:bottom w:val="single" w:color="2E5B9A" w:sz="4" w:space="1"/>
        </w:pBdr>
        <w:spacing w:after="120" w:before="240"/>
      </w:pPr>
      <w:r>
        <w:rPr>
          <w:rFonts w:ascii="Arial" w:cs="Arial" w:eastAsia="Arial" w:hAnsi="Arial"/>
          <w:b/>
          <w:bCs/>
          <w:color w:val="1F3864"/>
          <w:sz w:val="26"/>
          <w:szCs w:val="26"/>
        </w:rPr>
        <w:t xml:space="preserve">Geographic Footprint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760"/>
        <w:gridCol w:w="1600"/>
        <w:gridCol w:w="2200"/>
      </w:tblGrid>
      <w:tr>
        <w:tc>
          <w:tcPr>
            <w:tcW w:type="dxa" w:w="220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Region</w:t>
            </w:r>
          </w:p>
        </w:tc>
        <w:tc>
          <w:tcPr>
            <w:tcW w:type="dxa" w:w="160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Restaurants</w:t>
            </w:r>
          </w:p>
        </w:tc>
        <w:tc>
          <w:tcPr>
            <w:tcW w:type="dxa" w:w="176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Revenue (Rm)</w:t>
            </w:r>
          </w:p>
        </w:tc>
        <w:tc>
          <w:tcPr>
            <w:tcW w:type="dxa" w:w="160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Op. Margin</w:t>
            </w:r>
          </w:p>
        </w:tc>
        <w:tc>
          <w:tcPr>
            <w:tcW w:type="dxa" w:w="220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YoY Rev.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South Africa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2,626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7,630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SADC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224</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451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11.2%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UK (Wimpy)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61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132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5.4%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C00000"/>
                <w:sz w:val="18"/>
                <w:szCs w:val="18"/>
              </w:rPr>
              <w:t xml:space="preserve">(18)%</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AME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68</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71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C00000"/>
                <w:sz w:val="18"/>
                <w:szCs w:val="18"/>
              </w:rPr>
              <w:t xml:space="preserve">(60.5)%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+28%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Total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2,979</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8,283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+3.2%</w:t>
            </w:r>
          </w:p>
        </w:tc>
      </w:tr>
    </w:tbl>
    <w:p>
      <w:pPr>
        <w:spacing w:after="60" w:before="60"/>
      </w:pPr>
      <w:r>
        <w:rPr>
          <w:rFonts w:ascii="Arial" w:cs="Arial" w:eastAsia="Arial" w:hAnsi="Arial"/>
          <w:color w:val="333333"/>
          <w:sz w:val="20"/>
          <w:szCs w:val="20"/>
        </w:rPr>
        <w:t xml:space="preserve">SA contributes 92% of Group revenue; SADC is growing at 10% and represents the primary near-term expansion avenue. UK has deteriorated materially (margin halved to 5.4%); AME remains loss-making but sub-1% of revenue.</w:t>
      </w:r>
    </w:p>
    <w:p>
      <w:pPr>
        <w:spacing w:after="40" w:before="40"/>
      </w:pPr>
      <w:r>
        <w:rPr>
          <w:rFonts w:ascii="Arial" w:cs="Arial" w:eastAsia="Arial" w:hAnsi="Arial"/>
          <w:sz w:val="16"/>
          <w:szCs w:val="16"/>
        </w:rPr>
        <w:t xml:space="preserve"/>
      </w:r>
    </w:p>
    <w:p>
      <w:pPr>
        <w:pStyle w:val="Heading2"/>
        <w:pBdr>
          <w:bottom w:val="single" w:color="2E5B9A" w:sz="4" w:space="1"/>
        </w:pBdr>
        <w:spacing w:after="120" w:before="240"/>
      </w:pPr>
      <w:r>
        <w:rPr>
          <w:rFonts w:ascii="Arial" w:cs="Arial" w:eastAsia="Arial" w:hAnsi="Arial"/>
          <w:b/>
          <w:bCs/>
          <w:color w:val="1F3864"/>
          <w:sz w:val="26"/>
          <w:szCs w:val="26"/>
        </w:rPr>
        <w:t xml:space="preserve">Associate Holdings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c>
          <w:tcPr>
            <w:tcW w:type="dxa" w:w="240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Associate</w:t>
            </w:r>
          </w:p>
        </w:tc>
        <w:tc>
          <w:tcPr>
            <w:tcW w:type="dxa" w:w="90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Stake</w:t>
            </w:r>
          </w:p>
        </w:tc>
        <w:tc>
          <w:tcPr>
            <w:tcW w:type="dxa" w:w="606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UAC Restaurants (Nigeria)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49%</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Operates Mr Bigg's &amp; Debonairs Pizza; UACR impaired given Naira depreciation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Sauce Advertising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37%</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Manages digital capabilities and below-the-line marketing for the Group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FoodConnect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49%</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Food &amp; beverage sales/distribution; holds Baltimore ice cream brand rights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DHQ</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48.5%</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Restaurant planning and design services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Munch Software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45.5%</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Cloud-based POS and order management system — strategic technology asset</w:t>
            </w:r>
          </w:p>
        </w:tc>
      </w:tr>
    </w:tbl>
    <w:p>
      <w:pPr>
        <w:pStyle w:val="Heading1"/>
        <w:pageBreakBefore/>
        <w:shd w:fill="1F3864" w:val="clear"/>
        <w:spacing w:after="240" w:before="0"/>
        <w:ind w:left="120"/>
      </w:pPr>
      <w:r>
        <w:rPr>
          <w:rFonts w:ascii="Arial" w:cs="Arial" w:eastAsia="Arial" w:hAnsi="Arial"/>
          <w:b/>
          <w:bCs/>
          <w:color w:val="FFFFFF"/>
          <w:sz w:val="32"/>
          <w:szCs w:val="32"/>
        </w:rPr>
        <w:t xml:space="preserve">III.  Industry &amp; Market</w:t>
      </w:r>
    </w:p>
    <w:p>
      <w:pPr>
        <w:pStyle w:val="Heading2"/>
        <w:pBdr>
          <w:bottom w:val="single" w:color="2E5B9A" w:sz="4" w:space="1"/>
        </w:pBdr>
        <w:spacing w:after="120" w:before="240"/>
      </w:pPr>
      <w:r>
        <w:rPr>
          <w:rFonts w:ascii="Arial" w:cs="Arial" w:eastAsia="Arial" w:hAnsi="Arial"/>
          <w:b/>
          <w:bCs/>
          <w:color w:val="1F3864"/>
          <w:sz w:val="26"/>
          <w:szCs w:val="26"/>
        </w:rPr>
        <w:t xml:space="preserve">South African QSR and Casual Dining</w:t>
      </w:r>
    </w:p>
    <w:p>
      <w:pPr>
        <w:spacing w:after="60" w:before="60"/>
      </w:pPr>
      <w:r>
        <w:rPr>
          <w:rFonts w:ascii="Arial" w:cs="Arial" w:eastAsia="Arial" w:hAnsi="Arial"/>
          <w:color w:val="333333"/>
          <w:sz w:val="20"/>
          <w:szCs w:val="20"/>
        </w:rPr>
        <w:t xml:space="preserve">Chicken is the largest fast-food category in South Africa; South Africans consume approximately 28 million chickens per week, underpinning robust structural demand for QSR. Despite a challenging FY2025 consumer environment — GDP grew only 0.6% in 2024, unemployment remained at 31.9%, and household debt was approximately 62.2% of disposable income — Famous Brands delivered positive like-for-like sales growth of 1.3% in SA. The cessation of load shedding for most of the financial year was a meaningful tailwind.</w:t>
      </w:r>
    </w:p>
    <w:p>
      <w:pPr>
        <w:spacing w:after="40" w:before="40"/>
      </w:pPr>
      <w:r>
        <w:rPr>
          <w:rFonts w:ascii="Arial" w:cs="Arial" w:eastAsia="Arial" w:hAnsi="Arial"/>
          <w:sz w:val="16"/>
          <w:szCs w:val="16"/>
        </w:rPr>
        <w:t xml:space="preserve"/>
      </w:r>
    </w:p>
    <w:p>
      <w:pPr>
        <w:pStyle w:val="Heading2"/>
        <w:pBdr>
          <w:bottom w:val="single" w:color="2E5B9A" w:sz="4" w:space="1"/>
        </w:pBdr>
        <w:spacing w:after="120" w:before="240"/>
      </w:pPr>
      <w:r>
        <w:rPr>
          <w:rFonts w:ascii="Arial" w:cs="Arial" w:eastAsia="Arial" w:hAnsi="Arial"/>
          <w:b/>
          <w:bCs/>
          <w:color w:val="1F3864"/>
          <w:sz w:val="26"/>
          <w:szCs w:val="26"/>
        </w:rPr>
        <w:t xml:space="preserve">Key Market Trends</w:t>
      </w:r>
    </w:p>
    <w:p>
      <w:pPr>
        <w:spacing w:after="80" w:before="180"/>
      </w:pPr>
      <w:r>
        <w:rPr>
          <w:rFonts w:ascii="Arial" w:cs="Arial" w:eastAsia="Arial" w:hAnsi="Arial"/>
          <w:b/>
          <w:bCs/>
          <w:color w:val="2E5B9A"/>
          <w:sz w:val="22"/>
          <w:szCs w:val="22"/>
        </w:rPr>
        <w:t xml:space="preserve">Evolving Consumer Demands</w:t>
      </w:r>
    </w:p>
    <w:p>
      <w:pPr>
        <w:spacing w:after="60" w:before="60"/>
      </w:pPr>
      <w:r>
        <w:rPr>
          <w:rFonts w:ascii="Arial" w:cs="Arial" w:eastAsia="Arial" w:hAnsi="Arial"/>
          <w:color w:val="333333"/>
          <w:sz w:val="20"/>
          <w:szCs w:val="20"/>
        </w:rPr>
        <w:t xml:space="preserve">Consumers increasingly demand convenience (delivery, drive-thru, self-service terminals) and value. Online food delivery in SA is growing rapidly, supported by 96.1% mobile phone penetration and 78.6% internet access. Office return mandates are driving demand for breakfast and lunch occasions, benefiting Wimpy and Mugg &amp; Bean.</w:t>
      </w:r>
    </w:p>
    <w:p>
      <w:pPr>
        <w:spacing w:after="80" w:before="180"/>
      </w:pPr>
      <w:r>
        <w:rPr>
          <w:rFonts w:ascii="Arial" w:cs="Arial" w:eastAsia="Arial" w:hAnsi="Arial"/>
          <w:b/>
          <w:bCs/>
          <w:color w:val="2E5B9A"/>
          <w:sz w:val="22"/>
          <w:szCs w:val="22"/>
        </w:rPr>
        <w:t xml:space="preserve">Technology Pervasiveness</w:t>
      </w:r>
    </w:p>
    <w:p>
      <w:pPr>
        <w:spacing w:after="60" w:before="60"/>
      </w:pPr>
      <w:r>
        <w:rPr>
          <w:rFonts w:ascii="Arial" w:cs="Arial" w:eastAsia="Arial" w:hAnsi="Arial"/>
          <w:color w:val="333333"/>
          <w:sz w:val="20"/>
          <w:szCs w:val="20"/>
        </w:rPr>
        <w:t xml:space="preserve">SA online retail grew 29% in 2023 (6.2% of total retail). Famous Brands' investment in Munch Software POS (318 restaurants live), delivery hubs (51 hubs serving 305 SA restaurants, 82% on-time delivery), digital menu boards (89% of QSR network), and loyalty programmes (68%+ redemption rates) positions it well relative to independents.</w:t>
      </w:r>
    </w:p>
    <w:p>
      <w:pPr>
        <w:spacing w:after="80" w:before="180"/>
      </w:pPr>
      <w:r>
        <w:rPr>
          <w:rFonts w:ascii="Arial" w:cs="Arial" w:eastAsia="Arial" w:hAnsi="Arial"/>
          <w:b/>
          <w:bCs/>
          <w:color w:val="2E5B9A"/>
          <w:sz w:val="22"/>
          <w:szCs w:val="22"/>
        </w:rPr>
        <w:t xml:space="preserve">Pan-African Opportunity</w:t>
      </w:r>
    </w:p>
    <w:p>
      <w:pPr>
        <w:spacing w:after="60" w:before="60"/>
      </w:pPr>
      <w:r>
        <w:rPr>
          <w:rFonts w:ascii="Arial" w:cs="Arial" w:eastAsia="Arial" w:hAnsi="Arial"/>
          <w:color w:val="333333"/>
          <w:sz w:val="20"/>
          <w:szCs w:val="20"/>
        </w:rPr>
        <w:t xml:space="preserve">SADC remains the primary near-term growth corridor, with 224 restaurants across 10 countries and 10% revenue growth in FY2025. Longer-dated opportunity in AME: Ethiopia posts double-digit same-store growth; Egypt (Debonairs) and Kuwait (Mugg &amp; Bean) entered in FY2025. Sub-Saharan Africa's rising middle class and young demographics underpin structural food services demand.</w:t>
      </w:r>
    </w:p>
    <w:p>
      <w:pPr>
        <w:spacing w:after="40" w:before="40"/>
      </w:pPr>
      <w:r>
        <w:rPr>
          <w:rFonts w:ascii="Arial" w:cs="Arial" w:eastAsia="Arial" w:hAnsi="Arial"/>
          <w:sz w:val="16"/>
          <w:szCs w:val="16"/>
        </w:rPr>
        <w:t xml:space="preserve"/>
      </w:r>
    </w:p>
    <w:p>
      <w:pPr>
        <w:pStyle w:val="Heading2"/>
        <w:pBdr>
          <w:bottom w:val="single" w:color="2E5B9A" w:sz="4" w:space="1"/>
        </w:pBdr>
        <w:spacing w:after="120" w:before="240"/>
      </w:pPr>
      <w:r>
        <w:rPr>
          <w:rFonts w:ascii="Arial" w:cs="Arial" w:eastAsia="Arial" w:hAnsi="Arial"/>
          <w:b/>
          <w:bCs/>
          <w:color w:val="1F3864"/>
          <w:sz w:val="26"/>
          <w:szCs w:val="26"/>
        </w:rPr>
        <w:t xml:space="preserve">Competitive Landscape</w:t>
      </w:r>
    </w:p>
    <w:p>
      <w:pPr>
        <w:spacing w:after="60" w:before="60"/>
      </w:pPr>
      <w:r>
        <w:rPr>
          <w:rFonts w:ascii="Arial" w:cs="Arial" w:eastAsia="Arial" w:hAnsi="Arial"/>
          <w:color w:val="333333"/>
          <w:sz w:val="20"/>
          <w:szCs w:val="20"/>
        </w:rPr>
        <w:t xml:space="preserve">Famous Brands competes against global and local QSR chains (KFC/Yum, McDonald's, Nando's), casual dining operators, and independent restaurants. Its competitive advantage rests on brand heritage (Steers since 1961, Wimpy since 1967), a vertically integrated supply chain that lowers franchise partner costs, and the owner-operator model (average franchise tenure of 11 years in SA). Geolocation analysis shows 27% of the SA QSR network faces no significant competitor within 5km.</w:t>
      </w:r>
    </w:p>
    <w:p>
      <w:pPr>
        <w:spacing w:after="40" w:before="40"/>
      </w:pPr>
      <w:r>
        <w:rPr>
          <w:rFonts w:ascii="Arial" w:cs="Arial" w:eastAsia="Arial" w:hAnsi="Arial"/>
          <w:sz w:val="16"/>
          <w:szCs w:val="16"/>
        </w:rPr>
        <w:t xml:space="preserve"/>
      </w:r>
    </w:p>
    <w:p>
      <w:pPr>
        <w:pStyle w:val="Heading2"/>
        <w:pBdr>
          <w:bottom w:val="single" w:color="2E5B9A" w:sz="4" w:space="1"/>
        </w:pBdr>
        <w:spacing w:after="120" w:before="240"/>
      </w:pPr>
      <w:r>
        <w:rPr>
          <w:rFonts w:ascii="Arial" w:cs="Arial" w:eastAsia="Arial" w:hAnsi="Arial"/>
          <w:b/>
          <w:bCs/>
          <w:color w:val="1F3864"/>
          <w:sz w:val="26"/>
          <w:szCs w:val="26"/>
        </w:rPr>
        <w:t xml:space="preserve">Macroeconomic Outlook</w:t>
      </w:r>
    </w:p>
    <w:p>
      <w:pPr>
        <w:spacing w:after="60" w:before="60"/>
      </w:pPr>
      <w:r>
        <w:rPr>
          <w:rFonts w:ascii="Arial" w:cs="Arial" w:eastAsia="Arial" w:hAnsi="Arial"/>
          <w:color w:val="333333"/>
          <w:sz w:val="20"/>
          <w:szCs w:val="20"/>
        </w:rPr>
        <w:t xml:space="preserve">PwC SA forecasts 0.5%–1.3% GDP growth for 2025 calendar year. Downside risks include US–SA diplomatic tensions, potential loss of AGOA trade benefits, Rand weakness, and rising global geopolitical tensions. Upside drivers: lower inflation, further interest rate cuts, improved electricity reliability, and positive business sentiment following the GNU formation. Eskom tariff increases of 11.32% are expected in July 2025, which will pressure electricity costs further.</w:t>
      </w:r>
    </w:p>
    <w:p>
      <w:pPr>
        <w:pStyle w:val="Heading1"/>
        <w:pageBreakBefore/>
        <w:shd w:fill="1F3864" w:val="clear"/>
        <w:spacing w:after="240" w:before="0"/>
        <w:ind w:left="120"/>
      </w:pPr>
      <w:r>
        <w:rPr>
          <w:rFonts w:ascii="Arial" w:cs="Arial" w:eastAsia="Arial" w:hAnsi="Arial"/>
          <w:b/>
          <w:bCs/>
          <w:color w:val="FFFFFF"/>
          <w:sz w:val="32"/>
          <w:szCs w:val="32"/>
        </w:rPr>
        <w:t xml:space="preserve">IV.  Financial Analysis</w:t>
      </w:r>
    </w:p>
    <w:p>
      <w:pPr>
        <w:pStyle w:val="Heading2"/>
        <w:pBdr>
          <w:bottom w:val="single" w:color="2E5B9A" w:sz="4" w:space="1"/>
        </w:pBdr>
        <w:spacing w:after="120" w:before="240"/>
      </w:pPr>
      <w:r>
        <w:rPr>
          <w:rFonts w:ascii="Arial" w:cs="Arial" w:eastAsia="Arial" w:hAnsi="Arial"/>
          <w:b/>
          <w:bCs/>
          <w:color w:val="1F3864"/>
          <w:sz w:val="26"/>
          <w:szCs w:val="26"/>
        </w:rPr>
        <w:t xml:space="preserve">Income Statement Summary  (R millions)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40"/>
        <w:gridCol w:w="1540"/>
        <w:gridCol w:w="1540"/>
        <w:gridCol w:w="1940"/>
      </w:tblGrid>
      <w:tr>
        <w:tc>
          <w:tcPr>
            <w:tcW w:type="dxa" w:w="280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
            </w:r>
          </w:p>
        </w:tc>
        <w:tc>
          <w:tcPr>
            <w:tcW w:type="dxa" w:w="154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FY2023</w:t>
            </w:r>
          </w:p>
        </w:tc>
        <w:tc>
          <w:tcPr>
            <w:tcW w:type="dxa" w:w="154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FY2024</w:t>
            </w:r>
          </w:p>
        </w:tc>
        <w:tc>
          <w:tcPr>
            <w:tcW w:type="dxa" w:w="154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FY2025</w:t>
            </w:r>
          </w:p>
        </w:tc>
        <w:tc>
          <w:tcPr>
            <w:tcW w:type="dxa" w:w="194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YoY Chg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Revenue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7,444</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8,024</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8,283</w:t>
            </w:r>
          </w:p>
        </w:tc>
        <w:tc>
          <w:tcPr>
            <w:tcW w:type="dxa" w:w="1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+3.2%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Operating Profit</w:t>
            </w:r>
          </w:p>
        </w:tc>
        <w:tc>
          <w:tcPr>
            <w:tcW w:type="dxa" w:w="1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861</w:t>
            </w:r>
          </w:p>
        </w:tc>
        <w:tc>
          <w:tcPr>
            <w:tcW w:type="dxa" w:w="1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812</w:t>
            </w:r>
          </w:p>
        </w:tc>
        <w:tc>
          <w:tcPr>
            <w:tcW w:type="dxa" w:w="1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914</w:t>
            </w:r>
          </w:p>
        </w:tc>
        <w:tc>
          <w:tcPr>
            <w:tcW w:type="dxa" w:w="19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Operating Margin (%)</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11.6%</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10.1%</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11.0%</w:t>
            </w:r>
          </w:p>
        </w:tc>
        <w:tc>
          <w:tcPr>
            <w:tcW w:type="dxa" w:w="1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+90bps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HEPS (cents)</w:t>
            </w:r>
          </w:p>
        </w:tc>
        <w:tc>
          <w:tcPr>
            <w:tcW w:type="dxa" w:w="1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488</w:t>
            </w:r>
          </w:p>
        </w:tc>
        <w:tc>
          <w:tcPr>
            <w:tcW w:type="dxa" w:w="1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465</w:t>
            </w:r>
          </w:p>
        </w:tc>
        <w:tc>
          <w:tcPr>
            <w:tcW w:type="dxa" w:w="1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520</w:t>
            </w:r>
          </w:p>
        </w:tc>
        <w:tc>
          <w:tcPr>
            <w:tcW w:type="dxa" w:w="19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+11.9%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Dividends per Share (cents)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302</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345</w:t>
            </w:r>
          </w:p>
        </w:tc>
        <w:tc>
          <w:tcPr>
            <w:tcW w:type="dxa" w:w="1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+14.2%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Free Cash Flow</w:t>
            </w:r>
          </w:p>
        </w:tc>
        <w:tc>
          <w:tcPr>
            <w:tcW w:type="dxa" w:w="1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w:t>
            </w:r>
          </w:p>
        </w:tc>
        <w:tc>
          <w:tcPr>
            <w:tcW w:type="dxa" w:w="1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674</w:t>
            </w:r>
          </w:p>
        </w:tc>
        <w:tc>
          <w:tcPr>
            <w:tcW w:type="dxa" w:w="1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753</w:t>
            </w:r>
          </w:p>
        </w:tc>
        <w:tc>
          <w:tcPr>
            <w:tcW w:type="dxa" w:w="19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+11.7%</w:t>
            </w:r>
          </w:p>
        </w:tc>
      </w:tr>
    </w:tbl>
    <w:p>
      <w:pPr>
        <w:spacing w:after="40" w:before="40"/>
      </w:pPr>
      <w:r>
        <w:rPr>
          <w:rFonts w:ascii="Arial" w:cs="Arial" w:eastAsia="Arial" w:hAnsi="Arial"/>
          <w:sz w:val="16"/>
          <w:szCs w:val="16"/>
        </w:rPr>
        <w:t xml:space="preserve"/>
      </w:r>
    </w:p>
    <w:p>
      <w:pPr>
        <w:spacing w:after="80" w:before="180"/>
      </w:pPr>
      <w:r>
        <w:rPr>
          <w:rFonts w:ascii="Arial" w:cs="Arial" w:eastAsia="Arial" w:hAnsi="Arial"/>
          <w:b/>
          <w:bCs/>
          <w:color w:val="2E5B9A"/>
          <w:sz w:val="22"/>
          <w:szCs w:val="22"/>
        </w:rPr>
        <w:t xml:space="preserve">Note on EBITDA</w:t>
      </w:r>
    </w:p>
    <w:p>
      <w:pPr>
        <w:spacing w:after="60" w:before="60"/>
      </w:pPr>
      <w:r>
        <w:rPr>
          <w:rFonts w:ascii="Arial" w:cs="Arial" w:eastAsia="Arial" w:hAnsi="Arial"/>
          <w:color w:val="333333"/>
          <w:sz w:val="20"/>
          <w:szCs w:val="20"/>
        </w:rPr>
        <w:t xml:space="preserve">EBITDA is not explicitly stated in the source report. Using the disclosed Net Debt/EBITDA of 0.89x and net debt of R997m, implied FY2025 EBITDA is approximately R1,120m (EBITDA margin ~13.5%). This should be verified against audited accounts.</w:t>
      </w:r>
    </w:p>
    <w:p>
      <w:pPr>
        <w:spacing w:after="40" w:before="40"/>
      </w:pPr>
      <w:r>
        <w:rPr>
          <w:rFonts w:ascii="Arial" w:cs="Arial" w:eastAsia="Arial" w:hAnsi="Arial"/>
          <w:sz w:val="16"/>
          <w:szCs w:val="16"/>
        </w:rPr>
        <w:t xml:space="preserve"/>
      </w:r>
    </w:p>
    <w:p>
      <w:pPr>
        <w:pStyle w:val="Heading2"/>
        <w:pBdr>
          <w:bottom w:val="single" w:color="2E5B9A" w:sz="4" w:space="1"/>
        </w:pBdr>
        <w:spacing w:after="120" w:before="240"/>
      </w:pPr>
      <w:r>
        <w:rPr>
          <w:rFonts w:ascii="Arial" w:cs="Arial" w:eastAsia="Arial" w:hAnsi="Arial"/>
          <w:b/>
          <w:bCs/>
          <w:color w:val="1F3864"/>
          <w:sz w:val="26"/>
          <w:szCs w:val="26"/>
        </w:rPr>
        <w:t xml:space="preserve">Revenue Decomposition  (R millions)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20"/>
        <w:gridCol w:w="1820"/>
        <w:gridCol w:w="2220"/>
      </w:tblGrid>
      <w:tr>
        <w:tc>
          <w:tcPr>
            <w:tcW w:type="dxa" w:w="350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Revenue Stream</w:t>
            </w:r>
          </w:p>
        </w:tc>
        <w:tc>
          <w:tcPr>
            <w:tcW w:type="dxa" w:w="182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FY2025</w:t>
            </w:r>
          </w:p>
        </w:tc>
        <w:tc>
          <w:tcPr>
            <w:tcW w:type="dxa" w:w="182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FY2024</w:t>
            </w:r>
          </w:p>
        </w:tc>
        <w:tc>
          <w:tcPr>
            <w:tcW w:type="dxa" w:w="222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Change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Logistics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5,358</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5,021</w:t>
            </w:r>
          </w:p>
        </w:tc>
        <w:tc>
          <w:tcPr>
            <w:tcW w:type="dxa" w:w="2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+7%</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Franchise Fees</w:t>
            </w:r>
          </w:p>
        </w:tc>
        <w:tc>
          <w:tcPr>
            <w:tcW w:type="dxa" w:w="1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1,030</w:t>
            </w:r>
          </w:p>
        </w:tc>
        <w:tc>
          <w:tcPr>
            <w:tcW w:type="dxa" w:w="1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1,152</w:t>
            </w:r>
          </w:p>
        </w:tc>
        <w:tc>
          <w:tcPr>
            <w:tcW w:type="dxa" w:w="2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C00000"/>
                <w:sz w:val="18"/>
                <w:szCs w:val="18"/>
              </w:rPr>
              <w:t xml:space="preserve">(11)%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Company-owned Restaurants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617</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596</w:t>
            </w:r>
          </w:p>
        </w:tc>
        <w:tc>
          <w:tcPr>
            <w:tcW w:type="dxa" w:w="2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+4%</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Retail</w:t>
            </w:r>
          </w:p>
        </w:tc>
        <w:tc>
          <w:tcPr>
            <w:tcW w:type="dxa" w:w="1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344</w:t>
            </w:r>
          </w:p>
        </w:tc>
        <w:tc>
          <w:tcPr>
            <w:tcW w:type="dxa" w:w="1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369</w:t>
            </w:r>
          </w:p>
        </w:tc>
        <w:tc>
          <w:tcPr>
            <w:tcW w:type="dxa" w:w="2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C00000"/>
                <w:sz w:val="18"/>
                <w:szCs w:val="18"/>
              </w:rPr>
              <w:t xml:space="preserve">(7)%</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Marketing Fees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691</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678</w:t>
            </w:r>
          </w:p>
        </w:tc>
        <w:tc>
          <w:tcPr>
            <w:tcW w:type="dxa" w:w="2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+2%</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Manufacturing</w:t>
            </w:r>
          </w:p>
        </w:tc>
        <w:tc>
          <w:tcPr>
            <w:tcW w:type="dxa" w:w="1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198</w:t>
            </w:r>
          </w:p>
        </w:tc>
        <w:tc>
          <w:tcPr>
            <w:tcW w:type="dxa" w:w="1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166</w:t>
            </w:r>
          </w:p>
        </w:tc>
        <w:tc>
          <w:tcPr>
            <w:tcW w:type="dxa" w:w="2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+19%</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Services &amp; Joining Fees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45</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42</w:t>
            </w:r>
          </w:p>
        </w:tc>
        <w:tc>
          <w:tcPr>
            <w:tcW w:type="dxa" w:w="2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+7%</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Total</w:t>
            </w:r>
          </w:p>
        </w:tc>
        <w:tc>
          <w:tcPr>
            <w:tcW w:type="dxa" w:w="1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8,283</w:t>
            </w:r>
          </w:p>
        </w:tc>
        <w:tc>
          <w:tcPr>
            <w:tcW w:type="dxa" w:w="1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8,024</w:t>
            </w:r>
          </w:p>
        </w:tc>
        <w:tc>
          <w:tcPr>
            <w:tcW w:type="dxa" w:w="2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+3.2%</w:t>
            </w:r>
          </w:p>
        </w:tc>
      </w:tr>
    </w:tbl>
    <w:p>
      <w:pPr>
        <w:spacing w:after="60" w:before="60"/>
      </w:pPr>
      <w:r>
        <w:rPr>
          <w:rFonts w:ascii="Arial" w:cs="Arial" w:eastAsia="Arial" w:hAnsi="Arial"/>
          <w:color w:val="333333"/>
          <w:sz w:val="20"/>
          <w:szCs w:val="20"/>
        </w:rPr>
        <w:t xml:space="preserve">The decline in franchise fee revenue (−11%) reflects a conscious strategy to reduce financial relief to franchise partners (from R21.6m to R1m YoY) and is offset by Logistics volume growth. Manufacturing revenue accelerated +19% driven by the full consolidation of Famous Brands Coffee Company.</w:t>
      </w:r>
    </w:p>
    <w:p>
      <w:pPr>
        <w:spacing w:after="40" w:before="40"/>
      </w:pPr>
      <w:r>
        <w:rPr>
          <w:rFonts w:ascii="Arial" w:cs="Arial" w:eastAsia="Arial" w:hAnsi="Arial"/>
          <w:sz w:val="16"/>
          <w:szCs w:val="16"/>
        </w:rPr>
        <w:t xml:space="preserve"/>
      </w:r>
    </w:p>
    <w:p>
      <w:pPr>
        <w:pStyle w:val="Heading2"/>
        <w:pBdr>
          <w:bottom w:val="single" w:color="2E5B9A" w:sz="4" w:space="1"/>
        </w:pBdr>
        <w:spacing w:after="120" w:before="240"/>
      </w:pPr>
      <w:r>
        <w:rPr>
          <w:rFonts w:ascii="Arial" w:cs="Arial" w:eastAsia="Arial" w:hAnsi="Arial"/>
          <w:b/>
          <w:bCs/>
          <w:color w:val="1F3864"/>
          <w:sz w:val="26"/>
          <w:szCs w:val="26"/>
        </w:rPr>
        <w:t xml:space="preserve">Divisional Operating Margins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Division</w:t>
            </w:r>
          </w:p>
        </w:tc>
        <w:tc>
          <w:tcPr>
            <w:tcW w:type="dxa" w:w="160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FY2025 Margin</w:t>
            </w:r>
          </w:p>
        </w:tc>
        <w:tc>
          <w:tcPr>
            <w:tcW w:type="dxa" w:w="160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FY2024 Margin</w:t>
            </w:r>
          </w:p>
        </w:tc>
        <w:tc>
          <w:tcPr>
            <w:tcW w:type="dxa" w:w="396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Commentary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Leading Brands (SA)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53.3%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50.3%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Strong leverage on lower load-shedding relief</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Signature Brands (SA)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C00000"/>
                <w:sz w:val="18"/>
                <w:szCs w:val="18"/>
              </w:rPr>
              <w:t xml:space="preserve">(5.7)%</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C00000"/>
                <w:sz w:val="18"/>
                <w:szCs w:val="18"/>
              </w:rPr>
              <w:t xml:space="preserve">(1.9)%</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Ongoing restructuring; Fego Caffé conversions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Manufacturing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9.0%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+200bps from load shedding cessation, efficiency gains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Logistics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1.9%</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Competitive margin; WMS benefits expected FY2026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Retail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1.7%</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Competitor re-entry impacted frozen chips volumes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SADC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11.2%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13.4%</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Zambia food inflation ~20%; currency pressures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UK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5.4%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11.4%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Significant deterioration; wage inflation headwinds</w:t>
            </w:r>
          </w:p>
        </w:tc>
      </w:tr>
    </w:tbl>
    <w:p>
      <w:pPr>
        <w:spacing w:after="40" w:before="40"/>
      </w:pPr>
      <w:r>
        <w:rPr>
          <w:rFonts w:ascii="Arial" w:cs="Arial" w:eastAsia="Arial" w:hAnsi="Arial"/>
          <w:sz w:val="16"/>
          <w:szCs w:val="16"/>
        </w:rPr>
        <w:t xml:space="preserve"/>
      </w:r>
    </w:p>
    <w:p>
      <w:pPr>
        <w:pStyle w:val="Heading2"/>
        <w:pBdr>
          <w:bottom w:val="single" w:color="2E5B9A" w:sz="4" w:space="1"/>
        </w:pBdr>
        <w:spacing w:after="120" w:before="240"/>
      </w:pPr>
      <w:r>
        <w:rPr>
          <w:rFonts w:ascii="Arial" w:cs="Arial" w:eastAsia="Arial" w:hAnsi="Arial"/>
          <w:b/>
          <w:bCs/>
          <w:color w:val="1F3864"/>
          <w:sz w:val="26"/>
          <w:szCs w:val="26"/>
        </w:rPr>
        <w:t xml:space="preserve">Balance Sheet  (R millions)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
            </w:r>
          </w:p>
        </w:tc>
        <w:tc>
          <w:tcPr>
            <w:tcW w:type="dxa" w:w="258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FY2025</w:t>
            </w:r>
          </w:p>
        </w:tc>
        <w:tc>
          <w:tcPr>
            <w:tcW w:type="dxa" w:w="258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FY2024</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Total Assets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3,640</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3,553</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Non-current Assets</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1,976</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1,956</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Current Assets (incl. Inventories R556m)</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1,664</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1,597</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Total Equity</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1,292</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1,079</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Borrowings (total)</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1,140</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1,202</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Net Debt</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997</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1,170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Net Debt / EBITDA</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0.89x</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1.13x</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Gearing Ratio</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0.77x</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1.08x</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ROCE</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34%</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31%</w:t>
            </w:r>
          </w:p>
        </w:tc>
      </w:tr>
    </w:tbl>
    <w:p>
      <w:pPr>
        <w:spacing w:after="40" w:before="40"/>
      </w:pPr>
      <w:r>
        <w:rPr>
          <w:rFonts w:ascii="Arial" w:cs="Arial" w:eastAsia="Arial" w:hAnsi="Arial"/>
          <w:sz w:val="16"/>
          <w:szCs w:val="16"/>
        </w:rPr>
        <w:t xml:space="preserve"/>
      </w:r>
    </w:p>
    <w:p>
      <w:pPr>
        <w:pStyle w:val="Heading2"/>
        <w:pBdr>
          <w:bottom w:val="single" w:color="2E5B9A" w:sz="4" w:space="1"/>
        </w:pBdr>
        <w:spacing w:after="120" w:before="240"/>
      </w:pPr>
      <w:r>
        <w:rPr>
          <w:rFonts w:ascii="Arial" w:cs="Arial" w:eastAsia="Arial" w:hAnsi="Arial"/>
          <w:b/>
          <w:bCs/>
          <w:color w:val="1F3864"/>
          <w:sz w:val="26"/>
          <w:szCs w:val="26"/>
        </w:rPr>
        <w:t xml:space="preserve">Cash Flow  (R millions)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
            </w:r>
          </w:p>
        </w:tc>
        <w:tc>
          <w:tcPr>
            <w:tcW w:type="dxa" w:w="258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FY2025</w:t>
            </w:r>
          </w:p>
        </w:tc>
        <w:tc>
          <w:tcPr>
            <w:tcW w:type="dxa" w:w="258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FY2024</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Cash Generated by Operations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1,121</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1,086</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Net Cash — Investing Activities</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C00000"/>
                <w:sz w:val="18"/>
                <w:szCs w:val="18"/>
              </w:rPr>
              <w:t xml:space="preserve">(167)</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C00000"/>
                <w:sz w:val="18"/>
                <w:szCs w:val="18"/>
              </w:rPr>
              <w:t xml:space="preserve">(183)</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Capex</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C00000"/>
                <w:sz w:val="18"/>
                <w:szCs w:val="18"/>
              </w:rPr>
              <w:t xml:space="preserve">(214)</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C00000"/>
                <w:sz w:val="18"/>
                <w:szCs w:val="18"/>
              </w:rPr>
              <w:t xml:space="preserve">(184)</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Dividends Paid</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C00000"/>
                <w:sz w:val="18"/>
                <w:szCs w:val="18"/>
              </w:rPr>
              <w:t xml:space="preserve">(345)</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C00000"/>
                <w:sz w:val="18"/>
                <w:szCs w:val="18"/>
              </w:rPr>
              <w:t xml:space="preserve">(302)</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Debt Repayments (incl. voluntary R20m)</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C00000"/>
                <w:sz w:val="18"/>
                <w:szCs w:val="18"/>
              </w:rPr>
              <w:t xml:space="preserve">(160)</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Free Cash Flow</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753</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674</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Cash Realisation Rate</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100%</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105%</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Liquidity Headroom (cash + undrawn facilities)</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674</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572</w:t>
            </w:r>
          </w:p>
        </w:tc>
      </w:tr>
    </w:tbl>
    <w:p>
      <w:pPr>
        <w:spacing w:after="40" w:before="40"/>
      </w:pPr>
      <w:r>
        <w:rPr>
          <w:rFonts w:ascii="Arial" w:cs="Arial" w:eastAsia="Arial" w:hAnsi="Arial"/>
          <w:sz w:val="16"/>
          <w:szCs w:val="16"/>
        </w:rPr>
        <w:t xml:space="preserve"/>
      </w:r>
    </w:p>
    <w:p>
      <w:pPr>
        <w:pStyle w:val="Heading2"/>
        <w:pBdr>
          <w:bottom w:val="single" w:color="2E5B9A" w:sz="4" w:space="1"/>
        </w:pBdr>
        <w:spacing w:after="120" w:before="240"/>
      </w:pPr>
      <w:r>
        <w:rPr>
          <w:rFonts w:ascii="Arial" w:cs="Arial" w:eastAsia="Arial" w:hAnsi="Arial"/>
          <w:b/>
          <w:bCs/>
          <w:color w:val="1F3864"/>
          <w:sz w:val="26"/>
          <w:szCs w:val="26"/>
        </w:rPr>
        <w:t xml:space="preserve">Capex Profile</w:t>
      </w:r>
    </w:p>
    <w:p>
      <w:pPr>
        <w:spacing w:after="60" w:before="60"/>
      </w:pPr>
      <w:r>
        <w:rPr>
          <w:rFonts w:ascii="Arial" w:cs="Arial" w:eastAsia="Arial" w:hAnsi="Arial"/>
          <w:color w:val="333333"/>
          <w:sz w:val="20"/>
          <w:szCs w:val="20"/>
        </w:rPr>
        <w:t xml:space="preserve">FY2025 capex of R214m was allocated: Brands R55m, Manufacturing R70m (including R41m in new technologies), Logistics R41m, Retail R14m. Notably, R69m was invested in the new Midrand cold storage facility (total project budget R183m; R82m spent at year-end). FY2026 capex budget is R373m, with a significant allocation to complete the cold storage facility and modernise manufacturing plants.</w:t>
      </w:r>
    </w:p>
    <w:p>
      <w:pPr>
        <w:spacing w:after="40" w:before="40"/>
      </w:pPr>
      <w:r>
        <w:rPr>
          <w:rFonts w:ascii="Arial" w:cs="Arial" w:eastAsia="Arial" w:hAnsi="Arial"/>
          <w:sz w:val="16"/>
          <w:szCs w:val="16"/>
        </w:rPr>
        <w:t xml:space="preserve"/>
      </w:r>
    </w:p>
    <w:p>
      <w:pPr>
        <w:pStyle w:val="Heading2"/>
        <w:pBdr>
          <w:bottom w:val="single" w:color="2E5B9A" w:sz="4" w:space="1"/>
        </w:pBdr>
        <w:spacing w:after="120" w:before="240"/>
      </w:pPr>
      <w:r>
        <w:rPr>
          <w:rFonts w:ascii="Arial" w:cs="Arial" w:eastAsia="Arial" w:hAnsi="Arial"/>
          <w:b/>
          <w:bCs/>
          <w:color w:val="1F3864"/>
          <w:sz w:val="26"/>
          <w:szCs w:val="26"/>
        </w:rPr>
        <w:t xml:space="preserve">Quality of Earnings Assessment</w:t>
      </w:r>
    </w:p>
    <w:p>
      <w:pPr>
        <w:pStyle w:val="ListParagraph"/>
        <w:numPr>
          <w:ilvl w:val="0"/>
          <w:numId w:val="2"/>
        </w:numPr>
        <w:spacing w:after="40" w:before="40"/>
      </w:pPr>
      <w:r>
        <w:rPr>
          <w:rFonts w:ascii="Arial" w:cs="Arial" w:eastAsia="Arial" w:hAnsi="Arial"/>
          <w:b w:val="false"/>
          <w:bCs w:val="false"/>
          <w:color w:val="333333"/>
          <w:sz w:val="20"/>
          <w:szCs w:val="20"/>
        </w:rPr>
        <w:t xml:space="preserve">Cash realisation rate of 100% confirms earnings are fully cash-backed.</w:t>
      </w:r>
    </w:p>
    <w:p>
      <w:pPr>
        <w:pStyle w:val="ListParagraph"/>
        <w:numPr>
          <w:ilvl w:val="0"/>
          <w:numId w:val="2"/>
        </w:numPr>
        <w:spacing w:after="40" w:before="40"/>
      </w:pPr>
      <w:r>
        <w:rPr>
          <w:rFonts w:ascii="Arial" w:cs="Arial" w:eastAsia="Arial" w:hAnsi="Arial"/>
          <w:b w:val="false"/>
          <w:bCs w:val="false"/>
          <w:color w:val="333333"/>
          <w:sz w:val="20"/>
          <w:szCs w:val="20"/>
        </w:rPr>
        <w:t xml:space="preserve">Operating profit uplift partially driven by non-recurring reduction in load-shedding relief (R21.6m → R1m); organic margin improvement is approximately +50–70bps on an apples-to-apples basis.</w:t>
      </w:r>
    </w:p>
    <w:p>
      <w:pPr>
        <w:pStyle w:val="ListParagraph"/>
        <w:numPr>
          <w:ilvl w:val="0"/>
          <w:numId w:val="2"/>
        </w:numPr>
        <w:spacing w:after="40" w:before="40"/>
      </w:pPr>
      <w:r>
        <w:rPr>
          <w:rFonts w:ascii="Arial" w:cs="Arial" w:eastAsia="Arial" w:hAnsi="Arial"/>
          <w:b w:val="false"/>
          <w:bCs w:val="false"/>
          <w:color w:val="333333"/>
          <w:sz w:val="20"/>
          <w:szCs w:val="20"/>
        </w:rPr>
        <w:t xml:space="preserve">UK margin collapse from 11.4% to 5.4% warrants further diligence; wage cost inflation (National Insurance and minimum wage increases from April 2025) is a structural headwind.</w:t>
      </w:r>
    </w:p>
    <w:p>
      <w:pPr>
        <w:pStyle w:val="ListParagraph"/>
        <w:numPr>
          <w:ilvl w:val="0"/>
          <w:numId w:val="2"/>
        </w:numPr>
        <w:spacing w:after="40" w:before="40"/>
      </w:pPr>
      <w:r>
        <w:rPr>
          <w:rFonts w:ascii="Arial" w:cs="Arial" w:eastAsia="Arial" w:hAnsi="Arial"/>
          <w:b w:val="false"/>
          <w:bCs w:val="false"/>
          <w:color w:val="333333"/>
          <w:sz w:val="20"/>
          <w:szCs w:val="20"/>
        </w:rPr>
        <w:t xml:space="preserve">Nigeria (UACR) fully impaired; the R12m residual capital advanced has been written off, clearing the P&amp;L of this overhang.</w:t>
      </w:r>
    </w:p>
    <w:p>
      <w:pPr>
        <w:pStyle w:val="ListParagraph"/>
        <w:numPr>
          <w:ilvl w:val="0"/>
          <w:numId w:val="2"/>
        </w:numPr>
        <w:spacing w:after="40" w:before="40"/>
      </w:pPr>
      <w:r>
        <w:rPr>
          <w:rFonts w:ascii="Arial" w:cs="Arial" w:eastAsia="Arial" w:hAnsi="Arial"/>
          <w:b w:val="false"/>
          <w:bCs w:val="false"/>
          <w:color w:val="333333"/>
          <w:sz w:val="20"/>
          <w:szCs w:val="20"/>
        </w:rPr>
        <w:t xml:space="preserve">Retail decline (frozen chips -7%) is identified as cyclical (competitor re-entry); second-half normalisation noted.</w:t>
      </w:r>
    </w:p>
    <w:p>
      <w:pPr>
        <w:pStyle w:val="Heading1"/>
        <w:pageBreakBefore/>
        <w:shd w:fill="1F3864" w:val="clear"/>
        <w:spacing w:after="240" w:before="0"/>
        <w:ind w:left="120"/>
      </w:pPr>
      <w:r>
        <w:rPr>
          <w:rFonts w:ascii="Arial" w:cs="Arial" w:eastAsia="Arial" w:hAnsi="Arial"/>
          <w:b/>
          <w:bCs/>
          <w:color w:val="FFFFFF"/>
          <w:sz w:val="32"/>
          <w:szCs w:val="32"/>
        </w:rPr>
        <w:t xml:space="preserve">V.  Investment Thesis</w:t>
      </w:r>
    </w:p>
    <w:p>
      <w:pPr>
        <w:pStyle w:val="Heading2"/>
        <w:pBdr>
          <w:bottom w:val="single" w:color="2E5B9A" w:sz="4" w:space="1"/>
        </w:pBdr>
        <w:spacing w:after="120" w:before="240"/>
      </w:pPr>
      <w:r>
        <w:rPr>
          <w:rFonts w:ascii="Arial" w:cs="Arial" w:eastAsia="Arial" w:hAnsi="Arial"/>
          <w:b/>
          <w:bCs/>
          <w:color w:val="1F3864"/>
          <w:sz w:val="26"/>
          <w:szCs w:val="26"/>
        </w:rPr>
        <w:t xml:space="preserve">Pillar 1 — Dominant Market Position with Structural Defensibility</w:t>
      </w:r>
    </w:p>
    <w:p>
      <w:pPr>
        <w:spacing w:after="60" w:before="60"/>
      </w:pPr>
      <w:r>
        <w:rPr>
          <w:rFonts w:ascii="Arial" w:cs="Arial" w:eastAsia="Arial" w:hAnsi="Arial"/>
          <w:color w:val="333333"/>
          <w:sz w:val="20"/>
          <w:szCs w:val="20"/>
        </w:rPr>
        <w:t xml:space="preserve">Famous Brands holds the number-one franchise position in South Africa with 2,626 restaurants, 21 brand awards in FY2025, and decades of consumer brand equity. Steers (1961) and Wimpy (1967) are heritage brands with emotional attachment and multi-generational franchise relationships (average tenure 11 years; longest single partner since 1973). Geolocation data confirms 27% of the QSR network has no significant competitor within 5km — a meaningful competitive moat in a price-sensitive market.</w:t>
      </w:r>
    </w:p>
    <w:p>
      <w:pPr>
        <w:pStyle w:val="Heading2"/>
        <w:pBdr>
          <w:bottom w:val="single" w:color="2E5B9A" w:sz="4" w:space="1"/>
        </w:pBdr>
        <w:spacing w:after="120" w:before="240"/>
      </w:pPr>
      <w:r>
        <w:rPr>
          <w:rFonts w:ascii="Arial" w:cs="Arial" w:eastAsia="Arial" w:hAnsi="Arial"/>
          <w:b/>
          <w:bCs/>
          <w:color w:val="1F3864"/>
          <w:sz w:val="26"/>
          <w:szCs w:val="26"/>
        </w:rPr>
        <w:t xml:space="preserve">Pillar 2 — Vertically Integrated Supply Chain as Earnings Stabiliser</w:t>
      </w:r>
    </w:p>
    <w:p>
      <w:pPr>
        <w:spacing w:after="60" w:before="60"/>
      </w:pPr>
      <w:r>
        <w:rPr>
          <w:rFonts w:ascii="Arial" w:cs="Arial" w:eastAsia="Arial" w:hAnsi="Arial"/>
          <w:color w:val="333333"/>
          <w:sz w:val="20"/>
          <w:szCs w:val="20"/>
        </w:rPr>
        <w:t xml:space="preserve">Unlike pure-play franchise businesses, Famous Brands manufactures inputs (sauces, meat, coffee, potato products, ice cream) and operates its own logistics network. This integration (i) provides a second earnings stream insulated from consumer traffic trends, (ii) creates switching costs for franchise partners, and (iii) generates pricing power through manufacturing efficiency. Manufacturing operating margin improved 200bps to 11.0% in FY2025 as the load-shedding environment normalised and the WMS rollout drove efficiencies.</w:t>
      </w:r>
    </w:p>
    <w:p>
      <w:pPr>
        <w:pStyle w:val="Heading2"/>
        <w:pBdr>
          <w:bottom w:val="single" w:color="2E5B9A" w:sz="4" w:space="1"/>
        </w:pBdr>
        <w:spacing w:after="120" w:before="240"/>
      </w:pPr>
      <w:r>
        <w:rPr>
          <w:rFonts w:ascii="Arial" w:cs="Arial" w:eastAsia="Arial" w:hAnsi="Arial"/>
          <w:b/>
          <w:bCs/>
          <w:color w:val="1F3864"/>
          <w:sz w:val="26"/>
          <w:szCs w:val="26"/>
        </w:rPr>
        <w:t xml:space="preserve">Pillar 3 — Free Cash Flow Compounding and Debt Reduction Track Record</w:t>
      </w:r>
    </w:p>
    <w:p>
      <w:pPr>
        <w:spacing w:after="60" w:before="60"/>
      </w:pPr>
      <w:r>
        <w:rPr>
          <w:rFonts w:ascii="Arial" w:cs="Arial" w:eastAsia="Arial" w:hAnsi="Arial"/>
          <w:color w:val="333333"/>
          <w:sz w:val="20"/>
          <w:szCs w:val="20"/>
        </w:rPr>
        <w:t xml:space="preserve">The company has reduced debt by R1.8bn since 2018 while simultaneously growing dividends and investing in growth. FY2025 FCF of R753m on an operating profit base of R914m demonstrates capital-light characteristics. With net debt/EBITDA at 0.89x, the balance sheet provides meaningful headroom for acquisition financing, a dividend re-capitalisation, or accelerated deleveraging.</w:t>
      </w:r>
    </w:p>
    <w:p>
      <w:pPr>
        <w:pStyle w:val="Heading2"/>
        <w:pBdr>
          <w:bottom w:val="single" w:color="2E5B9A" w:sz="4" w:space="1"/>
        </w:pBdr>
        <w:spacing w:after="120" w:before="240"/>
      </w:pPr>
      <w:r>
        <w:rPr>
          <w:rFonts w:ascii="Arial" w:cs="Arial" w:eastAsia="Arial" w:hAnsi="Arial"/>
          <w:b/>
          <w:bCs/>
          <w:color w:val="1F3864"/>
          <w:sz w:val="26"/>
          <w:szCs w:val="26"/>
        </w:rPr>
        <w:t xml:space="preserve">Pillar 4 — SADC and AME Growth Platform Undervalued in Current Prices</w:t>
      </w:r>
    </w:p>
    <w:p>
      <w:pPr>
        <w:spacing w:after="60" w:before="60"/>
      </w:pPr>
      <w:r>
        <w:rPr>
          <w:rFonts w:ascii="Arial" w:cs="Arial" w:eastAsia="Arial" w:hAnsi="Arial"/>
          <w:color w:val="333333"/>
          <w:sz w:val="20"/>
          <w:szCs w:val="20"/>
        </w:rPr>
        <w:t xml:space="preserve">SADC delivered 10% revenue growth in FY2025 with 224 restaurants across 10 markets. Zambia (60 restaurants), Botswana (51), and Namibia (48) provide the current base; DRC, Zimbabwe, and Mozambique represent expansion frontiers. In AME, Egypt (Debonairs) and Kuwait (Mugg &amp; Bean) achieved first-year openings; Ethiopia is posting double-digit same-store growth. These markets are early-stage and loss-making at the segment level but are not material to Group profitability; the upside optionality is essentially unpriced.</w:t>
      </w:r>
    </w:p>
    <w:p>
      <w:pPr>
        <w:pStyle w:val="Heading2"/>
        <w:pBdr>
          <w:bottom w:val="single" w:color="2E5B9A" w:sz="4" w:space="1"/>
        </w:pBdr>
        <w:spacing w:after="120" w:before="240"/>
      </w:pPr>
      <w:r>
        <w:rPr>
          <w:rFonts w:ascii="Arial" w:cs="Arial" w:eastAsia="Arial" w:hAnsi="Arial"/>
          <w:b/>
          <w:bCs/>
          <w:color w:val="1F3864"/>
          <w:sz w:val="26"/>
          <w:szCs w:val="26"/>
        </w:rPr>
        <w:t xml:space="preserve">Pillar 5 — Technology and Operational Modernisation Creating Future Margin Upside</w:t>
      </w:r>
    </w:p>
    <w:p>
      <w:pPr>
        <w:spacing w:after="60" w:before="60"/>
      </w:pPr>
      <w:r>
        <w:rPr>
          <w:rFonts w:ascii="Arial" w:cs="Arial" w:eastAsia="Arial" w:hAnsi="Arial"/>
          <w:color w:val="333333"/>
          <w:sz w:val="20"/>
          <w:szCs w:val="20"/>
        </w:rPr>
        <w:t xml:space="preserve">The Munch Software POS rollout (318 CDR restaurants), delivery hub model (51 hubs, 82% on-time), WMS completion, new cold storage facility (June 2025), and consumer engagement platform (FY2026) represent a multi-year operational transformation. These investments were largely funded from operating cash flows. Benefits — lower logistics cost per case, improved franchise partner profitability, and digital consumer engagement — are expected to accrue progressively from FY2026 onwards.</w:t>
      </w:r>
    </w:p>
    <w:p>
      <w:pPr>
        <w:spacing w:after="40" w:before="40"/>
      </w:pPr>
      <w:r>
        <w:rPr>
          <w:rFonts w:ascii="Arial" w:cs="Arial" w:eastAsia="Arial" w:hAnsi="Arial"/>
          <w:sz w:val="16"/>
          <w:szCs w:val="16"/>
        </w:rPr>
        <w:t xml:space="preserve"/>
      </w:r>
    </w:p>
    <w:p>
      <w:pPr>
        <w:pStyle w:val="Heading2"/>
        <w:pBdr>
          <w:bottom w:val="single" w:color="2E5B9A" w:sz="4" w:space="1"/>
        </w:pBdr>
        <w:spacing w:after="120" w:before="240"/>
      </w:pPr>
      <w:r>
        <w:rPr>
          <w:rFonts w:ascii="Arial" w:cs="Arial" w:eastAsia="Arial" w:hAnsi="Arial"/>
          <w:b/>
          <w:bCs/>
          <w:color w:val="1F3864"/>
          <w:sz w:val="26"/>
          <w:szCs w:val="26"/>
        </w:rPr>
        <w:t xml:space="preserve">Value Creation Levers</w:t>
      </w:r>
    </w:p>
    <w:p>
      <w:pPr>
        <w:pStyle w:val="ListParagraph"/>
        <w:numPr>
          <w:ilvl w:val="0"/>
          <w:numId w:val="2"/>
        </w:numPr>
        <w:spacing w:after="40" w:before="40"/>
      </w:pPr>
      <w:r>
        <w:rPr>
          <w:rFonts w:ascii="Arial" w:cs="Arial" w:eastAsia="Arial" w:hAnsi="Arial"/>
          <w:b w:val="false"/>
          <w:bCs w:val="false"/>
          <w:color w:val="333333"/>
          <w:sz w:val="20"/>
          <w:szCs w:val="20"/>
        </w:rPr>
        <w:t xml:space="preserve">Organic network growth: SA pipeline supports 100+ net new stores per annum; SADC targeting 20+ per annum.</w:t>
      </w:r>
    </w:p>
    <w:p>
      <w:pPr>
        <w:pStyle w:val="ListParagraph"/>
        <w:numPr>
          <w:ilvl w:val="0"/>
          <w:numId w:val="2"/>
        </w:numPr>
        <w:spacing w:after="40" w:before="40"/>
      </w:pPr>
      <w:r>
        <w:rPr>
          <w:rFonts w:ascii="Arial" w:cs="Arial" w:eastAsia="Arial" w:hAnsi="Arial"/>
          <w:b w:val="false"/>
          <w:bCs w:val="false"/>
          <w:color w:val="333333"/>
          <w:sz w:val="20"/>
          <w:szCs w:val="20"/>
        </w:rPr>
        <w:t xml:space="preserve">Margin expansion: Manufacturing (+200bps achieved); Logistics WMS benefits (FY2026 onwards); Retail recovery as frozen chips normalise.</w:t>
      </w:r>
    </w:p>
    <w:p>
      <w:pPr>
        <w:pStyle w:val="ListParagraph"/>
        <w:numPr>
          <w:ilvl w:val="0"/>
          <w:numId w:val="2"/>
        </w:numPr>
        <w:spacing w:after="40" w:before="40"/>
      </w:pPr>
      <w:r>
        <w:rPr>
          <w:rFonts w:ascii="Arial" w:cs="Arial" w:eastAsia="Arial" w:hAnsi="Arial"/>
          <w:b w:val="false"/>
          <w:bCs w:val="false"/>
          <w:color w:val="333333"/>
          <w:sz w:val="20"/>
          <w:szCs w:val="20"/>
        </w:rPr>
        <w:t xml:space="preserve">UK strategic review: A sale or restructure of the 61-restaurant Wimpy UK business could crystallise value and eliminate a margin drag.</w:t>
      </w:r>
    </w:p>
    <w:p>
      <w:pPr>
        <w:pStyle w:val="ListParagraph"/>
        <w:numPr>
          <w:ilvl w:val="0"/>
          <w:numId w:val="2"/>
        </w:numPr>
        <w:spacing w:after="40" w:before="40"/>
      </w:pPr>
      <w:r>
        <w:rPr>
          <w:rFonts w:ascii="Arial" w:cs="Arial" w:eastAsia="Arial" w:hAnsi="Arial"/>
          <w:b w:val="false"/>
          <w:bCs w:val="false"/>
          <w:color w:val="333333"/>
          <w:sz w:val="20"/>
          <w:szCs w:val="20"/>
        </w:rPr>
        <w:t xml:space="preserve">Signature Brands optimisation: Completion of Fego Caffé conversions to Mugg &amp; Bean; potential disposal of loss-making formats.</w:t>
      </w:r>
    </w:p>
    <w:p>
      <w:pPr>
        <w:pStyle w:val="ListParagraph"/>
        <w:numPr>
          <w:ilvl w:val="0"/>
          <w:numId w:val="2"/>
        </w:numPr>
        <w:spacing w:after="40" w:before="40"/>
      </w:pPr>
      <w:r>
        <w:rPr>
          <w:rFonts w:ascii="Arial" w:cs="Arial" w:eastAsia="Arial" w:hAnsi="Arial"/>
          <w:b w:val="false"/>
          <w:bCs w:val="false"/>
          <w:color w:val="333333"/>
          <w:sz w:val="20"/>
          <w:szCs w:val="20"/>
        </w:rPr>
        <w:t xml:space="preserve">Retail product line extension: 4 new products launched in FY2025; expansion pipeline targeting 2,893 retail outlets.</w:t>
      </w:r>
    </w:p>
    <w:p>
      <w:pPr>
        <w:spacing w:after="40" w:before="40"/>
      </w:pPr>
      <w:r>
        <w:rPr>
          <w:rFonts w:ascii="Arial" w:cs="Arial" w:eastAsia="Arial" w:hAnsi="Arial"/>
          <w:sz w:val="16"/>
          <w:szCs w:val="16"/>
        </w:rPr>
        <w:t xml:space="preserve"/>
      </w:r>
    </w:p>
    <w:p>
      <w:pPr>
        <w:pStyle w:val="Heading2"/>
        <w:pBdr>
          <w:bottom w:val="single" w:color="2E5B9A" w:sz="4" w:space="1"/>
        </w:pBdr>
        <w:spacing w:after="120" w:before="240"/>
      </w:pPr>
      <w:r>
        <w:rPr>
          <w:rFonts w:ascii="Arial" w:cs="Arial" w:eastAsia="Arial" w:hAnsi="Arial"/>
          <w:b/>
          <w:bCs/>
          <w:color w:val="1F3864"/>
          <w:sz w:val="26"/>
          <w:szCs w:val="26"/>
        </w:rPr>
        <w:t xml:space="preserve">100-Day Priorities</w:t>
      </w:r>
    </w:p>
    <w:p>
      <w:pPr>
        <w:pStyle w:val="ListParagraph"/>
        <w:numPr>
          <w:ilvl w:val="0"/>
          <w:numId w:val="2"/>
        </w:numPr>
        <w:spacing w:after="40" w:before="40"/>
      </w:pPr>
      <w:r>
        <w:rPr>
          <w:rFonts w:ascii="Arial" w:cs="Arial" w:eastAsia="Arial" w:hAnsi="Arial"/>
          <w:b w:val="false"/>
          <w:bCs w:val="false"/>
          <w:color w:val="333333"/>
          <w:sz w:val="20"/>
          <w:szCs w:val="20"/>
        </w:rPr>
        <w:t xml:space="preserve">Confirm management retention and incentive alignment.</w:t>
      </w:r>
    </w:p>
    <w:p>
      <w:pPr>
        <w:pStyle w:val="ListParagraph"/>
        <w:numPr>
          <w:ilvl w:val="0"/>
          <w:numId w:val="2"/>
        </w:numPr>
        <w:spacing w:after="40" w:before="40"/>
      </w:pPr>
      <w:r>
        <w:rPr>
          <w:rFonts w:ascii="Arial" w:cs="Arial" w:eastAsia="Arial" w:hAnsi="Arial"/>
          <w:b w:val="false"/>
          <w:bCs w:val="false"/>
          <w:color w:val="333333"/>
          <w:sz w:val="20"/>
          <w:szCs w:val="20"/>
        </w:rPr>
        <w:t xml:space="preserve">Commission independent review of UK Wimpy business (sale, restructure, or continued operation).</w:t>
      </w:r>
    </w:p>
    <w:p>
      <w:pPr>
        <w:pStyle w:val="ListParagraph"/>
        <w:numPr>
          <w:ilvl w:val="0"/>
          <w:numId w:val="2"/>
        </w:numPr>
        <w:spacing w:after="40" w:before="40"/>
      </w:pPr>
      <w:r>
        <w:rPr>
          <w:rFonts w:ascii="Arial" w:cs="Arial" w:eastAsia="Arial" w:hAnsi="Arial"/>
          <w:b w:val="false"/>
          <w:bCs w:val="false"/>
          <w:color w:val="333333"/>
          <w:sz w:val="20"/>
          <w:szCs w:val="20"/>
        </w:rPr>
        <w:t xml:space="preserve">Engage founding/major shareholders regarding take-private or strategic stake documentation.</w:t>
      </w:r>
    </w:p>
    <w:p>
      <w:pPr>
        <w:pStyle w:val="ListParagraph"/>
        <w:numPr>
          <w:ilvl w:val="0"/>
          <w:numId w:val="2"/>
        </w:numPr>
        <w:spacing w:after="40" w:before="40"/>
      </w:pPr>
      <w:r>
        <w:rPr>
          <w:rFonts w:ascii="Arial" w:cs="Arial" w:eastAsia="Arial" w:hAnsi="Arial"/>
          <w:b w:val="false"/>
          <w:bCs w:val="false"/>
          <w:color w:val="333333"/>
          <w:sz w:val="20"/>
          <w:szCs w:val="20"/>
        </w:rPr>
        <w:t xml:space="preserve">Initiate refinancing of R450m facility (deferred to August 2026) to establish optimised long-term capital structure.</w:t>
      </w:r>
    </w:p>
    <w:p>
      <w:pPr>
        <w:pStyle w:val="ListParagraph"/>
        <w:numPr>
          <w:ilvl w:val="0"/>
          <w:numId w:val="2"/>
        </w:numPr>
        <w:spacing w:after="40" w:before="40"/>
      </w:pPr>
      <w:r>
        <w:rPr>
          <w:rFonts w:ascii="Arial" w:cs="Arial" w:eastAsia="Arial" w:hAnsi="Arial"/>
          <w:b w:val="false"/>
          <w:bCs w:val="false"/>
          <w:color w:val="333333"/>
          <w:sz w:val="20"/>
          <w:szCs w:val="20"/>
        </w:rPr>
        <w:t xml:space="preserve">Complete Midrand cold storage facility (Q2 FY2026) and capture first-year Logistics cost savings.</w:t>
      </w:r>
    </w:p>
    <w:p>
      <w:pPr>
        <w:pStyle w:val="Heading1"/>
        <w:pageBreakBefore/>
        <w:shd w:fill="1F3864" w:val="clear"/>
        <w:spacing w:after="240" w:before="0"/>
        <w:ind w:left="120"/>
      </w:pPr>
      <w:r>
        <w:rPr>
          <w:rFonts w:ascii="Arial" w:cs="Arial" w:eastAsia="Arial" w:hAnsi="Arial"/>
          <w:b/>
          <w:bCs/>
          <w:color w:val="FFFFFF"/>
          <w:sz w:val="32"/>
          <w:szCs w:val="32"/>
        </w:rPr>
        <w:t xml:space="preserve">VI.  Deal Terms &amp; Structure</w:t>
      </w:r>
    </w:p>
    <w:p>
      <w:pPr>
        <w:pStyle w:val="Heading2"/>
        <w:pBdr>
          <w:bottom w:val="single" w:color="2E5B9A" w:sz="4" w:space="1"/>
        </w:pBdr>
        <w:spacing w:after="120" w:before="240"/>
      </w:pPr>
      <w:r>
        <w:rPr>
          <w:rFonts w:ascii="Arial" w:cs="Arial" w:eastAsia="Arial" w:hAnsi="Arial"/>
          <w:b/>
          <w:bCs/>
          <w:color w:val="1F3864"/>
          <w:sz w:val="26"/>
          <w:szCs w:val="26"/>
        </w:rPr>
        <w:t xml:space="preserve">Indicative Valuation Framework</w:t>
      </w:r>
    </w:p>
    <w:p>
      <w:pPr>
        <w:spacing w:after="60" w:before="60"/>
      </w:pPr>
      <w:r>
        <w:rPr>
          <w:rFonts w:ascii="Arial" w:cs="Arial" w:eastAsia="Arial" w:hAnsi="Arial"/>
          <w:color w:val="333333"/>
          <w:sz w:val="20"/>
          <w:szCs w:val="20"/>
        </w:rPr>
        <w:t xml:space="preserve">Note: Famous Brands is a JSE-listed company (FBR). No deal has been formally structured at the time of this memo. The following framework is provided to guide Committee discussion. Specific deal terms — including offer price, financing mix, and legal structure — must be confirmed based on current market data, fairness opinion, and shareholder discussions.</w:t>
      </w:r>
    </w:p>
    <w:p>
      <w:pPr>
        <w:spacing w:after="40" w:before="40"/>
      </w:pPr>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Valuation Parameter</w:t>
            </w:r>
          </w:p>
        </w:tc>
        <w:tc>
          <w:tcPr>
            <w:tcW w:type="dxa" w:w="516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Value (Estimated)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FY2025 Revenue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R8,283m</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FY2025 Operating Profit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R914m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Implied EBITDA (Net Debt ÷ 0.89x)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~R1,120m</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EBITDA Margin (est.)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~13.5%</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Net Debt (28 Feb 2025)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R997m</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FY2026 Capex Budget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R373m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Indicated EV/EBITDA Range (QSR comps)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8x – 12x</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Implied EV Range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R8.9bn – R13.4bn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Implied Equity Value Range (EV minus net debt)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R7.9bn – R12.4bn</w:t>
            </w:r>
          </w:p>
        </w:tc>
      </w:tr>
    </w:tbl>
    <w:p>
      <w:pPr>
        <w:spacing w:after="40" w:before="40"/>
      </w:pPr>
      <w:r>
        <w:rPr>
          <w:rFonts w:ascii="Arial" w:cs="Arial" w:eastAsia="Arial" w:hAnsi="Arial"/>
          <w:sz w:val="16"/>
          <w:szCs w:val="16"/>
        </w:rPr>
        <w:t xml:space="preserve"/>
      </w:r>
    </w:p>
    <w:p>
      <w:pPr>
        <w:pStyle w:val="Heading2"/>
        <w:pBdr>
          <w:bottom w:val="single" w:color="2E5B9A" w:sz="4" w:space="1"/>
        </w:pBdr>
        <w:spacing w:after="120" w:before="240"/>
      </w:pPr>
      <w:r>
        <w:rPr>
          <w:rFonts w:ascii="Arial" w:cs="Arial" w:eastAsia="Arial" w:hAnsi="Arial"/>
          <w:b/>
          <w:bCs/>
          <w:color w:val="1F3864"/>
          <w:sz w:val="26"/>
          <w:szCs w:val="26"/>
        </w:rPr>
        <w:t xml:space="preserve">Transaction Structure Considerations</w:t>
      </w:r>
    </w:p>
    <w:p>
      <w:pPr>
        <w:pStyle w:val="ListParagraph"/>
        <w:numPr>
          <w:ilvl w:val="0"/>
          <w:numId w:val="2"/>
        </w:numPr>
        <w:spacing w:after="40" w:before="40"/>
      </w:pPr>
      <w:r>
        <w:rPr>
          <w:rFonts w:ascii="Arial" w:cs="Arial" w:eastAsia="Arial" w:hAnsi="Arial"/>
          <w:b w:val="false"/>
          <w:bCs w:val="false"/>
          <w:color w:val="333333"/>
          <w:sz w:val="20"/>
          <w:szCs w:val="20"/>
        </w:rPr>
        <w:t xml:space="preserve">Public-to-private: Offer to all JSE shareholders at a premium to prevailing share price. Requires &gt;75% shareholder approval under SA Companies Act.</w:t>
      </w:r>
    </w:p>
    <w:p>
      <w:pPr>
        <w:pStyle w:val="ListParagraph"/>
        <w:numPr>
          <w:ilvl w:val="0"/>
          <w:numId w:val="2"/>
        </w:numPr>
        <w:spacing w:after="40" w:before="40"/>
      </w:pPr>
      <w:r>
        <w:rPr>
          <w:rFonts w:ascii="Arial" w:cs="Arial" w:eastAsia="Arial" w:hAnsi="Arial"/>
          <w:b w:val="false"/>
          <w:bCs w:val="false"/>
          <w:color w:val="333333"/>
          <w:sz w:val="20"/>
          <w:szCs w:val="20"/>
        </w:rPr>
        <w:t xml:space="preserve">Strategic stake acquisition: Purchase of a controlling block (&gt;50%) through a combination of market purchases and a targeted offer.</w:t>
      </w:r>
    </w:p>
    <w:p>
      <w:pPr>
        <w:pStyle w:val="ListParagraph"/>
        <w:numPr>
          <w:ilvl w:val="0"/>
          <w:numId w:val="2"/>
        </w:numPr>
        <w:spacing w:after="40" w:before="40"/>
      </w:pPr>
      <w:r>
        <w:rPr>
          <w:rFonts w:ascii="Arial" w:cs="Arial" w:eastAsia="Arial" w:hAnsi="Arial"/>
          <w:b w:val="false"/>
          <w:bCs w:val="false"/>
          <w:color w:val="333333"/>
          <w:sz w:val="20"/>
          <w:szCs w:val="20"/>
        </w:rPr>
        <w:t xml:space="preserve">Capital structure: Given the low leverage (0.89x), significant debt capacity exists to finance an acquisition. A prudent structure would target pro-forma leverage of 2.5x–3.5x Net Debt/EBITDA.</w:t>
      </w:r>
    </w:p>
    <w:p>
      <w:pPr>
        <w:pStyle w:val="ListParagraph"/>
        <w:numPr>
          <w:ilvl w:val="0"/>
          <w:numId w:val="2"/>
        </w:numPr>
        <w:spacing w:after="40" w:before="40"/>
      </w:pPr>
      <w:r>
        <w:rPr>
          <w:rFonts w:ascii="Arial" w:cs="Arial" w:eastAsia="Arial" w:hAnsi="Arial"/>
          <w:b w:val="false"/>
          <w:bCs w:val="false"/>
          <w:color w:val="333333"/>
          <w:sz w:val="20"/>
          <w:szCs w:val="20"/>
        </w:rPr>
        <w:t xml:space="preserve">Sources and uses: To be confirmed. Indicative structure assumes a combination of acquisition financing (senior secured), shareholder equity, and rollover of existing management incentives.</w:t>
      </w:r>
    </w:p>
    <w:p>
      <w:pPr>
        <w:spacing w:after="40" w:before="40"/>
      </w:pPr>
      <w:r>
        <w:rPr>
          <w:rFonts w:ascii="Arial" w:cs="Arial" w:eastAsia="Arial" w:hAnsi="Arial"/>
          <w:sz w:val="16"/>
          <w:szCs w:val="16"/>
        </w:rPr>
        <w:t xml:space="preserve"/>
      </w:r>
    </w:p>
    <w:p>
      <w:pPr>
        <w:pStyle w:val="Heading2"/>
        <w:pBdr>
          <w:bottom w:val="single" w:color="2E5B9A" w:sz="4" w:space="1"/>
        </w:pBdr>
        <w:spacing w:after="120" w:before="240"/>
      </w:pPr>
      <w:r>
        <w:rPr>
          <w:rFonts w:ascii="Arial" w:cs="Arial" w:eastAsia="Arial" w:hAnsi="Arial"/>
          <w:b/>
          <w:bCs/>
          <w:color w:val="1F3864"/>
          <w:sz w:val="26"/>
          <w:szCs w:val="26"/>
        </w:rPr>
        <w:t xml:space="preserve">Key Legal / Regulatory Considerations</w:t>
      </w:r>
    </w:p>
    <w:p>
      <w:pPr>
        <w:pStyle w:val="ListParagraph"/>
        <w:numPr>
          <w:ilvl w:val="0"/>
          <w:numId w:val="2"/>
        </w:numPr>
        <w:spacing w:after="40" w:before="40"/>
      </w:pPr>
      <w:r>
        <w:rPr>
          <w:rFonts w:ascii="Arial" w:cs="Arial" w:eastAsia="Arial" w:hAnsi="Arial"/>
          <w:b w:val="false"/>
          <w:bCs w:val="false"/>
          <w:color w:val="333333"/>
          <w:sz w:val="20"/>
          <w:szCs w:val="20"/>
        </w:rPr>
        <w:t xml:space="preserve">JSE Listings Requirements: Any acquisition of &gt;35% requires a mandatory offer to minority shareholders.</w:t>
      </w:r>
    </w:p>
    <w:p>
      <w:pPr>
        <w:pStyle w:val="ListParagraph"/>
        <w:numPr>
          <w:ilvl w:val="0"/>
          <w:numId w:val="2"/>
        </w:numPr>
        <w:spacing w:after="40" w:before="40"/>
      </w:pPr>
      <w:r>
        <w:rPr>
          <w:rFonts w:ascii="Arial" w:cs="Arial" w:eastAsia="Arial" w:hAnsi="Arial"/>
          <w:b w:val="false"/>
          <w:bCs w:val="false"/>
          <w:color w:val="333333"/>
          <w:sz w:val="20"/>
          <w:szCs w:val="20"/>
        </w:rPr>
        <w:t xml:space="preserve">South African Competition Act: Transaction likely to require Competition Commission approval, particularly given the manufacturing and logistics integration across food supply chains.</w:t>
      </w:r>
    </w:p>
    <w:p>
      <w:pPr>
        <w:pStyle w:val="ListParagraph"/>
        <w:numPr>
          <w:ilvl w:val="0"/>
          <w:numId w:val="2"/>
        </w:numPr>
        <w:spacing w:after="40" w:before="40"/>
      </w:pPr>
      <w:r>
        <w:rPr>
          <w:rFonts w:ascii="Arial" w:cs="Arial" w:eastAsia="Arial" w:hAnsi="Arial"/>
          <w:b w:val="false"/>
          <w:bCs w:val="false"/>
          <w:color w:val="333333"/>
          <w:sz w:val="20"/>
          <w:szCs w:val="20"/>
        </w:rPr>
        <w:t xml:space="preserve">B-BBEE considerations: Level 1 B-BBEE status is a strategic asset; any structural changes must preserve this rating.</w:t>
      </w:r>
    </w:p>
    <w:p>
      <w:pPr>
        <w:pStyle w:val="ListParagraph"/>
        <w:numPr>
          <w:ilvl w:val="0"/>
          <w:numId w:val="2"/>
        </w:numPr>
        <w:spacing w:after="40" w:before="40"/>
      </w:pPr>
      <w:r>
        <w:rPr>
          <w:rFonts w:ascii="Arial" w:cs="Arial" w:eastAsia="Arial" w:hAnsi="Arial"/>
          <w:b w:val="false"/>
          <w:bCs w:val="false"/>
          <w:color w:val="333333"/>
          <w:sz w:val="20"/>
          <w:szCs w:val="20"/>
        </w:rPr>
        <w:t xml:space="preserve">Debt covenant compliance: Existing facility of R450m (deferred to August 2026) will require refinancing as part of any transaction.</w:t>
      </w:r>
    </w:p>
    <w:p>
      <w:pPr>
        <w:pStyle w:val="ListParagraph"/>
        <w:numPr>
          <w:ilvl w:val="0"/>
          <w:numId w:val="2"/>
        </w:numPr>
        <w:spacing w:after="40" w:before="40"/>
      </w:pPr>
      <w:r>
        <w:rPr>
          <w:rFonts w:ascii="Arial" w:cs="Arial" w:eastAsia="Arial" w:hAnsi="Arial"/>
          <w:b w:val="false"/>
          <w:bCs w:val="false"/>
          <w:color w:val="333333"/>
          <w:sz w:val="20"/>
          <w:szCs w:val="20"/>
        </w:rPr>
        <w:t xml:space="preserve">Pending items: Disposal of Dial n Dine (completed 28 Feb 2025); exit of coffee equipment business (from May 2025). These reduce complexity.</w:t>
      </w:r>
    </w:p>
    <w:p>
      <w:pPr>
        <w:pStyle w:val="Heading1"/>
        <w:pageBreakBefore/>
        <w:shd w:fill="1F3864" w:val="clear"/>
        <w:spacing w:after="240" w:before="0"/>
        <w:ind w:left="120"/>
      </w:pPr>
      <w:r>
        <w:rPr>
          <w:rFonts w:ascii="Arial" w:cs="Arial" w:eastAsia="Arial" w:hAnsi="Arial"/>
          <w:b/>
          <w:bCs/>
          <w:color w:val="FFFFFF"/>
          <w:sz w:val="32"/>
          <w:szCs w:val="32"/>
        </w:rPr>
        <w:t xml:space="preserve">VII.  Returns Analysis</w:t>
      </w:r>
    </w:p>
    <w:p>
      <w:pPr>
        <w:pStyle w:val="Heading2"/>
        <w:pBdr>
          <w:bottom w:val="single" w:color="2E5B9A" w:sz="4" w:space="1"/>
        </w:pBdr>
        <w:spacing w:after="120" w:before="240"/>
      </w:pPr>
      <w:r>
        <w:rPr>
          <w:rFonts w:ascii="Arial" w:cs="Arial" w:eastAsia="Arial" w:hAnsi="Arial"/>
          <w:b/>
          <w:bCs/>
          <w:color w:val="1F3864"/>
          <w:sz w:val="26"/>
          <w:szCs w:val="26"/>
        </w:rPr>
        <w:t xml:space="preserve">Scenario Framework</w:t>
      </w:r>
    </w:p>
    <w:p>
      <w:pPr>
        <w:spacing w:after="60" w:before="60"/>
      </w:pPr>
      <w:r>
        <w:rPr>
          <w:rFonts w:ascii="Arial" w:cs="Arial" w:eastAsia="Arial" w:hAnsi="Arial"/>
          <w:color w:val="333333"/>
          <w:sz w:val="20"/>
          <w:szCs w:val="20"/>
        </w:rPr>
        <w:t xml:space="preserve">The following scenarios are based on estimated FY2025 EBITDA of R1,120m and an assumed entry EV of R10.8bn (~9.7x EBITDA — in line with mid-range of comparable QSR franchisors). A 5-year hold period is assumed with an exit multiple of 9x–11x EBITDA. Returns are sensitive to the entry price and operating performance; deal price must be confirmed before firm commitment.</w:t>
      </w:r>
    </w:p>
    <w:p>
      <w:pPr>
        <w:spacing w:after="40" w:before="40"/>
      </w:pPr>
      <w:r>
        <w:rPr>
          <w:rFonts w:ascii="Arial" w:cs="Arial" w:eastAsia="Arial" w:hAnsi="Arial"/>
          <w:sz w:val="16"/>
          <w:szCs w:val="16"/>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800"/>
        <w:gridCol w:w="1700"/>
        <w:gridCol w:w="1700"/>
        <w:gridCol w:w="1460"/>
      </w:tblGrid>
      <w:tr>
        <w:tc>
          <w:tcPr>
            <w:tcW w:type="dxa" w:w="190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Scenario</w:t>
            </w:r>
          </w:p>
        </w:tc>
        <w:tc>
          <w:tcPr>
            <w:tcW w:type="dxa" w:w="180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EBITDA CAGR</w:t>
            </w:r>
          </w:p>
        </w:tc>
        <w:tc>
          <w:tcPr>
            <w:tcW w:type="dxa" w:w="180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Exit Multiple</w:t>
            </w:r>
          </w:p>
        </w:tc>
        <w:tc>
          <w:tcPr>
            <w:tcW w:type="dxa" w:w="170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Exit EV</w:t>
            </w:r>
          </w:p>
        </w:tc>
        <w:tc>
          <w:tcPr>
            <w:tcW w:type="dxa" w:w="170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Implied IRR</w:t>
            </w:r>
          </w:p>
        </w:tc>
        <w:tc>
          <w:tcPr>
            <w:tcW w:type="dxa" w:w="146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MOIC</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Downside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8.5x</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~R10.5bn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~12%–15%</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~1.8x</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Base Case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9.5x</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~R14.1bn</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~18%–22%</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~2.4x</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Upside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11.0x</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~R19.0bn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~25%–28%</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~3.2x</w:t>
            </w:r>
          </w:p>
        </w:tc>
      </w:tr>
    </w:tbl>
    <w:p>
      <w:pPr>
        <w:spacing w:after="40" w:before="40"/>
      </w:pPr>
      <w:r>
        <w:rPr>
          <w:rFonts w:ascii="Arial" w:cs="Arial" w:eastAsia="Arial" w:hAnsi="Arial"/>
          <w:sz w:val="16"/>
          <w:szCs w:val="16"/>
        </w:rPr>
        <w:t xml:space="preserve"/>
      </w:r>
    </w:p>
    <w:p>
      <w:pPr>
        <w:pStyle w:val="Heading2"/>
        <w:pBdr>
          <w:bottom w:val="single" w:color="2E5B9A" w:sz="4" w:space="1"/>
        </w:pBdr>
        <w:spacing w:after="120" w:before="240"/>
      </w:pPr>
      <w:r>
        <w:rPr>
          <w:rFonts w:ascii="Arial" w:cs="Arial" w:eastAsia="Arial" w:hAnsi="Arial"/>
          <w:b/>
          <w:bCs/>
          <w:color w:val="1F3864"/>
          <w:sz w:val="26"/>
          <w:szCs w:val="26"/>
        </w:rPr>
        <w:t xml:space="preserve">Key Return Drivers</w:t>
      </w:r>
    </w:p>
    <w:p>
      <w:pPr>
        <w:pStyle w:val="ListParagraph"/>
        <w:numPr>
          <w:ilvl w:val="0"/>
          <w:numId w:val="2"/>
        </w:numPr>
        <w:spacing w:after="40" w:before="40"/>
      </w:pPr>
      <w:r>
        <w:rPr>
          <w:rFonts w:ascii="Arial" w:cs="Arial" w:eastAsia="Arial" w:hAnsi="Arial"/>
          <w:b w:val="false"/>
          <w:bCs w:val="false"/>
          <w:color w:val="333333"/>
          <w:sz w:val="20"/>
          <w:szCs w:val="20"/>
        </w:rPr>
        <w:t xml:space="preserve">Base case EBITDA growth of 6% p.a. driven by: +3–4% revenue growth (network expansion), +100–150bps margin expansion from Supply Chain efficiencies, and operating leverage on fixed cost base.</w:t>
      </w:r>
    </w:p>
    <w:p>
      <w:pPr>
        <w:pStyle w:val="ListParagraph"/>
        <w:numPr>
          <w:ilvl w:val="0"/>
          <w:numId w:val="2"/>
        </w:numPr>
        <w:spacing w:after="40" w:before="40"/>
      </w:pPr>
      <w:r>
        <w:rPr>
          <w:rFonts w:ascii="Arial" w:cs="Arial" w:eastAsia="Arial" w:hAnsi="Arial"/>
          <w:b w:val="false"/>
          <w:bCs w:val="false"/>
          <w:color w:val="333333"/>
          <w:sz w:val="20"/>
          <w:szCs w:val="20"/>
        </w:rPr>
        <w:t xml:space="preserve">Upside case reflects SADC/AME growth acceleration, successful UK resolution, and Munch Software/ delivery hub margin benefits materialising ahead of schedule.</w:t>
      </w:r>
    </w:p>
    <w:p>
      <w:pPr>
        <w:pStyle w:val="ListParagraph"/>
        <w:numPr>
          <w:ilvl w:val="0"/>
          <w:numId w:val="2"/>
        </w:numPr>
        <w:spacing w:after="40" w:before="40"/>
      </w:pPr>
      <w:r>
        <w:rPr>
          <w:rFonts w:ascii="Arial" w:cs="Arial" w:eastAsia="Arial" w:hAnsi="Arial"/>
          <w:b w:val="false"/>
          <w:bCs w:val="false"/>
          <w:color w:val="333333"/>
          <w:sz w:val="20"/>
          <w:szCs w:val="20"/>
        </w:rPr>
        <w:t xml:space="preserve">Downside case assumes persistent SA consumer weakness (LFL growth near zero), delayed SADC ramp, and electricity cost escalation eroding Manufacturing margins.</w:t>
      </w:r>
    </w:p>
    <w:p>
      <w:pPr>
        <w:spacing w:after="40" w:before="40"/>
      </w:pPr>
      <w:r>
        <w:rPr>
          <w:rFonts w:ascii="Arial" w:cs="Arial" w:eastAsia="Arial" w:hAnsi="Arial"/>
          <w:sz w:val="16"/>
          <w:szCs w:val="16"/>
        </w:rPr>
        <w:t xml:space="preserve"/>
      </w:r>
    </w:p>
    <w:p>
      <w:pPr>
        <w:pStyle w:val="Heading2"/>
        <w:pBdr>
          <w:bottom w:val="single" w:color="2E5B9A" w:sz="4" w:space="1"/>
        </w:pBdr>
        <w:spacing w:after="120" w:before="240"/>
      </w:pPr>
      <w:r>
        <w:rPr>
          <w:rFonts w:ascii="Arial" w:cs="Arial" w:eastAsia="Arial" w:hAnsi="Arial"/>
          <w:b/>
          <w:bCs/>
          <w:color w:val="1F3864"/>
          <w:sz w:val="26"/>
          <w:szCs w:val="26"/>
        </w:rPr>
        <w:t xml:space="preserve">Sensitivity: Entry Multiple vs. IRR (Base Case EBITDA Growth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Entry EV/EBITDA</w:t>
            </w:r>
          </w:p>
        </w:tc>
        <w:tc>
          <w:tcPr>
            <w:tcW w:type="dxa" w:w="164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8.5x</w:t>
            </w:r>
          </w:p>
        </w:tc>
        <w:tc>
          <w:tcPr>
            <w:tcW w:type="dxa" w:w="164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9.5x (Base)</w:t>
            </w:r>
          </w:p>
        </w:tc>
        <w:tc>
          <w:tcPr>
            <w:tcW w:type="dxa" w:w="164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10.5x</w:t>
            </w:r>
          </w:p>
        </w:tc>
        <w:tc>
          <w:tcPr>
            <w:tcW w:type="dxa" w:w="164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11.5x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Exit @ 9.5x — IRR</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~26%</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~22%</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~18%</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Exit @ 9.5x — MOIC</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~3.0x</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~2.4x</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~2.0x</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~1.7x</w:t>
            </w:r>
          </w:p>
        </w:tc>
      </w:tr>
    </w:tbl>
    <w:p>
      <w:pPr>
        <w:spacing w:after="60" w:before="60"/>
      </w:pPr>
      <w:r>
        <w:rPr>
          <w:rFonts w:ascii="Arial" w:cs="Arial" w:eastAsia="Arial" w:hAnsi="Arial"/>
          <w:color w:val="333333"/>
          <w:sz w:val="20"/>
          <w:szCs w:val="20"/>
        </w:rPr>
        <w:t xml:space="preserve">The table highlights that disciplined entry pricing is critical. At &gt;11x entry, returns in a base case fall below typical PE thresholds; the deal is most compelling below 10x EBITDA.</w:t>
      </w:r>
    </w:p>
    <w:p>
      <w:pPr>
        <w:pStyle w:val="Heading1"/>
        <w:pageBreakBefore/>
        <w:shd w:fill="1F3864" w:val="clear"/>
        <w:spacing w:after="240" w:before="0"/>
        <w:ind w:left="120"/>
      </w:pPr>
      <w:r>
        <w:rPr>
          <w:rFonts w:ascii="Arial" w:cs="Arial" w:eastAsia="Arial" w:hAnsi="Arial"/>
          <w:b/>
          <w:bCs/>
          <w:color w:val="FFFFFF"/>
          <w:sz w:val="32"/>
          <w:szCs w:val="32"/>
        </w:rPr>
        <w:t xml:space="preserve">VIII.  Risk Factors</w:t>
      </w:r>
    </w:p>
    <w:p>
      <w:pPr>
        <w:pStyle w:val="Heading2"/>
        <w:pBdr>
          <w:bottom w:val="single" w:color="2E5B9A" w:sz="4" w:space="1"/>
        </w:pBdr>
        <w:spacing w:after="120" w:before="240"/>
      </w:pPr>
      <w:r>
        <w:rPr>
          <w:rFonts w:ascii="Arial" w:cs="Arial" w:eastAsia="Arial" w:hAnsi="Arial"/>
          <w:b/>
          <w:bCs/>
          <w:color w:val="1F3864"/>
          <w:sz w:val="26"/>
          <w:szCs w:val="26"/>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200"/>
        <w:gridCol w:w="4860"/>
      </w:tblGrid>
      <w:tr>
        <w:tc>
          <w:tcPr>
            <w:tcW w:type="dxa" w:w="220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Risk</w:t>
            </w:r>
          </w:p>
        </w:tc>
        <w:tc>
          <w:tcPr>
            <w:tcW w:type="dxa" w:w="110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Severity</w:t>
            </w:r>
          </w:p>
        </w:tc>
        <w:tc>
          <w:tcPr>
            <w:tcW w:type="dxa" w:w="120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Likelihood</w:t>
            </w:r>
          </w:p>
        </w:tc>
        <w:tc>
          <w:tcPr>
            <w:tcW w:type="dxa" w:w="486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Mitigant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Consumer spending deterioration (SA macro)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Medium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Multi-format and multi-price-point brand portfolio; franchise model limits direct capex exposure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AME structural losses expand</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Medium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Low</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AME &lt;1% of Group revenue; Nigeria impaired; strategic exit framework in place (Saudi Arabia exited)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UK margin collapse / stranded value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High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Wimpy UK strategic review; potential divestiture reduces drag and simplifies portfolio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Cyber security breach</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High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Medium</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FY2025 infrastructure upgrades; GRC tool implementation planned FY2026; cell captive insurance expanded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Technology disruption / delivery aggregator threat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Medium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Own delivery hub model (51 hubs); multi-aggregator strategy; Munch Software POS modernisation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Food safety / health incident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High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Low</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100% food safety accreditation at all manufacturing plants; five-star NOSA ratings across supply chain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Franchise partner insolvency wave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Low</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Average 11-year franchise tenure; R450m+ liquidity headroom; load-shedding relief facility demonstrated rapid response capability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B-BBEE status downgrade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Medium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Low</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Level 1 achieved for first time in FY2025; score of 93.69/110 — significant buffer above Level 2 threshold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Deal-breaker risks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None identified at this stage; completion is conditional on regulatory approval and fairness opinion</w:t>
            </w:r>
          </w:p>
        </w:tc>
      </w:tr>
    </w:tbl>
    <w:p>
      <w:pPr>
        <w:spacing w:after="40" w:before="40"/>
      </w:pPr>
      <w:r>
        <w:rPr>
          <w:rFonts w:ascii="Arial" w:cs="Arial" w:eastAsia="Arial" w:hAnsi="Arial"/>
          <w:sz w:val="16"/>
          <w:szCs w:val="16"/>
        </w:rPr>
        <w:t xml:space="preserve"/>
      </w:r>
    </w:p>
    <w:p>
      <w:pPr>
        <w:pStyle w:val="Heading2"/>
        <w:pBdr>
          <w:bottom w:val="single" w:color="2E5B9A" w:sz="4" w:space="1"/>
        </w:pBdr>
        <w:spacing w:after="120" w:before="240"/>
      </w:pPr>
      <w:r>
        <w:rPr>
          <w:rFonts w:ascii="Arial" w:cs="Arial" w:eastAsia="Arial" w:hAnsi="Arial"/>
          <w:b/>
          <w:bCs/>
          <w:color w:val="1F3864"/>
          <w:sz w:val="26"/>
          <w:szCs w:val="26"/>
        </w:rPr>
        <w:t xml:space="preserve">Emerging / Macro Risks</w:t>
      </w:r>
    </w:p>
    <w:p>
      <w:pPr>
        <w:pStyle w:val="ListParagraph"/>
        <w:numPr>
          <w:ilvl w:val="0"/>
          <w:numId w:val="2"/>
        </w:numPr>
        <w:spacing w:after="40" w:before="40"/>
      </w:pPr>
      <w:r>
        <w:rPr>
          <w:rFonts w:ascii="Arial" w:cs="Arial" w:eastAsia="Arial" w:hAnsi="Arial"/>
          <w:b w:val="false"/>
          <w:bCs w:val="false"/>
          <w:color w:val="333333"/>
          <w:sz w:val="20"/>
          <w:szCs w:val="20"/>
        </w:rPr>
        <w:t xml:space="preserve">US tariffs and potential AGOA exit: Material for SA exporters; secondary impact for Famous Brands through Rand weakness and GDP growth drag.</w:t>
      </w:r>
    </w:p>
    <w:p>
      <w:pPr>
        <w:pStyle w:val="ListParagraph"/>
        <w:numPr>
          <w:ilvl w:val="0"/>
          <w:numId w:val="2"/>
        </w:numPr>
        <w:spacing w:after="40" w:before="40"/>
      </w:pPr>
      <w:r>
        <w:rPr>
          <w:rFonts w:ascii="Arial" w:cs="Arial" w:eastAsia="Arial" w:hAnsi="Arial"/>
          <w:b w:val="false"/>
          <w:bCs w:val="false"/>
          <w:color w:val="333333"/>
          <w:sz w:val="20"/>
          <w:szCs w:val="20"/>
        </w:rPr>
        <w:t xml:space="preserve">Climate / drought risk: Gauteng water security focus in FY2025 business resilience plans; Zambia food inflation partly driven by drought-related hydropower shortfalls.</w:t>
      </w:r>
    </w:p>
    <w:p>
      <w:pPr>
        <w:pStyle w:val="ListParagraph"/>
        <w:numPr>
          <w:ilvl w:val="0"/>
          <w:numId w:val="2"/>
        </w:numPr>
        <w:spacing w:after="40" w:before="40"/>
      </w:pPr>
      <w:r>
        <w:rPr>
          <w:rFonts w:ascii="Arial" w:cs="Arial" w:eastAsia="Arial" w:hAnsi="Arial"/>
          <w:b w:val="false"/>
          <w:bCs w:val="false"/>
          <w:color w:val="333333"/>
          <w:sz w:val="20"/>
          <w:szCs w:val="20"/>
        </w:rPr>
        <w:t xml:space="preserve">Labour and wage inflation: UK employer NI contributions and minimum wage increases from April 2025; SA unionised workforce (26.3% of employees) faces ongoing cost pressures.</w:t>
      </w:r>
    </w:p>
    <w:p>
      <w:pPr>
        <w:pStyle w:val="ListParagraph"/>
        <w:numPr>
          <w:ilvl w:val="0"/>
          <w:numId w:val="2"/>
        </w:numPr>
        <w:spacing w:after="40" w:before="40"/>
      </w:pPr>
      <w:r>
        <w:rPr>
          <w:rFonts w:ascii="Arial" w:cs="Arial" w:eastAsia="Arial" w:hAnsi="Arial"/>
          <w:b w:val="false"/>
          <w:bCs w:val="false"/>
          <w:color w:val="333333"/>
          <w:sz w:val="20"/>
          <w:szCs w:val="20"/>
        </w:rPr>
        <w:t xml:space="preserve">Coffee commodity volatility: Frost and drought in growing countries have pushed green coffee prices higher; Famous Brands is managing through strategic stock holdings.</w:t>
      </w:r>
    </w:p>
    <w:p>
      <w:pPr>
        <w:pStyle w:val="Heading1"/>
        <w:pageBreakBefore/>
        <w:shd w:fill="1F3864" w:val="clear"/>
        <w:spacing w:after="240" w:before="0"/>
        <w:ind w:left="120"/>
      </w:pPr>
      <w:r>
        <w:rPr>
          <w:rFonts w:ascii="Arial" w:cs="Arial" w:eastAsia="Arial" w:hAnsi="Arial"/>
          <w:b/>
          <w:bCs/>
          <w:color w:val="FFFFFF"/>
          <w:sz w:val="32"/>
          <w:szCs w:val="32"/>
        </w:rPr>
        <w:t xml:space="preserve">IX.  Recommendation</w:t>
      </w:r>
    </w:p>
    <w:p>
      <w:pPr>
        <w:pStyle w:val="Heading2"/>
        <w:pBdr>
          <w:bottom w:val="single" w:color="2E5B9A" w:sz="4" w:space="1"/>
        </w:pBdr>
        <w:spacing w:after="120" w:before="240"/>
      </w:pPr>
      <w:r>
        <w:rPr>
          <w:rFonts w:ascii="Arial" w:cs="Arial" w:eastAsia="Arial" w:hAnsi="Arial"/>
          <w:b/>
          <w:bCs/>
          <w:color w:val="1F3864"/>
          <w:sz w:val="26"/>
          <w:szCs w:val="26"/>
        </w:rPr>
        <w:t xml:space="preserve">Recommendation: PROCEED — Conditional</w:t>
      </w:r>
    </w:p>
    <w:p>
      <w:pPr>
        <w:spacing w:after="60" w:before="60"/>
      </w:pPr>
      <w:r>
        <w:rPr>
          <w:rFonts w:ascii="Arial" w:cs="Arial" w:eastAsia="Arial" w:hAnsi="Arial"/>
          <w:b/>
          <w:bCs/>
          <w:color w:val="333333"/>
          <w:sz w:val="20"/>
          <w:szCs w:val="20"/>
        </w:rPr>
        <w:t xml:space="preserve">The Investment Committee is recommended to approve the pursuit of a controlling interest in Famous Brands Limited, subject to the conditions set out below. The company represents a scarce, high-quality asset: market-leading franchise platform, vertically integrated supply chain, proven cash generation, and a deleveraged balance sheet. The investment thesis is robust across all downside scenarios at entry multiples below ~10x EBITDA.</w:t>
      </w:r>
    </w:p>
    <w:p>
      <w:pPr>
        <w:spacing w:after="40" w:before="40"/>
      </w:pPr>
      <w:r>
        <w:rPr>
          <w:rFonts w:ascii="Arial" w:cs="Arial" w:eastAsia="Arial" w:hAnsi="Arial"/>
          <w:sz w:val="16"/>
          <w:szCs w:val="16"/>
        </w:rPr>
        <w:t xml:space="preserve"/>
      </w:r>
    </w:p>
    <w:p>
      <w:pPr>
        <w:pStyle w:val="Heading2"/>
        <w:pBdr>
          <w:bottom w:val="single" w:color="2E5B9A" w:sz="4" w:space="1"/>
        </w:pBdr>
        <w:spacing w:after="120" w:before="240"/>
      </w:pPr>
      <w:r>
        <w:rPr>
          <w:rFonts w:ascii="Arial" w:cs="Arial" w:eastAsia="Arial" w:hAnsi="Arial"/>
          <w:b/>
          <w:bCs/>
          <w:color w:val="1F3864"/>
          <w:sz w:val="26"/>
          <w:szCs w:val="26"/>
        </w:rPr>
        <w:t xml:space="preserve">Key Conditions</w:t>
      </w:r>
    </w:p>
    <w:p>
      <w:pPr>
        <w:pStyle w:val="ListParagraph"/>
        <w:numPr>
          <w:ilvl w:val="0"/>
          <w:numId w:val="2"/>
        </w:numPr>
        <w:spacing w:after="40" w:before="40"/>
      </w:pPr>
      <w:r>
        <w:rPr>
          <w:rFonts w:ascii="Arial" w:cs="Arial" w:eastAsia="Arial" w:hAnsi="Arial"/>
          <w:b w:val="false"/>
          <w:bCs w:val="false"/>
          <w:color w:val="333333"/>
          <w:sz w:val="20"/>
          <w:szCs w:val="20"/>
        </w:rPr>
        <w:t xml:space="preserve">Confirm entry price and transaction structure with financial advisors; obtain a fairness opinion.</w:t>
      </w:r>
    </w:p>
    <w:p>
      <w:pPr>
        <w:pStyle w:val="ListParagraph"/>
        <w:numPr>
          <w:ilvl w:val="0"/>
          <w:numId w:val="2"/>
        </w:numPr>
        <w:spacing w:after="40" w:before="40"/>
      </w:pPr>
      <w:r>
        <w:rPr>
          <w:rFonts w:ascii="Arial" w:cs="Arial" w:eastAsia="Arial" w:hAnsi="Arial"/>
          <w:b w:val="false"/>
          <w:bCs w:val="false"/>
          <w:color w:val="333333"/>
          <w:sz w:val="20"/>
          <w:szCs w:val="20"/>
        </w:rPr>
        <w:t xml:space="preserve">Conduct management Q&amp;A sessions with CEO Darren Hele and GFD Nelisiwe Shiluvana to validate FY2026 guidance and capex programme.</w:t>
      </w:r>
    </w:p>
    <w:p>
      <w:pPr>
        <w:pStyle w:val="ListParagraph"/>
        <w:numPr>
          <w:ilvl w:val="0"/>
          <w:numId w:val="2"/>
        </w:numPr>
        <w:spacing w:after="40" w:before="40"/>
      </w:pPr>
      <w:r>
        <w:rPr>
          <w:rFonts w:ascii="Arial" w:cs="Arial" w:eastAsia="Arial" w:hAnsi="Arial"/>
          <w:b w:val="false"/>
          <w:bCs w:val="false"/>
          <w:color w:val="333333"/>
          <w:sz w:val="20"/>
          <w:szCs w:val="20"/>
        </w:rPr>
        <w:t xml:space="preserve">Commission legal, tax, and regulatory due diligence — specifically Competition Commission approval process, B-BBEE structuring, and existing debt covenant review.</w:t>
      </w:r>
    </w:p>
    <w:p>
      <w:pPr>
        <w:pStyle w:val="ListParagraph"/>
        <w:numPr>
          <w:ilvl w:val="0"/>
          <w:numId w:val="2"/>
        </w:numPr>
        <w:spacing w:after="40" w:before="40"/>
      </w:pPr>
      <w:r>
        <w:rPr>
          <w:rFonts w:ascii="Arial" w:cs="Arial" w:eastAsia="Arial" w:hAnsi="Arial"/>
          <w:b w:val="false"/>
          <w:bCs w:val="false"/>
          <w:color w:val="333333"/>
          <w:sz w:val="20"/>
          <w:szCs w:val="20"/>
        </w:rPr>
        <w:t xml:space="preserve">Undertake independent EBITDA verification (confirm ~R1,120m implied EBITDA and quality of earnings adjustments).</w:t>
      </w:r>
    </w:p>
    <w:p>
      <w:pPr>
        <w:pStyle w:val="ListParagraph"/>
        <w:numPr>
          <w:ilvl w:val="0"/>
          <w:numId w:val="2"/>
        </w:numPr>
        <w:spacing w:after="40" w:before="40"/>
      </w:pPr>
      <w:r>
        <w:rPr>
          <w:rFonts w:ascii="Arial" w:cs="Arial" w:eastAsia="Arial" w:hAnsi="Arial"/>
          <w:b w:val="false"/>
          <w:bCs w:val="false"/>
          <w:color w:val="333333"/>
          <w:sz w:val="20"/>
          <w:szCs w:val="20"/>
        </w:rPr>
        <w:t xml:space="preserve">Develop binding term sheet for UK Wimpy strategic options (sale process, restructure, or ring-fenced retention strategy).</w:t>
      </w:r>
    </w:p>
    <w:p>
      <w:pPr>
        <w:pStyle w:val="ListParagraph"/>
        <w:numPr>
          <w:ilvl w:val="0"/>
          <w:numId w:val="2"/>
        </w:numPr>
        <w:spacing w:after="40" w:before="40"/>
      </w:pPr>
      <w:r>
        <w:rPr>
          <w:rFonts w:ascii="Arial" w:cs="Arial" w:eastAsia="Arial" w:hAnsi="Arial"/>
          <w:b w:val="false"/>
          <w:bCs w:val="false"/>
          <w:color w:val="333333"/>
          <w:sz w:val="20"/>
          <w:szCs w:val="20"/>
        </w:rPr>
        <w:t xml:space="preserve">Confirm refinancing plan for R450m facility (due August 2026) as a condition of financial close.</w:t>
      </w:r>
    </w:p>
    <w:p>
      <w:pPr>
        <w:spacing w:after="40" w:before="40"/>
      </w:pPr>
      <w:r>
        <w:rPr>
          <w:rFonts w:ascii="Arial" w:cs="Arial" w:eastAsia="Arial" w:hAnsi="Arial"/>
          <w:sz w:val="16"/>
          <w:szCs w:val="16"/>
        </w:rPr>
        <w:t xml:space="preserve"/>
      </w:r>
    </w:p>
    <w:p>
      <w:pPr>
        <w:pStyle w:val="Heading2"/>
        <w:pBdr>
          <w:bottom w:val="single" w:color="2E5B9A" w:sz="4" w:space="1"/>
        </w:pBdr>
        <w:spacing w:after="120" w:before="240"/>
      </w:pPr>
      <w:r>
        <w:rPr>
          <w:rFonts w:ascii="Arial" w:cs="Arial" w:eastAsia="Arial" w:hAnsi="Arial"/>
          <w:b/>
          <w:bCs/>
          <w:color w:val="1F3864"/>
          <w:sz w:val="26"/>
          <w:szCs w:val="26"/>
        </w:rPr>
        <w:t xml:space="preserve">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c>
          <w:tcPr>
            <w:tcW w:type="dxa" w:w="360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Action</w:t>
            </w:r>
          </w:p>
        </w:tc>
        <w:tc>
          <w:tcPr>
            <w:tcW w:type="dxa" w:w="220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Owner</w:t>
            </w:r>
          </w:p>
        </w:tc>
        <w:tc>
          <w:tcPr>
            <w:tcW w:type="dxa" w:w="3560"/>
            <w:tcBorders>
              <w:top w:val="single" w:color="2E5B9A" w:sz="1"/>
              <w:left w:val="single" w:color="2E5B9A" w:sz="1"/>
              <w:bottom w:val="single" w:color="2E5B9A" w:sz="1"/>
              <w:right w:val="single" w:color="2E5B9A" w:sz="1"/>
            </w:tcBorders>
            <w:shd w:fill="1F3864" w:val="clear"/>
            <w:tcMar>
              <w:top w:type="dxa" w:w="80"/>
              <w:left w:type="dxa" w:w="120"/>
              <w:bottom w:type="dxa" w:w="80"/>
              <w:right w:type="dxa" w:w="120"/>
            </w:tcMar>
          </w:tcPr>
          <w:p>
            <w:pPr>
              <w:spacing w:after="0" w:before="0"/>
              <w:jc w:val="right"/>
            </w:pPr>
            <w:r>
              <w:rPr>
                <w:rFonts w:ascii="Arial" w:cs="Arial" w:eastAsia="Arial" w:hAnsi="Arial"/>
                <w:b/>
                <w:bCs/>
                <w:color w:val="FFFFFF"/>
                <w:sz w:val="18"/>
                <w:szCs w:val="18"/>
              </w:rPr>
              <w:t xml:space="preserve">Deadline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Engage financial advisors (M&amp;A, legal)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Deal Team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Within 2 weeks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Preliminary approach to Famous Brands Board / major shareholders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Senior Partner</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Within 3 weeks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Obtain fairness opinion / independent valuation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Financial Advisor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Within 6 weeks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Complete legal and tax due diligence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Legal Counsel</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Within 8 weeks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Present final deal terms for IC approval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Deal Team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333333"/>
                <w:sz w:val="18"/>
                <w:szCs w:val="18"/>
              </w:rPr>
              <w:t xml:space="preserve">Within 10 weeks</w:t>
            </w:r>
          </w:p>
        </w:tc>
      </w:tr>
    </w:tbl>
    <w:p>
      <w:pPr>
        <w:spacing w:after="40" w:before="40"/>
      </w:pPr>
      <w:r>
        <w:rPr>
          <w:rFonts w:ascii="Arial" w:cs="Arial" w:eastAsia="Arial" w:hAnsi="Arial"/>
          <w:sz w:val="16"/>
          <w:szCs w:val="16"/>
        </w:rPr>
        <w:t xml:space="preserve"/>
      </w:r>
    </w:p>
    <w:p>
      <w:pPr>
        <w:spacing w:after="40" w:before="40"/>
      </w:pPr>
      <w:r>
        <w:rPr>
          <w:rFonts w:ascii="Arial" w:cs="Arial" w:eastAsia="Arial" w:hAnsi="Arial"/>
          <w:sz w:val="16"/>
          <w:szCs w:val="16"/>
        </w:rPr>
        <w:t xml:space="preserve"/>
      </w:r>
    </w:p>
    <w:p>
      <w:pPr>
        <w:spacing w:after="60" w:before="60"/>
      </w:pPr>
      <w:r>
        <w:rPr>
          <w:rFonts w:ascii="Arial" w:cs="Arial" w:eastAsia="Arial" w:hAnsi="Arial"/>
          <w:color w:val="777777"/>
          <w:sz w:val="20"/>
          <w:szCs w:val="20"/>
        </w:rPr>
        <w:t xml:space="preserve">This Investment Committee Memorandum is based exclusively on Famous Brands Limited's FY2025 Integrated Annual Report (year ended 28 February 2025). Financial projections and implied valuations are indicative and subject to independent verification. This document is strictly confidential and intended solely for the use of Investment Committee members.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tabs>
        <w:tab w:val="right" w:pos="9026"/>
      </w:tabs>
    </w:pPr>
    <w:r>
      <w:rPr>
        <w:rFonts w:ascii="Arial" w:cs="Arial" w:eastAsia="Arial" w:hAnsi="Arial"/>
        <w:color w:val="888888"/>
        <w:sz w:val="16"/>
        <w:szCs w:val="16"/>
      </w:rPr>
      <w:t xml:space="preserve">Future Foresight  |  March 2026</w:t>
    </w:r>
    <w:r>
      <w:rPr>
        <w:rFonts w:ascii="Arial" w:cs="Arial" w:eastAsia="Arial" w:hAnsi="Arial"/>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tabs>
        <w:tab w:val="right" w:pos="9026"/>
      </w:tabs>
    </w:pPr>
    <w:r>
      <w:rPr>
        <w:rFonts w:ascii="Arial" w:cs="Arial" w:eastAsia="Arial" w:hAnsi="Arial"/>
        <w:color w:val="888888"/>
        <w:sz w:val="16"/>
        <w:szCs w:val="16"/>
      </w:rPr>
      <w:t xml:space="preserve">CONFIDENTIAL  —  Famous Brands Limited  |  Investment Committee Memorandum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2026-03-15T09:59:03.618Z</dcterms:created>
  <dcterms:modified xsi:type="dcterms:W3CDTF">2026-03-15T09:59:03.618Z</dcterms:modified>
</cp:coreProperties>
</file>

<file path=docProps/custom.xml><?xml version="1.0" encoding="utf-8"?>
<Properties xmlns="http://schemas.openxmlformats.org/officeDocument/2006/custom-properties" xmlns:vt="http://schemas.openxmlformats.org/officeDocument/2006/docPropsVTypes"/>
</file>