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F4E79"/>
          <w:sz w:val="36"/>
          <w:szCs w:val="36"/>
        </w:rPr>
        <w:t xml:space="preserve">MARKET INTELLIGENCE BRIEF</w:t>
      </w:r>
    </w:p>
    <w:p>
      <w:pPr>
        <w:jc w:val="center"/>
      </w:pPr>
      <w:r>
        <w:rPr>
          <w:rFonts w:ascii="Arial" w:cs="Arial" w:eastAsia="Arial" w:hAnsi="Arial"/>
          <w:color w:val="595959"/>
          <w:sz w:val="26"/>
          <w:szCs w:val="26"/>
        </w:rPr>
        <w:t xml:space="preserve">African Fintech Sector — 2025/26 Outlook</w:t>
      </w:r>
    </w:p>
    <w:p>
      <w:pPr>
        <w:jc w:val="center"/>
      </w:pPr>
      <w:r>
        <w:rPr>
          <w:rFonts w:ascii="Arial" w:cs="Arial" w:eastAsia="Arial" w:hAnsi="Arial"/>
          <w:color w:val="808080"/>
          <w:sz w:val="18"/>
          <w:szCs w:val="18"/>
        </w:rPr>
        <w:t xml:space="preserve">Prepared by: Nexus Strategy Partners  |  February 2026  |  CONFIDENTIAL</w:t>
      </w:r>
    </w:p>
    <w:p>
      <w:r>
        <w:t xml:space="preserve"/>
      </w:r>
    </w:p>
    <w:p>
      <w:pPr>
        <w:pStyle w:val="Heading1"/>
      </w:pPr>
      <w:r>
        <w:rPr>
          <w:b/>
          <w:bCs/>
          <w:color w:val="1F4E79"/>
          <w:sz w:val="28"/>
          <w:szCs w:val="28"/>
        </w:rPr>
        <w:t xml:space="preserve">1. Executive Summary</w:t>
      </w:r>
    </w:p>
    <w:p>
      <w:pPr>
        <w:spacing w:after="120"/>
      </w:pPr>
      <w:r>
        <w:rPr>
          <w:sz w:val="22"/>
          <w:szCs w:val="22"/>
        </w:rPr>
        <w:t xml:space="preserve">The African fintech sector has entered a consolidation phase following peak VC activity in 2021–2023. Despite macroeconomic headwinds, the sector recorded $2.4bn in investment in 2025, with payments infrastructure, embedded lending and insurance-tech attracting the majority of capital. South Africa, Nigeria, Kenya and Egypt continue to anchor continental activity, though Francophone West Africa is emerging as a secondary growth corridor.</w:t>
      </w:r>
    </w:p>
    <w:p>
      <w:pPr>
        <w:spacing w:after="120"/>
      </w:pPr>
      <w:r>
        <w:rPr>
          <w:sz w:val="22"/>
          <w:szCs w:val="22"/>
        </w:rPr>
        <w:t xml:space="preserve">Key structural drivers remain intact: 600 million unbanked adults, rapid mobile penetration exceeding 80% in urban centres, and accelerating regulatory modernisation across SADC and ECOWAS. The primary risk factors are FX volatility, sovereign credit stress in three of the top five markets, and intensifying competition from tier-1 banks launching digital-first subsidiaries.</w:t>
      </w:r>
    </w:p>
    <w:p>
      <w:r>
        <w:t xml:space="preserve"/>
      </w:r>
    </w:p>
    <w:p>
      <w:pPr>
        <w:pStyle w:val="Heading1"/>
      </w:pPr>
      <w:r>
        <w:rPr>
          <w:b/>
          <w:bCs/>
          <w:color w:val="1F4E79"/>
          <w:sz w:val="28"/>
          <w:szCs w:val="28"/>
        </w:rPr>
        <w:t xml:space="preserve">2. Market Sizing &amp; Growth</w:t>
      </w:r>
    </w:p>
    <w:p>
      <w:pPr>
        <w:pStyle w:val="Heading2"/>
      </w:pPr>
      <w:r>
        <w:rPr>
          <w:b/>
          <w:bCs/>
          <w:color w:val="2E75B6"/>
          <w:sz w:val="24"/>
          <w:szCs w:val="24"/>
        </w:rPr>
        <w:t xml:space="preserve">2.1 Total Addressable Market</w:t>
      </w:r>
    </w:p>
    <w:p>
      <w:pPr>
        <w:spacing w:after="120"/>
      </w:pPr>
      <w:r>
        <w:rPr>
          <w:sz w:val="22"/>
          <w:szCs w:val="22"/>
        </w:rPr>
        <w:t xml:space="preserve">The African fintech TAM is estimated at $230bn by 2030 (CAGR 14.2%), with the following sub-sector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2200"/>
        <w:gridCol w:w="14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Sub-sector</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2025 Revenue ($bn)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2030 Forecast ($bn)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CAGR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Payments &amp; Remittances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38.2</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71.0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13.2%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Embedded Lending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18.7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44.5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18.9%</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InsurTech</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9.4</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24.1</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20.7%</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WealthTech / Investment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6.1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17.8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23.9%</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RegTech / Compliance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3.2</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8.6</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21.9%</w:t>
            </w:r>
          </w:p>
        </w:tc>
      </w:tr>
      <w:tr>
        <w:tc>
          <w:tcPr>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Total</w:t>
            </w:r>
          </w:p>
        </w:tc>
        <w:tc>
          <w:tcPr>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75.6</w:t>
            </w:r>
          </w:p>
        </w:tc>
        <w:tc>
          <w:tcPr>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166.0</w:t>
            </w:r>
          </w:p>
        </w:tc>
        <w:tc>
          <w:tcPr>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17.0%</w:t>
            </w:r>
          </w:p>
        </w:tc>
      </w:tr>
    </w:tbl>
    <w:p>
      <w:r>
        <w:t xml:space="preserve"/>
      </w:r>
    </w:p>
    <w:p>
      <w:pPr>
        <w:pStyle w:val="Heading2"/>
      </w:pPr>
      <w:r>
        <w:rPr>
          <w:b/>
          <w:bCs/>
          <w:color w:val="2E75B6"/>
          <w:sz w:val="24"/>
          <w:szCs w:val="24"/>
        </w:rPr>
        <w:t xml:space="preserve">2.2 Investment Climate</w:t>
      </w:r>
    </w:p>
    <w:p>
      <w:pPr>
        <w:spacing w:after="120"/>
      </w:pPr>
      <w:r>
        <w:rPr>
          <w:sz w:val="22"/>
          <w:szCs w:val="22"/>
        </w:rPr>
        <w:t xml:space="preserve">Despite a 32% decline from 2022 peak levels, 2025 fintech investment maintained resilience relative to other emerging market regions. Notable trends:</w:t>
      </w:r>
    </w:p>
    <w:p>
      <w:pPr>
        <w:pStyle w:val="ListParagraph"/>
        <w:numPr>
          <w:ilvl w:val="0"/>
          <w:numId w:val="2"/>
        </w:numPr>
        <w:spacing w:after="80"/>
      </w:pPr>
      <w:r>
        <w:rPr>
          <w:sz w:val="22"/>
          <w:szCs w:val="22"/>
        </w:rPr>
        <w:t xml:space="preserve">Late-stage compression: Series B+ rounds fell 41% YoY; seed activity remained robust</w:t>
      </w:r>
    </w:p>
    <w:p>
      <w:pPr>
        <w:pStyle w:val="ListParagraph"/>
        <w:numPr>
          <w:ilvl w:val="0"/>
          <w:numId w:val="2"/>
        </w:numPr>
        <w:spacing w:after="80"/>
      </w:pPr>
      <w:r>
        <w:rPr>
          <w:sz w:val="22"/>
          <w:szCs w:val="22"/>
        </w:rPr>
        <w:t xml:space="preserve">Geographic concentration: SA (34%), Nigeria (28%), Kenya (19%) represent 81% of total</w:t>
      </w:r>
    </w:p>
    <w:p>
      <w:pPr>
        <w:pStyle w:val="ListParagraph"/>
        <w:numPr>
          <w:ilvl w:val="0"/>
          <w:numId w:val="2"/>
        </w:numPr>
        <w:spacing w:after="80"/>
      </w:pPr>
      <w:r>
        <w:rPr>
          <w:sz w:val="22"/>
          <w:szCs w:val="22"/>
        </w:rPr>
        <w:t xml:space="preserve">Strategic acquirers: Tier-1 banks (Standard Bank, Equity Group, CIB Egypt) completed 14 acquisitions</w:t>
      </w:r>
    </w:p>
    <w:p>
      <w:pPr>
        <w:pStyle w:val="ListParagraph"/>
        <w:numPr>
          <w:ilvl w:val="0"/>
          <w:numId w:val="2"/>
        </w:numPr>
        <w:spacing w:after="80"/>
      </w:pPr>
      <w:r>
        <w:rPr>
          <w:sz w:val="22"/>
          <w:szCs w:val="22"/>
        </w:rPr>
        <w:t xml:space="preserve">USD denominated deals: 78% of transactions; ZAR-denominated deals doubled vs 2024</w:t>
      </w:r>
    </w:p>
    <w:p>
      <w:r>
        <w:t xml:space="preserve"/>
      </w:r>
    </w:p>
    <w:p>
      <w:pPr>
        <w:pStyle w:val="Heading1"/>
      </w:pPr>
      <w:r>
        <w:rPr>
          <w:b/>
          <w:bCs/>
          <w:color w:val="1F4E79"/>
          <w:sz w:val="28"/>
          <w:szCs w:val="28"/>
        </w:rPr>
        <w:t xml:space="preserve">3. Competitive Landscape</w:t>
      </w:r>
    </w:p>
    <w:p>
      <w:pPr>
        <w:pStyle w:val="Heading2"/>
      </w:pPr>
      <w:r>
        <w:rPr>
          <w:b/>
          <w:bCs/>
          <w:color w:val="2E75B6"/>
          <w:sz w:val="24"/>
          <w:szCs w:val="24"/>
        </w:rPr>
        <w:t xml:space="preserve">3.1 Tier-1 Players</w:t>
      </w:r>
    </w:p>
    <w:p>
      <w:pPr>
        <w:spacing w:after="120"/>
      </w:pPr>
      <w:r>
        <w:rPr>
          <w:sz w:val="22"/>
          <w:szCs w:val="22"/>
        </w:rPr>
        <w:t xml:space="preserve">Three companies have established dominant positions with cross-border scale:</w:t>
      </w:r>
    </w:p>
    <w:p>
      <w:pPr>
        <w:pStyle w:val="ListParagraph"/>
        <w:numPr>
          <w:ilvl w:val="0"/>
          <w:numId w:val="2"/>
        </w:numPr>
        <w:spacing w:after="80"/>
      </w:pPr>
      <w:r>
        <w:rPr>
          <w:sz w:val="22"/>
          <w:szCs w:val="22"/>
        </w:rPr>
        <w:t xml:space="preserve">Flutterwave (Nigeria/Pan-African): Processing $26bn annually; recent NASDAQ listing speculation persists. Core advantage is API-first infrastructure adopted by 1.2mn merchants.</w:t>
      </w:r>
    </w:p>
    <w:p>
      <w:pPr>
        <w:pStyle w:val="ListParagraph"/>
        <w:numPr>
          <w:ilvl w:val="0"/>
          <w:numId w:val="2"/>
        </w:numPr>
        <w:spacing w:after="80"/>
      </w:pPr>
      <w:r>
        <w:rPr>
          <w:sz w:val="22"/>
          <w:szCs w:val="22"/>
        </w:rPr>
        <w:t xml:space="preserve">TymeBank (South Africa): 10.2mn customers; EBITDA-positive since Q3 2024; Philippines expansion accelerating. Backed by Tencent and African Rainbow Capital.</w:t>
      </w:r>
    </w:p>
    <w:p>
      <w:pPr>
        <w:pStyle w:val="ListParagraph"/>
        <w:numPr>
          <w:ilvl w:val="0"/>
          <w:numId w:val="2"/>
        </w:numPr>
        <w:spacing w:after="80"/>
      </w:pPr>
      <w:r>
        <w:rPr>
          <w:sz w:val="22"/>
          <w:szCs w:val="22"/>
        </w:rPr>
        <w:t xml:space="preserve">M-PESA (Safaricom/Vodacom): Dominant in East Africa; Tanzania and Mozambique expansions driving 22% YoY transaction growth. Regulatory moat in Kenya remains significant.</w:t>
      </w:r>
    </w:p>
    <w:p>
      <w:r>
        <w:t xml:space="preserve"/>
      </w:r>
    </w:p>
    <w:p>
      <w:pPr>
        <w:pStyle w:val="Heading2"/>
      </w:pPr>
      <w:r>
        <w:rPr>
          <w:b/>
          <w:bCs/>
          <w:color w:val="2E75B6"/>
          <w:sz w:val="24"/>
          <w:szCs w:val="24"/>
        </w:rPr>
        <w:t xml:space="preserve">3.2 Emerging Challengers</w:t>
      </w:r>
    </w:p>
    <w:p>
      <w:pPr>
        <w:pStyle w:val="ListParagraph"/>
        <w:numPr>
          <w:ilvl w:val="0"/>
          <w:numId w:val="2"/>
        </w:numPr>
        <w:spacing w:after="80"/>
      </w:pPr>
      <w:r>
        <w:rPr>
          <w:sz w:val="22"/>
          <w:szCs w:val="22"/>
        </w:rPr>
        <w:t xml:space="preserve">Stitch (SA): B2B payments infrastructure; raised $25mn Series A; strong traction with JSE-listed corporates</w:t>
      </w:r>
    </w:p>
    <w:p>
      <w:pPr>
        <w:pStyle w:val="ListParagraph"/>
        <w:numPr>
          <w:ilvl w:val="0"/>
          <w:numId w:val="2"/>
        </w:numPr>
        <w:spacing w:after="80"/>
      </w:pPr>
      <w:r>
        <w:rPr>
          <w:sz w:val="22"/>
          <w:szCs w:val="22"/>
        </w:rPr>
        <w:t xml:space="preserve">Pezesha (Kenya): SME lending infrastructure; NPL ratio of 4.2% — best-in-class for the segment</w:t>
      </w:r>
    </w:p>
    <w:p>
      <w:pPr>
        <w:pStyle w:val="ListParagraph"/>
        <w:numPr>
          <w:ilvl w:val="0"/>
          <w:numId w:val="2"/>
        </w:numPr>
        <w:spacing w:after="80"/>
      </w:pPr>
      <w:r>
        <w:rPr>
          <w:sz w:val="22"/>
          <w:szCs w:val="22"/>
        </w:rPr>
        <w:t xml:space="preserve">Cleo (Pan-African): AI-native credit scoring; operating in 7 markets; burn rate concerns persist</w:t>
      </w:r>
    </w:p>
    <w:p>
      <w:r>
        <w:t xml:space="preserve"/>
      </w:r>
    </w:p>
    <w:p>
      <w:pPr>
        <w:pStyle w:val="Heading1"/>
      </w:pPr>
      <w:r>
        <w:rPr>
          <w:b/>
          <w:bCs/>
          <w:color w:val="1F4E79"/>
          <w:sz w:val="28"/>
          <w:szCs w:val="28"/>
        </w:rPr>
        <w:t xml:space="preserve">4. Regulatory Environment</w:t>
      </w:r>
    </w:p>
    <w:p>
      <w:pPr>
        <w:spacing w:after="120"/>
      </w:pPr>
      <w:r>
        <w:rPr>
          <w:sz w:val="22"/>
          <w:szCs w:val="22"/>
        </w:rPr>
        <w:t xml:space="preserve">The regulatory landscape is evolving rapidly, creating both risk and opportunity:</w:t>
      </w:r>
    </w:p>
    <w:p>
      <w:pPr>
        <w:pStyle w:val="ListParagraph"/>
        <w:numPr>
          <w:ilvl w:val="0"/>
          <w:numId w:val="2"/>
        </w:numPr>
        <w:spacing w:after="80"/>
      </w:pPr>
      <w:r>
        <w:rPr>
          <w:sz w:val="22"/>
          <w:szCs w:val="22"/>
        </w:rPr>
        <w:t xml:space="preserve">South Africa: FSCA sandbox expanded to include crypto-asset service providers; Basel IV implementation delayed to 2027</w:t>
      </w:r>
    </w:p>
    <w:p>
      <w:pPr>
        <w:pStyle w:val="ListParagraph"/>
        <w:numPr>
          <w:ilvl w:val="0"/>
          <w:numId w:val="2"/>
        </w:numPr>
        <w:spacing w:after="80"/>
      </w:pPr>
      <w:r>
        <w:rPr>
          <w:sz w:val="22"/>
          <w:szCs w:val="22"/>
        </w:rPr>
        <w:t xml:space="preserve">Nigeria: CBN's open banking framework finalised; mandatory API connectivity for tier-1 banks from Q2 2026</w:t>
      </w:r>
    </w:p>
    <w:p>
      <w:pPr>
        <w:pStyle w:val="ListParagraph"/>
        <w:numPr>
          <w:ilvl w:val="0"/>
          <w:numId w:val="2"/>
        </w:numPr>
        <w:spacing w:after="80"/>
      </w:pPr>
      <w:r>
        <w:rPr>
          <w:sz w:val="22"/>
          <w:szCs w:val="22"/>
        </w:rPr>
        <w:t xml:space="preserve">Kenya: Digital Credit Providers regulation fully operational; 18 non-compliant lenders delisted</w:t>
      </w:r>
    </w:p>
    <w:p>
      <w:pPr>
        <w:pStyle w:val="ListParagraph"/>
        <w:numPr>
          <w:ilvl w:val="0"/>
          <w:numId w:val="2"/>
        </w:numPr>
        <w:spacing w:after="80"/>
      </w:pPr>
      <w:r>
        <w:rPr>
          <w:sz w:val="22"/>
          <w:szCs w:val="22"/>
        </w:rPr>
        <w:t xml:space="preserve">Egypt: EGP volatility creating structural headwinds; EFSA pursuing bilateral fintech passporting with UAE</w:t>
      </w:r>
    </w:p>
    <w:p>
      <w:r>
        <w:t xml:space="preserve"/>
      </w:r>
    </w:p>
    <w:p>
      <w:pPr>
        <w:pStyle w:val="Heading1"/>
      </w:pPr>
      <w:r>
        <w:rPr>
          <w:b/>
          <w:bCs/>
          <w:color w:val="1F4E79"/>
          <w:sz w:val="28"/>
          <w:szCs w:val="28"/>
        </w:rPr>
        <w:t xml:space="preserve">5. Strategic Implications</w:t>
      </w:r>
    </w:p>
    <w:p>
      <w:pPr>
        <w:spacing w:after="120"/>
      </w:pPr>
      <w:r>
        <w:rPr>
          <w:sz w:val="22"/>
          <w:szCs w:val="22"/>
        </w:rPr>
        <w:t xml:space="preserve">For investors and operators evaluating African fintech exposure, the following strategic considerations apply:</w:t>
      </w:r>
    </w:p>
    <w:p>
      <w:pPr>
        <w:pStyle w:val="ListParagraph"/>
        <w:numPr>
          <w:ilvl w:val="0"/>
          <w:numId w:val="2"/>
        </w:numPr>
        <w:spacing w:after="80"/>
      </w:pPr>
      <w:r>
        <w:rPr>
          <w:sz w:val="22"/>
          <w:szCs w:val="22"/>
        </w:rPr>
        <w:t xml:space="preserve">Infrastructure plays outperform consumer-facing apps: B2B payment rails, KYC-as-a-service and open banking middleware are generating superior unit economics</w:t>
      </w:r>
    </w:p>
    <w:p>
      <w:pPr>
        <w:pStyle w:val="ListParagraph"/>
        <w:numPr>
          <w:ilvl w:val="0"/>
          <w:numId w:val="2"/>
        </w:numPr>
        <w:spacing w:after="80"/>
      </w:pPr>
      <w:r>
        <w:rPr>
          <w:sz w:val="22"/>
          <w:szCs w:val="22"/>
        </w:rPr>
        <w:t xml:space="preserve">Profitability threshold has shifted: Investors require clear path to EBITDA positivity within 18 months; growth-at-any-cost narratives no longer credible</w:t>
      </w:r>
    </w:p>
    <w:p>
      <w:pPr>
        <w:pStyle w:val="ListParagraph"/>
        <w:numPr>
          <w:ilvl w:val="0"/>
          <w:numId w:val="2"/>
        </w:numPr>
        <w:spacing w:after="80"/>
      </w:pPr>
      <w:r>
        <w:rPr>
          <w:sz w:val="22"/>
          <w:szCs w:val="22"/>
        </w:rPr>
        <w:t xml:space="preserve">Regulatory arbitrage is closing: Companies built on compliance gaps face existential risk as frameworks mature</w:t>
      </w:r>
    </w:p>
    <w:p>
      <w:pPr>
        <w:pStyle w:val="ListParagraph"/>
        <w:numPr>
          <w:ilvl w:val="0"/>
          <w:numId w:val="2"/>
        </w:numPr>
        <w:spacing w:after="80"/>
      </w:pPr>
      <w:r>
        <w:rPr>
          <w:sz w:val="22"/>
          <w:szCs w:val="22"/>
        </w:rPr>
        <w:t xml:space="preserve">AI integration is table-stakes: Credit decisioning, fraud prevention and customer service automation are baseline expectations, not differentiators</w:t>
      </w:r>
    </w:p>
    <w:p>
      <w:r>
        <w:t xml:space="preserve"/>
      </w:r>
    </w:p>
    <w:p>
      <w:pPr>
        <w:pStyle w:val="Heading1"/>
      </w:pPr>
      <w:r>
        <w:rPr>
          <w:b/>
          <w:bCs/>
          <w:color w:val="1F4E79"/>
          <w:sz w:val="28"/>
          <w:szCs w:val="28"/>
        </w:rPr>
        <w:t xml:space="preserve">6. 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Risk Factor</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Probability</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Impact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Mitigation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FX / USD scarcity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High</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High</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Hedge via USD revenue streams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Regulatory reversal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Multi-jurisdiction diversification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Big Tech entry (Google, Apple)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Medium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Very High</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Deepen local partnerships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Credit cycle deterioration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Tighten underwriting; reduce tenure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Talent drain to global AI firms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Medium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Medium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Equity participation schemes</w:t>
            </w:r>
          </w:p>
        </w:tc>
      </w:tr>
    </w:tbl>
    <w:p>
      <w:r>
        <w:t xml:space="preserve"/>
      </w:r>
    </w:p>
    <w:p>
      <w:pPr>
        <w:spacing w:after="120"/>
      </w:pPr>
      <w:r>
        <w:rPr>
          <w:i/>
          <w:iCs/>
          <w:color w:val="808080"/>
          <w:sz w:val="22"/>
          <w:szCs w:val="22"/>
        </w:rPr>
        <w:t xml:space="preserve">— END OF BRIEF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2026-03-17T02:39:06.952Z</dcterms:created>
  <dcterms:modified xsi:type="dcterms:W3CDTF">2026-03-17T02:39:06.953Z</dcterms:modified>
</cp:coreProperties>
</file>

<file path=docProps/custom.xml><?xml version="1.0" encoding="utf-8"?>
<Properties xmlns="http://schemas.openxmlformats.org/officeDocument/2006/custom-properties" xmlns:vt="http://schemas.openxmlformats.org/officeDocument/2006/docPropsVTypes"/>
</file>