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TARGET COMPANY PROFILE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VaultPay Technologies (Pty) Ltd</w:t>
      </w:r>
    </w:p>
    <w:p>
      <w:pPr>
        <w:jc w:val="center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Prepared for: Project Horizon  |  March 2026  |  STRICTLY CONFIDENTIAL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1. Company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Founded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2019, Cape Town, South Africa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Headquarters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Cape Town (HQ), Johannesburg, Nairobi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Employees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284 FTEs (March 2026)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Series B (closed December 2024)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Raised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$47.2mn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Last Valuation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$185mn (post-money, Dec 2024)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Revenue (FY2025)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$12.4mn ARR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Revenue Growth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87% YoY (FY2024 → FY2025)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Gross Margin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68%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EBITDA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($4.2mn) — targeting breakeven Q4 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Primary Investors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Partech Africa, Naspers Foundry, IFC Ventures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2. Business Model</w:t>
      </w:r>
    </w:p>
    <w:p>
      <w:pPr>
        <w:spacing w:after="120"/>
      </w:pPr>
      <w:r>
        <w:rPr>
          <w:sz w:val="22"/>
          <w:szCs w:val="22"/>
        </w:rPr>
        <w:t xml:space="preserve">VaultPay operates a B2B payments infrastructure platform targeting mid-market African corporates (annual turnover $10mn–$500mn). The core product is a unified API that consolidates local payment rails, FX conversion and reconciliation across 9 African markets into a single integration.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2.1 Revenue Streams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Transaction fees: 0.35%–0.85% per transaction (volume tiered); represents 71% of revenue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SaaS platform fee: $800–$4,200/month per enterprise seat; 22% of revenue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FX spread: 0.4%–1.2% on cross-border conversions; 7% of revenue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2.2 Customer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340 active enterprise clients (March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Average contract value: $36,400/year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Net Revenue Retention: 124% — driven by volume growth within existing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Churn: 4.2% annual logo churn; strong indicator of product stickiness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Top 10 clients represent 38% of ARR — concentration risk flagged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3. Technology &amp; Product</w:t>
      </w:r>
    </w:p>
    <w:p>
      <w:pPr>
        <w:spacing w:after="120"/>
      </w:pPr>
      <w:r>
        <w:rPr>
          <w:sz w:val="22"/>
          <w:szCs w:val="22"/>
        </w:rPr>
        <w:t xml:space="preserve">The platform is built on a microservices architecture deployed across AWS (primary) and Azure (disaster recovery). Key technical differentiators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Proprietary reconciliation engine: Reduces settlement exceptions by 94% vs manual processes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Real-time FX pricing: Sub-200ms latency across all 9 supported currencies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Compliance automation: Automated AML/KYC screening integrated with 4 pan-African compliance databases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 anomaly detection: ML model trained on 18 months of transaction data; 99.2% fraud detection rate</w:t>
      </w:r>
    </w:p>
    <w:p>
      <w:pPr>
        <w:spacing w:after="120"/>
      </w:pPr>
      <w:r>
        <w:rPr>
          <w:sz w:val="22"/>
          <w:szCs w:val="22"/>
        </w:rPr>
        <w:t xml:space="preserve">Technical debt assessment: Platform underwent architectural review in Q3 2025. Legacy payment gateway integration (representing 15% of transaction volume) scheduled for deprecation by Q2 2026. Engineering team rates overall codebase health at 7/10.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4. Management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 &amp; 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Siya Dlamini, CEO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Ex-Standard Bank, UCT MBA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Co-founder; strong enterprise sales track record; led Series A &amp; B rounds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Priya Naidoo, 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Ex-Amazon AWS, MIT 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Joined 2021; rebuilt core infrastructure; key retention risk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James Osei, CFO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Ex-Deloitte Corporate Finance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Appointed Q1 2025; driving path-to-profitability agenda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Amina Hassan, Chief Growth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Ex-Flutterwave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East Africa expansion lead; Nairobi office P&amp;L owner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5. Financial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20"/>
        <w:gridCol w:w="1620"/>
        <w:gridCol w:w="1620"/>
        <w:gridCol w:w="1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FY2023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FY2024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FY2025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FY2026E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ARR ($mn)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21.5E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Revenue Growth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87%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73%E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Gross Margin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70%E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EBITDA ($mn)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(6.1)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(5.8)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(4.2)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(0.8)E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 Burn (monthly)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$510k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$483k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$350k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$67kE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Runway (months)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6. Due Diligence Flags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6.1 Green Flags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NRR of 124% indicates strong product-market fit and expansion revenue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Gross margin trajectory (61% → 68%) demonstrates operating leverage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Burn reduction of 31% over 2 years without sacrificing growth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IFC involvement provides regulatory credibility in restricted markets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6.2 Red Flags / Items for Further Investigation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CTO retention risk: Priya Naidoo received unsolicited approaches from two US tech firms (per management disclosure)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Customer concentration: Top 10 = 38% ARR; single largest client = 8.2% ARR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Nairobi office: $2.1mn accumulated losses; path to profitability unclear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Cap table complexity: Series A anti-dilution provisions may create friction in exit scenarios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Pending litigation: One former employee IP dispute; legal counsel assesses as low risk but undisclosed in data room</w:t>
      </w:r>
    </w:p>
    <w:p>
      <w:r>
        <w:t xml:space="preserve"/>
      </w:r>
    </w:p>
    <w:p>
      <w:pPr>
        <w:spacing w:after="120"/>
      </w:pPr>
      <w:r>
        <w:rPr>
          <w:i/>
          <w:iCs/>
          <w:color w:val="808080"/>
          <w:sz w:val="22"/>
          <w:szCs w:val="22"/>
        </w:rPr>
        <w:t xml:space="preserve">— CONFIDENTIAL: PROJECT HORIZON — NOT FOR DISTRIBUTION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2026-03-17T02:39:06.962Z</dcterms:created>
  <dcterms:modified xsi:type="dcterms:W3CDTF">2026-03-17T02:39:06.962Z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