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4E79"/>
          <w:sz w:val="36"/>
          <w:szCs w:val="36"/>
        </w:rPr>
        <w:t xml:space="preserve">EXPERT INTERVIEW NOTES</w:t>
      </w:r>
    </w:p>
    <w:p>
      <w:pPr>
        <w:jc w:val="center"/>
      </w:pPr>
      <w:r>
        <w:rPr>
          <w:rFonts w:ascii="Arial" w:cs="Arial" w:eastAsia="Arial" w:hAnsi="Arial"/>
          <w:color w:val="595959"/>
          <w:sz w:val="24"/>
          <w:szCs w:val="24"/>
        </w:rPr>
        <w:t xml:space="preserve">Project Horizon — Primary Research Compilation</w:t>
      </w:r>
    </w:p>
    <w:p>
      <w:pPr>
        <w:jc w:val="center"/>
      </w:pPr>
      <w:r>
        <w:rPr>
          <w:rFonts w:ascii="Arial" w:cs="Arial" w:eastAsia="Arial" w:hAnsi="Arial"/>
          <w:color w:val="808080"/>
          <w:sz w:val="18"/>
          <w:szCs w:val="18"/>
        </w:rPr>
        <w:t xml:space="preserve">February – March 2026  |  STRICTLY CONFIDENTIAL</w:t>
      </w:r>
    </w:p>
    <w:p>
      <w:r>
        <w:t xml:space="preserve"/>
      </w:r>
    </w:p>
    <w:p>
      <w:pPr>
        <w:spacing w:after="120"/>
      </w:pPr>
      <w:r>
        <w:rPr>
          <w:i/>
          <w:iCs/>
          <w:color w:val="595959"/>
          <w:sz w:val="22"/>
          <w:szCs w:val="22"/>
        </w:rPr>
        <w:t xml:space="preserve">These notes summarise 6 expert interviews conducted as part of primary due diligence. Interviewees have been anonymised per standard protocol. All views are personal and do not represent employer positions.</w:t>
      </w:r>
    </w:p>
    <w:p>
      <w:r>
        <w:t xml:space="preserve"/>
      </w:r>
    </w:p>
    <w:p>
      <w:pPr>
        <w:pStyle w:val="Heading1"/>
      </w:pPr>
      <w:r>
        <w:rPr>
          <w:b/>
          <w:bCs/>
          <w:color w:val="1F4E79"/>
          <w:sz w:val="28"/>
          <w:szCs w:val="28"/>
        </w:rPr>
        <w:t xml:space="preserve">Interview 1 — Former Payments Executive, Big-4 African Bank</w:t>
      </w:r>
    </w:p>
    <w:p>
      <w:pPr>
        <w:spacing w:after="120"/>
      </w:pPr>
      <w:r>
        <w:rPr>
          <w:sz w:val="22"/>
          <w:szCs w:val="22"/>
        </w:rPr>
        <w:t xml:space="preserve">Date: 14 February 2026  |  Duration: 52 minutes  |  Format: Video call</w:t>
      </w:r>
    </w:p>
    <w:p>
      <w:pPr>
        <w:pStyle w:val="Heading2"/>
      </w:pPr>
      <w:r>
        <w:rPr>
          <w:b/>
          <w:bCs/>
          <w:color w:val="2E75B6"/>
          <w:sz w:val="24"/>
          <w:szCs w:val="24"/>
        </w:rPr>
        <w:t xml:space="preserve">Key Themes</w:t>
      </w:r>
    </w:p>
    <w:p>
      <w:pPr>
        <w:pStyle w:val="ListParagraph"/>
        <w:numPr>
          <w:ilvl w:val="0"/>
          <w:numId w:val="2"/>
        </w:numPr>
        <w:spacing w:after="80"/>
      </w:pPr>
      <w:r>
        <w:rPr>
          <w:sz w:val="22"/>
          <w:szCs w:val="22"/>
        </w:rPr>
        <w:t xml:space="preserve">VaultPay's reconciliation engine is 'genuinely differentiated' — this executive had evaluated it as a potential acquisition target in 2023 and found no comparable product in the market at the time.</w:t>
      </w:r>
    </w:p>
    <w:p>
      <w:pPr>
        <w:pStyle w:val="ListParagraph"/>
        <w:numPr>
          <w:ilvl w:val="0"/>
          <w:numId w:val="2"/>
        </w:numPr>
        <w:spacing w:after="80"/>
      </w:pPr>
      <w:r>
        <w:rPr>
          <w:sz w:val="22"/>
          <w:szCs w:val="22"/>
        </w:rPr>
        <w:t xml:space="preserve">Concern raised about the B2B mid-market focus: 'The sweet spot is actually the top 200 corporates in each market, not the long tail. Serving 340 clients at that ACV is operationally intensive.'</w:t>
      </w:r>
    </w:p>
    <w:p>
      <w:pPr>
        <w:pStyle w:val="ListParagraph"/>
        <w:numPr>
          <w:ilvl w:val="0"/>
          <w:numId w:val="2"/>
        </w:numPr>
        <w:spacing w:after="80"/>
      </w:pPr>
      <w:r>
        <w:rPr>
          <w:sz w:val="22"/>
          <w:szCs w:val="22"/>
        </w:rPr>
        <w:t xml:space="preserve">Strong view that open banking mandates in Nigeria will be a tailwind: 'Companies that are already embedded in corporate ERP systems will be very hard to displace once Open Finance goes live.'</w:t>
      </w:r>
    </w:p>
    <w:p>
      <w:pPr>
        <w:pStyle w:val="ListParagraph"/>
        <w:numPr>
          <w:ilvl w:val="0"/>
          <w:numId w:val="2"/>
        </w:numPr>
        <w:spacing w:after="80"/>
      </w:pPr>
      <w:r>
        <w:rPr>
          <w:sz w:val="22"/>
          <w:szCs w:val="22"/>
        </w:rPr>
        <w:t xml:space="preserve">Unprompted mention of a 'rumour' that Flutterwave has been evaluating adjacency into the B2B mid-market — could not confirm source.</w:t>
      </w:r>
    </w:p>
    <w:p>
      <w:pPr>
        <w:pStyle w:val="Heading2"/>
      </w:pPr>
      <w:r>
        <w:rPr>
          <w:b/>
          <w:bCs/>
          <w:color w:val="2E75B6"/>
          <w:sz w:val="24"/>
          <w:szCs w:val="24"/>
        </w:rPr>
        <w:t xml:space="preserve">Quotes of Note</w:t>
      </w:r>
    </w:p>
    <w:p>
      <w:pPr>
        <w:spacing w:after="120"/>
      </w:pPr>
      <w:r>
        <w:rPr>
          <w:i/>
          <w:iCs/>
          <w:color w:val="1F4E79"/>
          <w:sz w:val="22"/>
          <w:szCs w:val="22"/>
        </w:rPr>
        <w:t xml:space="preserve">'The reconciliation problem is massively underestimated by people outside of corporate treasury. It's not glamorous, but it costs large African businesses millions every year in errors and manual effort. Anyone who solves it cleanly owns the relationship.'</w:t>
      </w:r>
    </w:p>
    <w:p>
      <w:pPr>
        <w:spacing w:after="120"/>
      </w:pPr>
      <w:r>
        <w:rPr>
          <w:i/>
          <w:iCs/>
          <w:color w:val="1F4E79"/>
          <w:sz w:val="22"/>
          <w:szCs w:val="22"/>
        </w:rPr>
        <w:t xml:space="preserve">'My concern with VaultPay is not the technology — it's whether they can hold the CTO. That architecture doesn't run itself.'</w:t>
      </w:r>
    </w:p>
    <w:p>
      <w:r>
        <w:t xml:space="preserve"/>
      </w:r>
    </w:p>
    <w:p>
      <w:pPr>
        <w:pStyle w:val="Heading1"/>
      </w:pPr>
      <w:r>
        <w:rPr>
          <w:b/>
          <w:bCs/>
          <w:color w:val="1F4E79"/>
          <w:sz w:val="28"/>
          <w:szCs w:val="28"/>
        </w:rPr>
        <w:t xml:space="preserve">Interview 2 — CFO, JSE-Listed Retailer (Current VaultPay Client)</w:t>
      </w:r>
    </w:p>
    <w:p>
      <w:pPr>
        <w:spacing w:after="120"/>
      </w:pPr>
      <w:r>
        <w:rPr>
          <w:sz w:val="22"/>
          <w:szCs w:val="22"/>
        </w:rPr>
        <w:t xml:space="preserve">Date: 18 February 2026  |  Duration: 38 minutes  |  Format: In-person, Johannesburg</w:t>
      </w:r>
    </w:p>
    <w:p>
      <w:pPr>
        <w:pStyle w:val="Heading2"/>
      </w:pPr>
      <w:r>
        <w:rPr>
          <w:b/>
          <w:bCs/>
          <w:color w:val="2E75B6"/>
          <w:sz w:val="24"/>
          <w:szCs w:val="24"/>
        </w:rPr>
        <w:t xml:space="preserve">Key Themes</w:t>
      </w:r>
    </w:p>
    <w:p>
      <w:pPr>
        <w:pStyle w:val="ListParagraph"/>
        <w:numPr>
          <w:ilvl w:val="0"/>
          <w:numId w:val="2"/>
        </w:numPr>
        <w:spacing w:after="80"/>
      </w:pPr>
      <w:r>
        <w:rPr>
          <w:sz w:val="22"/>
          <w:szCs w:val="22"/>
        </w:rPr>
        <w:t xml:space="preserve">Client since October 2023. Processes approximately $4.2mn/month through VaultPay across 3 African markets.</w:t>
      </w:r>
    </w:p>
    <w:p>
      <w:pPr>
        <w:pStyle w:val="ListParagraph"/>
        <w:numPr>
          <w:ilvl w:val="0"/>
          <w:numId w:val="2"/>
        </w:numPr>
        <w:spacing w:after="80"/>
      </w:pPr>
      <w:r>
        <w:rPr>
          <w:sz w:val="22"/>
          <w:szCs w:val="22"/>
        </w:rPr>
        <w:t xml:space="preserve">Net Promoter Score equivalent: 'We'd be very reluctant to switch. The operational cost of migrating payment infrastructure is enormous.'</w:t>
      </w:r>
    </w:p>
    <w:p>
      <w:pPr>
        <w:pStyle w:val="ListParagraph"/>
        <w:numPr>
          <w:ilvl w:val="0"/>
          <w:numId w:val="2"/>
        </w:numPr>
        <w:spacing w:after="80"/>
      </w:pPr>
      <w:r>
        <w:rPr>
          <w:sz w:val="22"/>
          <w:szCs w:val="22"/>
        </w:rPr>
        <w:t xml:space="preserve">Primary frustration: 'Dashboard reporting is behind where it needs to be. We're still exporting data manually for our Treasury team. They've promised this for 8 months.'</w:t>
      </w:r>
    </w:p>
    <w:p>
      <w:pPr>
        <w:pStyle w:val="ListParagraph"/>
        <w:numPr>
          <w:ilvl w:val="0"/>
          <w:numId w:val="2"/>
        </w:numPr>
        <w:spacing w:after="80"/>
      </w:pPr>
      <w:r>
        <w:rPr>
          <w:sz w:val="22"/>
          <w:szCs w:val="22"/>
        </w:rPr>
        <w:t xml:space="preserve">Confirmed they received a pitch from a competitor (would not name) in January 2026 — 'pricing was 20% cheaper but the integration story wasn't credible.'</w:t>
      </w:r>
    </w:p>
    <w:p>
      <w:pPr>
        <w:pStyle w:val="ListParagraph"/>
        <w:numPr>
          <w:ilvl w:val="0"/>
          <w:numId w:val="2"/>
        </w:numPr>
        <w:spacing w:after="80"/>
      </w:pPr>
      <w:r>
        <w:rPr>
          <w:sz w:val="22"/>
          <w:szCs w:val="22"/>
        </w:rPr>
        <w:t xml:space="preserve">Shared awareness of VaultPay's new AI anomaly detection module — 'early results are impressive; caught 3 fraudulent transactions in the first 2 weeks that our previous bank would have missed.'</w:t>
      </w:r>
    </w:p>
    <w:p>
      <w:pPr>
        <w:pStyle w:val="Heading2"/>
      </w:pPr>
      <w:r>
        <w:rPr>
          <w:b/>
          <w:bCs/>
          <w:color w:val="2E75B6"/>
          <w:sz w:val="24"/>
          <w:szCs w:val="24"/>
        </w:rPr>
        <w:t xml:space="preserve">Quotes of Note</w:t>
      </w:r>
    </w:p>
    <w:p>
      <w:pPr>
        <w:spacing w:after="120"/>
      </w:pPr>
      <w:r>
        <w:rPr>
          <w:i/>
          <w:iCs/>
          <w:color w:val="1F4E79"/>
          <w:sz w:val="22"/>
          <w:szCs w:val="22"/>
        </w:rPr>
        <w:t xml:space="preserve">'For us it's about operational stability. I don't care if they're 10% more expensive than alternatives — we care about zero downtime and accurate reconciliation. So far they've delivered.'</w:t>
      </w:r>
    </w:p>
    <w:p>
      <w:r>
        <w:t xml:space="preserve"/>
      </w:r>
    </w:p>
    <w:p>
      <w:pPr>
        <w:pStyle w:val="Heading1"/>
      </w:pPr>
      <w:r>
        <w:rPr>
          <w:b/>
          <w:bCs/>
          <w:color w:val="1F4E79"/>
          <w:sz w:val="28"/>
          <w:szCs w:val="28"/>
        </w:rPr>
        <w:t xml:space="preserve">Interview 3 — VC Partner, Pan-African Technology Fund</w:t>
      </w:r>
    </w:p>
    <w:p>
      <w:pPr>
        <w:spacing w:after="120"/>
      </w:pPr>
      <w:r>
        <w:rPr>
          <w:sz w:val="22"/>
          <w:szCs w:val="22"/>
        </w:rPr>
        <w:t xml:space="preserve">Date: 25 February 2026  |  Duration: 45 minutes  |  Format: Video call</w:t>
      </w:r>
    </w:p>
    <w:p>
      <w:pPr>
        <w:pStyle w:val="Heading2"/>
      </w:pPr>
      <w:r>
        <w:rPr>
          <w:b/>
          <w:bCs/>
          <w:color w:val="2E75B6"/>
          <w:sz w:val="24"/>
          <w:szCs w:val="24"/>
        </w:rPr>
        <w:t xml:space="preserve">Key Themes</w:t>
      </w:r>
    </w:p>
    <w:p>
      <w:pPr>
        <w:pStyle w:val="ListParagraph"/>
        <w:numPr>
          <w:ilvl w:val="0"/>
          <w:numId w:val="2"/>
        </w:numPr>
        <w:spacing w:after="80"/>
      </w:pPr>
      <w:r>
        <w:rPr>
          <w:sz w:val="22"/>
          <w:szCs w:val="22"/>
        </w:rPr>
        <w:t xml:space="preserve">Passed on VaultPay Series A ('price was too high at the time; clearly a mistake in hindsight').</w:t>
      </w:r>
    </w:p>
    <w:p>
      <w:pPr>
        <w:pStyle w:val="ListParagraph"/>
        <w:numPr>
          <w:ilvl w:val="0"/>
          <w:numId w:val="2"/>
        </w:numPr>
        <w:spacing w:after="80"/>
      </w:pPr>
      <w:r>
        <w:rPr>
          <w:sz w:val="22"/>
          <w:szCs w:val="22"/>
        </w:rPr>
        <w:t xml:space="preserve">Assessment of current valuation: '$185mn feels full at current ARR but the NRR and gross margin trajectory justify a premium multiple if they can execute Nairobi.'</w:t>
      </w:r>
    </w:p>
    <w:p>
      <w:pPr>
        <w:pStyle w:val="ListParagraph"/>
        <w:numPr>
          <w:ilvl w:val="0"/>
          <w:numId w:val="2"/>
        </w:numPr>
        <w:spacing w:after="80"/>
      </w:pPr>
      <w:r>
        <w:rPr>
          <w:sz w:val="22"/>
          <w:szCs w:val="22"/>
        </w:rPr>
        <w:t xml:space="preserve">View on exit landscape: 'Most likely acquirer is a global payments infrastructure player — Adyen, Stripe, or a regional bank doing serious digital transformation. Trade sale in 24–36 months is the most realistic scenario.'</w:t>
      </w:r>
    </w:p>
    <w:p>
      <w:pPr>
        <w:pStyle w:val="ListParagraph"/>
        <w:numPr>
          <w:ilvl w:val="0"/>
          <w:numId w:val="2"/>
        </w:numPr>
        <w:spacing w:after="80"/>
      </w:pPr>
      <w:r>
        <w:rPr>
          <w:sz w:val="22"/>
          <w:szCs w:val="22"/>
        </w:rPr>
        <w:t xml:space="preserve">Flagged competitive concern: 'There are two well-funded stealth-mode startups in the same space. I can't name them but they're being built by ex-Paystack and ex-Cellulant people. Timeline to market is 12–18 months.'</w:t>
      </w:r>
    </w:p>
    <w:p>
      <w:pPr>
        <w:pStyle w:val="ListParagraph"/>
        <w:numPr>
          <w:ilvl w:val="0"/>
          <w:numId w:val="2"/>
        </w:numPr>
        <w:spacing w:after="80"/>
      </w:pPr>
      <w:r>
        <w:rPr>
          <w:sz w:val="22"/>
          <w:szCs w:val="22"/>
        </w:rPr>
        <w:t xml:space="preserve">Comment on Africa-wide payments consolidation: 'The long-term winner will be whoever solves the SADC–ECOWAS cross-border corridor at scale. That's the $50bn opportunity. VaultPay has the foundations but they need capital to get there.'</w:t>
      </w:r>
    </w:p>
    <w:p>
      <w:pPr>
        <w:pStyle w:val="Heading2"/>
      </w:pPr>
      <w:r>
        <w:rPr>
          <w:b/>
          <w:bCs/>
          <w:color w:val="2E75B6"/>
          <w:sz w:val="24"/>
          <w:szCs w:val="24"/>
        </w:rPr>
        <w:t xml:space="preserve">Quotes of Note</w:t>
      </w:r>
    </w:p>
    <w:p>
      <w:pPr>
        <w:spacing w:after="120"/>
      </w:pPr>
      <w:r>
        <w:rPr>
          <w:i/>
          <w:iCs/>
          <w:color w:val="1F4E79"/>
          <w:sz w:val="22"/>
          <w:szCs w:val="22"/>
        </w:rPr>
        <w:t xml:space="preserve">'In African fintech infrastructure, distribution is the moat. Technology is table-stakes. VaultPay has the better product today — but the question is whether they can outrun well-resourced competitors on enterprise sales.'</w:t>
      </w:r>
    </w:p>
    <w:p>
      <w:r>
        <w:t xml:space="preserve"/>
      </w:r>
    </w:p>
    <w:p>
      <w:pPr>
        <w:pStyle w:val="Heading1"/>
      </w:pPr>
      <w:r>
        <w:rPr>
          <w:b/>
          <w:bCs/>
          <w:color w:val="1F4E79"/>
          <w:sz w:val="28"/>
          <w:szCs w:val="28"/>
        </w:rPr>
        <w:t xml:space="preserve">Interview 4 — Payments Regulator (SADC Region, Anonymised)</w:t>
      </w:r>
    </w:p>
    <w:p>
      <w:pPr>
        <w:spacing w:after="120"/>
      </w:pPr>
      <w:r>
        <w:rPr>
          <w:sz w:val="22"/>
          <w:szCs w:val="22"/>
        </w:rPr>
        <w:t xml:space="preserve">Date: 3 March 2026  |  Duration: 30 minutes  |  Format: Background only — not for attribution</w:t>
      </w:r>
    </w:p>
    <w:p>
      <w:pPr>
        <w:pStyle w:val="Heading2"/>
      </w:pPr>
      <w:r>
        <w:rPr>
          <w:b/>
          <w:bCs/>
          <w:color w:val="2E75B6"/>
          <w:sz w:val="24"/>
          <w:szCs w:val="24"/>
        </w:rPr>
        <w:t xml:space="preserve">Key Themes</w:t>
      </w:r>
    </w:p>
    <w:p>
      <w:pPr>
        <w:pStyle w:val="ListParagraph"/>
        <w:numPr>
          <w:ilvl w:val="0"/>
          <w:numId w:val="2"/>
        </w:numPr>
        <w:spacing w:after="80"/>
      </w:pPr>
      <w:r>
        <w:rPr>
          <w:sz w:val="22"/>
          <w:szCs w:val="22"/>
        </w:rPr>
        <w:t xml:space="preserve">Confirmed that regional payment interoperability framework is 'on track' for 2027 implementation — would expand VaultPay's addressable market significantly.</w:t>
      </w:r>
    </w:p>
    <w:p>
      <w:pPr>
        <w:pStyle w:val="ListParagraph"/>
        <w:numPr>
          <w:ilvl w:val="0"/>
          <w:numId w:val="2"/>
        </w:numPr>
        <w:spacing w:after="80"/>
      </w:pPr>
      <w:r>
        <w:rPr>
          <w:sz w:val="22"/>
          <w:szCs w:val="22"/>
        </w:rPr>
        <w:t xml:space="preserve">VaultPay has been 'constructive in the consultation process' — positive indicator of regulatory relationship.</w:t>
      </w:r>
    </w:p>
    <w:p>
      <w:pPr>
        <w:pStyle w:val="ListParagraph"/>
        <w:numPr>
          <w:ilvl w:val="0"/>
          <w:numId w:val="2"/>
        </w:numPr>
        <w:spacing w:after="80"/>
      </w:pPr>
      <w:r>
        <w:rPr>
          <w:sz w:val="22"/>
          <w:szCs w:val="22"/>
        </w:rPr>
        <w:t xml:space="preserve">Warning regarding non-bank payment providers: 'Licensing requirements will tighten across the region. Companies operating on borrowed licences or agency arrangements will face significant compliance costs.'</w:t>
      </w:r>
    </w:p>
    <w:p>
      <w:pPr>
        <w:pStyle w:val="ListParagraph"/>
        <w:numPr>
          <w:ilvl w:val="0"/>
          <w:numId w:val="2"/>
        </w:numPr>
        <w:spacing w:after="80"/>
      </w:pPr>
      <w:r>
        <w:rPr>
          <w:sz w:val="22"/>
          <w:szCs w:val="22"/>
        </w:rPr>
        <w:t xml:space="preserve">VaultPay currently operates in 3 markets under its own licence and in 6 via partner arrangements — the latter represent a regulatory risk that should be assessed carefully.</w:t>
      </w:r>
    </w:p>
    <w:p>
      <w:r>
        <w:t xml:space="preserve"/>
      </w:r>
    </w:p>
    <w:p>
      <w:pPr>
        <w:pStyle w:val="Heading1"/>
      </w:pPr>
      <w:r>
        <w:rPr>
          <w:b/>
          <w:bCs/>
          <w:color w:val="1F4E79"/>
          <w:sz w:val="28"/>
          <w:szCs w:val="28"/>
        </w:rPr>
        <w:t xml:space="preserve">Interview 5 — Former VaultPay Senior Engineer (Departed Q3 2025)</w:t>
      </w:r>
    </w:p>
    <w:p>
      <w:pPr>
        <w:spacing w:after="120"/>
      </w:pPr>
      <w:r>
        <w:rPr>
          <w:sz w:val="22"/>
          <w:szCs w:val="22"/>
        </w:rPr>
        <w:t xml:space="preserve">Date: 7 March 2026  |  Duration: 40 minutes  |  Format: Video call</w:t>
      </w:r>
    </w:p>
    <w:p>
      <w:pPr>
        <w:pStyle w:val="Heading2"/>
      </w:pPr>
      <w:r>
        <w:rPr>
          <w:b/>
          <w:bCs/>
          <w:color w:val="2E75B6"/>
          <w:sz w:val="24"/>
          <w:szCs w:val="24"/>
        </w:rPr>
        <w:t xml:space="preserve">Key Themes</w:t>
      </w:r>
    </w:p>
    <w:p>
      <w:pPr>
        <w:pStyle w:val="ListParagraph"/>
        <w:numPr>
          <w:ilvl w:val="0"/>
          <w:numId w:val="2"/>
        </w:numPr>
        <w:spacing w:after="80"/>
      </w:pPr>
      <w:r>
        <w:rPr>
          <w:sz w:val="22"/>
          <w:szCs w:val="22"/>
        </w:rPr>
        <w:t xml:space="preserve">Departed voluntarily for a US-based AI startup ('significantly higher compensation, not a reflection of VaultPay's trajectory').</w:t>
      </w:r>
    </w:p>
    <w:p>
      <w:pPr>
        <w:pStyle w:val="ListParagraph"/>
        <w:numPr>
          <w:ilvl w:val="0"/>
          <w:numId w:val="2"/>
        </w:numPr>
        <w:spacing w:after="80"/>
      </w:pPr>
      <w:r>
        <w:rPr>
          <w:sz w:val="22"/>
          <w:szCs w:val="22"/>
        </w:rPr>
        <w:t xml:space="preserve">Technical assessment: 'The core reconciliation engine is genuinely excellent — Priya and her team built something hard to replicate. The front-end dashboard is the weak point — underinvested.'</w:t>
      </w:r>
    </w:p>
    <w:p>
      <w:pPr>
        <w:pStyle w:val="ListParagraph"/>
        <w:numPr>
          <w:ilvl w:val="0"/>
          <w:numId w:val="2"/>
        </w:numPr>
        <w:spacing w:after="80"/>
      </w:pPr>
      <w:r>
        <w:rPr>
          <w:sz w:val="22"/>
          <w:szCs w:val="22"/>
        </w:rPr>
        <w:t xml:space="preserve">Culture: 'Execution-focused, sometimes to a fault. There's pressure to ship features that can result in quality shortcuts. I'd want to do a code audit on the KYC module specifically.'</w:t>
      </w:r>
    </w:p>
    <w:p>
      <w:pPr>
        <w:pStyle w:val="ListParagraph"/>
        <w:numPr>
          <w:ilvl w:val="0"/>
          <w:numId w:val="2"/>
        </w:numPr>
        <w:spacing w:after="80"/>
      </w:pPr>
      <w:r>
        <w:rPr>
          <w:sz w:val="22"/>
          <w:szCs w:val="22"/>
        </w:rPr>
        <w:t xml:space="preserve">CTO situation: 'Priya is exceptional. If she leaves, you'd want to do a full technical re-assessment. The system is well-documented but the architectural intuition lives in her head.'</w:t>
      </w:r>
    </w:p>
    <w:p>
      <w:pPr>
        <w:pStyle w:val="ListParagraph"/>
        <w:numPr>
          <w:ilvl w:val="0"/>
          <w:numId w:val="2"/>
        </w:numPr>
        <w:spacing w:after="80"/>
      </w:pPr>
      <w:r>
        <w:rPr>
          <w:sz w:val="22"/>
          <w:szCs w:val="22"/>
        </w:rPr>
        <w:t xml:space="preserve">Confirmed legacy gateway issue mentioned in technical assessment — 'should have been deprecated 18 months ago; it's not a crisis but it's a drag.'</w:t>
      </w:r>
    </w:p>
    <w:p>
      <w:r>
        <w:t xml:space="preserve"/>
      </w:r>
    </w:p>
    <w:p>
      <w:pPr>
        <w:pStyle w:val="Heading1"/>
      </w:pPr>
      <w:r>
        <w:rPr>
          <w:b/>
          <w:bCs/>
          <w:color w:val="1F4E79"/>
          <w:sz w:val="28"/>
          <w:szCs w:val="28"/>
        </w:rPr>
        <w:t xml:space="preserve">Interview 6 — Investment Banker, African M&amp;A Specialist</w:t>
      </w:r>
    </w:p>
    <w:p>
      <w:pPr>
        <w:spacing w:after="120"/>
      </w:pPr>
      <w:r>
        <w:rPr>
          <w:sz w:val="22"/>
          <w:szCs w:val="22"/>
        </w:rPr>
        <w:t xml:space="preserve">Date: 11 March 2026  |  Duration: 35 minutes  |  Format: Video call</w:t>
      </w:r>
    </w:p>
    <w:p>
      <w:pPr>
        <w:pStyle w:val="Heading2"/>
      </w:pPr>
      <w:r>
        <w:rPr>
          <w:b/>
          <w:bCs/>
          <w:color w:val="2E75B6"/>
          <w:sz w:val="24"/>
          <w:szCs w:val="24"/>
        </w:rPr>
        <w:t xml:space="preserve">Key Themes</w:t>
      </w:r>
    </w:p>
    <w:p>
      <w:pPr>
        <w:pStyle w:val="ListParagraph"/>
        <w:numPr>
          <w:ilvl w:val="0"/>
          <w:numId w:val="2"/>
        </w:numPr>
        <w:spacing w:after="80"/>
      </w:pPr>
      <w:r>
        <w:rPr>
          <w:sz w:val="22"/>
          <w:szCs w:val="22"/>
        </w:rPr>
        <w:t xml:space="preserve">Assessed current M&amp;A market: 'Valuations have compressed from 2022 peaks but quality infrastructure assets are still trading at 12–18x ARR. VaultPay would attract serious interest at the right price.'</w:t>
      </w:r>
    </w:p>
    <w:p>
      <w:pPr>
        <w:pStyle w:val="ListParagraph"/>
        <w:numPr>
          <w:ilvl w:val="0"/>
          <w:numId w:val="2"/>
        </w:numPr>
        <w:spacing w:after="80"/>
      </w:pPr>
      <w:r>
        <w:rPr>
          <w:sz w:val="22"/>
          <w:szCs w:val="22"/>
        </w:rPr>
        <w:t xml:space="preserve">Strategic acquirers in active discussion mode: 'Two of the top-five global payment processors have Africa mandates from their boards. They've been conducting landscape surveys since late 2025.'</w:t>
      </w:r>
    </w:p>
    <w:p>
      <w:pPr>
        <w:pStyle w:val="ListParagraph"/>
        <w:numPr>
          <w:ilvl w:val="0"/>
          <w:numId w:val="2"/>
        </w:numPr>
        <w:spacing w:after="80"/>
      </w:pPr>
      <w:r>
        <w:rPr>
          <w:sz w:val="22"/>
          <w:szCs w:val="22"/>
        </w:rPr>
        <w:t xml:space="preserve">Process recommendation: 'If you're moving to a transaction, run a structured auction with 4–6 qualified parties. Bilateral deals in this market consistently leave 15–25% on the table.'</w:t>
      </w:r>
    </w:p>
    <w:p>
      <w:pPr>
        <w:pStyle w:val="ListParagraph"/>
        <w:numPr>
          <w:ilvl w:val="0"/>
          <w:numId w:val="2"/>
        </w:numPr>
        <w:spacing w:after="80"/>
      </w:pPr>
      <w:r>
        <w:rPr>
          <w:sz w:val="22"/>
          <w:szCs w:val="22"/>
        </w:rPr>
        <w:t xml:space="preserve">Anti-dilution provisions in Series A: 'I've seen this create real problems in African fintech exits. Get specific legal analysis before you price a deal.'</w:t>
      </w:r>
    </w:p>
    <w:p>
      <w:r>
        <w:t xml:space="preserve"/>
      </w:r>
    </w:p>
    <w:p>
      <w:pPr>
        <w:pStyle w:val="Heading1"/>
      </w:pPr>
      <w:r>
        <w:rPr>
          <w:b/>
          <w:bCs/>
          <w:color w:val="1F4E79"/>
          <w:sz w:val="28"/>
          <w:szCs w:val="28"/>
        </w:rPr>
        <w:t xml:space="preserve">Summary: Recurring Themes Across Interviews</w:t>
      </w:r>
    </w:p>
    <w:p>
      <w:pPr>
        <w:pStyle w:val="ListParagraph"/>
        <w:numPr>
          <w:ilvl w:val="0"/>
          <w:numId w:val="2"/>
        </w:numPr>
        <w:spacing w:after="80"/>
      </w:pPr>
      <w:r>
        <w:rPr>
          <w:sz w:val="22"/>
          <w:szCs w:val="22"/>
        </w:rPr>
        <w:t xml:space="preserve">Product differentiation is real and recognised by customers and competitors alike</w:t>
      </w:r>
    </w:p>
    <w:p>
      <w:pPr>
        <w:pStyle w:val="ListParagraph"/>
        <w:numPr>
          <w:ilvl w:val="0"/>
          <w:numId w:val="2"/>
        </w:numPr>
        <w:spacing w:after="80"/>
      </w:pPr>
      <w:r>
        <w:rPr>
          <w:sz w:val="22"/>
          <w:szCs w:val="22"/>
        </w:rPr>
        <w:t xml:space="preserve">CTO retention is the single most frequently raised risk (4 of 6 interviewees)</w:t>
      </w:r>
    </w:p>
    <w:p>
      <w:pPr>
        <w:pStyle w:val="ListParagraph"/>
        <w:numPr>
          <w:ilvl w:val="0"/>
          <w:numId w:val="2"/>
        </w:numPr>
        <w:spacing w:after="80"/>
      </w:pPr>
      <w:r>
        <w:rPr>
          <w:sz w:val="22"/>
          <w:szCs w:val="22"/>
        </w:rPr>
        <w:t xml:space="preserve">Dashboard / reporting product gap is a genuine client pain point — product roadmap risk</w:t>
      </w:r>
    </w:p>
    <w:p>
      <w:pPr>
        <w:pStyle w:val="ListParagraph"/>
        <w:numPr>
          <w:ilvl w:val="0"/>
          <w:numId w:val="2"/>
        </w:numPr>
        <w:spacing w:after="80"/>
      </w:pPr>
      <w:r>
        <w:rPr>
          <w:sz w:val="22"/>
          <w:szCs w:val="22"/>
        </w:rPr>
        <w:t xml:space="preserve">Regulatory licensing model (3 own + 6 partner) requires careful due diligence</w:t>
      </w:r>
    </w:p>
    <w:p>
      <w:pPr>
        <w:pStyle w:val="ListParagraph"/>
        <w:numPr>
          <w:ilvl w:val="0"/>
          <w:numId w:val="2"/>
        </w:numPr>
        <w:spacing w:after="80"/>
      </w:pPr>
      <w:r>
        <w:rPr>
          <w:sz w:val="22"/>
          <w:szCs w:val="22"/>
        </w:rPr>
        <w:t xml:space="preserve">Exit environment is favourable but timing-sensitive — global acquirer interest is active now</w:t>
      </w:r>
    </w:p>
    <w:p>
      <w:r>
        <w:t xml:space="preserve"/>
      </w:r>
    </w:p>
    <w:p>
      <w:pPr>
        <w:spacing w:after="120"/>
      </w:pPr>
      <w:r>
        <w:rPr>
          <w:i/>
          <w:iCs/>
          <w:color w:val="808080"/>
          <w:sz w:val="22"/>
          <w:szCs w:val="22"/>
        </w:rPr>
        <w:t xml:space="preserve">— END OF INTERVIEW NOTES — PROJECT HORIZON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2026-03-17T02:39:06.965Z</dcterms:created>
  <dcterms:modified xsi:type="dcterms:W3CDTF">2026-03-17T02:39:06.965Z</dcterms:modified>
</cp:coreProperties>
</file>

<file path=docProps/custom.xml><?xml version="1.0" encoding="utf-8"?>
<Properties xmlns="http://schemas.openxmlformats.org/officeDocument/2006/custom-properties" xmlns:vt="http://schemas.openxmlformats.org/officeDocument/2006/docPropsVTypes"/>
</file>