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INVESTMENT COMMITTEE MEMORANDUM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 Horizon — Preliminary Assessment</w:t>
      </w:r>
    </w:p>
    <w:p>
      <w:pPr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Prepared by: Deal Team  |  IC Meeting: 20 March 2026  |  CONFIDENTIAL — COMMITTEE ONLY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1. Recommendation</w:t>
      </w:r>
    </w:p>
    <w:p>
      <w:pPr>
        <w:spacing w:after="120"/>
      </w:pPr>
      <w:r>
        <w:rPr>
          <w:sz w:val="22"/>
          <w:szCs w:val="22"/>
        </w:rPr>
        <w:t xml:space="preserve">The deal team recommends proceeding to Phase 2 due diligence for a potential minority growth investment in VaultPay Technologies (Pty) Ltd. The proposed ticket size is $15–20mn for an 8–12% equity stake, implying a pre-money valuation of $160–210mn.</w:t>
      </w:r>
    </w:p>
    <w:p>
      <w:pPr>
        <w:spacing w:after="120"/>
      </w:pPr>
      <w:r>
        <w:rPr>
          <w:sz w:val="22"/>
          <w:szCs w:val="22"/>
        </w:rPr>
        <w:t xml:space="preserve">This recommendation is conditional on satisfactory resolution of three open items identified during primary research: (i) CTO retention assurance, (ii) regulatory licensing audit for the 6 partner-model markets, and (iii) independent code review of the KYC compliance module.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2. Investment Thesis</w:t>
      </w:r>
    </w:p>
    <w:p>
      <w:pPr>
        <w:spacing w:after="120"/>
      </w:pPr>
      <w:r>
        <w:rPr>
          <w:sz w:val="22"/>
          <w:szCs w:val="22"/>
        </w:rPr>
        <w:t xml:space="preserve">VaultPay represents a compelling opportunity to acquire a minority position in the leading B2B payments infrastructure platform for African mid-market corporates, at an inflection point ahead of: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SADC payment interoperability (2027): Would immediately expand addressable market by 40% without incremental sales effort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Nigeria Open Banking mandate (Q2 2026): VaultPay's existing ERP integrations position it favourably vs new entrants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Trade sale exit within 24–36 months: Active global acquirer interest and favourable M&amp;A conditions</w:t>
      </w:r>
    </w:p>
    <w:p>
      <w:pPr>
        <w:pStyle w:val="Heading2"/>
      </w:pPr>
      <w:r>
        <w:rPr>
          <w:b/>
          <w:bCs/>
          <w:color w:val="2E75B6"/>
          <w:sz w:val="24"/>
          <w:szCs w:val="24"/>
        </w:rPr>
        <w:t xml:space="preserve">2.1 Why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Company is 12–18 months from EBITDA breakeven — minority investment at pre-profitability valuation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Current investors (Partech, Naspers) signalling willingness to accept a new investor to reduce concentration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Two identified stealth competitors are 12–18 months from market — window for pre-competitive positioning is closing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3. Valuation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FY2028E ARR ($mn)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Exit Multiple (ARR)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 Value ($mn)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1,136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 Debt Adjustment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($8mn)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($8mn)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($8mn)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Equity Value ($mn)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1,128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Implied Return (10% stake)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1.5x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3.1x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5.6x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IRR (3-year hold)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78%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4. Key Conditions Precedent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Satisfactory Phase 2 diligence including independent technical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CTO retention package: Deal team to propose a 3-year lock-up via equity grant as a closing condition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Regulatory licensing opinion from qualified African payment law firm for all 9 markets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Audited FY2025 accounts (currently management accounts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Cap table clean-up: Legal confirmation that Series A anti-dilution provisions do not apply to this transaction structure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28"/>
          <w:szCs w:val="28"/>
        </w:rPr>
        <w:t xml:space="preserve">5. Open Issues for IC Discussion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Pricing tension: Management asking $210mn pre-money; our base case supports $170–190mn. Negotiation strategy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Board seat: Should we require a board observer seat vs. a full board seat? Impacts negotiations.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Co-investor: Opportunity to bring in a strategic co-investor (development finance institution) to strengthen regulatory positioning in restricted markets.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Timing: Management has indicated another term sheet is expected by end of March. Deadline pressure may be real or manufactured — recommend verification.</w:t>
      </w:r>
    </w:p>
    <w:p>
      <w: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DEAL TEAM: Recommend IC approval to proceed to Phase 2 with a revised term sheet reflecting $175mn pre-money valuation and board observer rights.</w:t>
      </w:r>
    </w:p>
    <w:p>
      <w:r>
        <w:t xml:space="preserve"/>
      </w:r>
    </w:p>
    <w:p>
      <w:pPr>
        <w:spacing w:after="120"/>
      </w:pPr>
      <w:r>
        <w:rPr>
          <w:i/>
          <w:iCs/>
          <w:color w:val="808080"/>
          <w:sz w:val="22"/>
          <w:szCs w:val="22"/>
        </w:rPr>
        <w:t xml:space="preserve">— END OF IC MEMO — CONFIDENTIAL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2026-03-17T02:39:06.969Z</dcterms:created>
  <dcterms:modified xsi:type="dcterms:W3CDTF">2026-03-17T02:39:06.969Z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