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40"/>
      </w:pPr>
      <w:r>
        <w:rPr>
          <w:rFonts w:ascii="Aptos Display" w:hAnsi="Aptos Display"/>
          <w:b/>
          <w:color w:val="294638"/>
          <w:sz w:val="42"/>
        </w:rPr>
        <w:t>Design and Implementation of a</w:t>
        <w:br/>
        <w:t>Role-Based Two-Factor Login System</w:t>
      </w:r>
    </w:p>
    <w:p>
      <w:pPr>
        <w:spacing w:after="40"/>
      </w:pPr>
      <w:r>
        <w:rPr>
          <w:color w:val="68766D"/>
          <w:sz w:val="16"/>
        </w:rPr>
        <w:t>PROJECT  Cocoa Field Station     |     COURSE  Information Security     |     DATE  7 October 2026</w:t>
      </w:r>
    </w:p>
    <w:p>
      <w:pPr>
        <w:spacing w:after="160"/>
      </w:pPr>
      <w:r>
        <w:rPr>
          <w:b/>
          <w:color w:val="68766D"/>
          <w:sz w:val="16"/>
        </w:rPr>
        <w:t>PREPARED BY  ____________________________________</w:t>
      </w:r>
    </w:p>
    <w:p>
      <w:pPr>
        <w:pStyle w:val="Heading1"/>
      </w:pPr>
      <w:r>
        <w:t>1. Purpose and system overview</w:t>
      </w:r>
    </w:p>
    <w:p>
      <w:r>
        <w:t>This practical project implements authentication and access control for a cocoa field-record application. Its aims are to identify each account, verify identity with two factors, restrict actions by role, protect password records, and control access to local databases. Two independent clients are provided: a Streamlit web application and an Expo React Native application. They do not share a database or login session.</w:t>
      </w:r>
    </w:p>
    <w:p>
      <w:r>
        <w:t>The Streamlit client runs with streamlit run app.py. Google OpenID Connect verifies the account and Google Authenticator TOTP supplies the second factor. Account and TOTP-enrollment records reside in a local SQLite file. Google retains and verifies the Google password, so Streamlit never receives or stores it. The Expo client communicates over JSON with a PHP API hosted by Apache in XAMPP; MySQL stores its account, challenge, session, plot, and audit data.</w:t>
      </w:r>
    </w:p>
    <w:p>
      <w:pPr>
        <w:pStyle w:val="Heading1"/>
      </w:pPr>
      <w:r>
        <w:t>2. Identification and authentication</w:t>
      </w:r>
    </w:p>
    <w:p>
      <w:r>
        <w:t>Streamlit identifies a user by Google's stable subject and verified email. Expo also supports local accounts identified by normalized email. Its Google option verifies Google's signed ID token on the PHP server and uses the token subject as the external identity. Neither client collects a Google password.</w:t>
      </w:r>
    </w:p>
    <w:p>
      <w:r>
        <w:t>After sign-in, users enroll in or enter a time-based one-time password (TOTP). Enrollment displays a QR code and manual key for Google Authenticator or a compatible app. A six-digit code is checked for the current time step and a small clock-skew window. Expo challenges expire after ten minutes and allow up to five attempts. Successful Expo authentication creates a time-limited bearer session; MySQL stores only its SHA-256 digest. Logout revokes the token. Streamlit encrypts its TOTP secret before saving it in SQLite; its cookie secret must remain private and stable.</w:t>
      </w:r>
    </w:p>
    <w:p>
      <w:pPr>
        <w:pStyle w:val="Heading1"/>
      </w:pPr>
      <w:r>
        <w:t>3. Password storage and database protection</w:t>
      </w:r>
    </w:p>
    <w:p>
      <w:r>
        <w:t>For Expo password accounts, PHP password_hash with PASSWORD_ARGON2ID generates a unique random salt and stores the salt, algorithm, and cost metadata with each hash. A private server-side pepper is added before hashing. Login uses password_verify; plaintext passwords are never stored. Google-only accounts receive a random unusable local hash, not the user's Google password. The pepper is held in the untracked XAMPP backend/config.php, outside the mobile client.</w:t>
      </w:r>
    </w:p>
    <w:p>
      <w:r>
        <w:t>The API uses PDO parameterized statements with emulated prepares disabled. Its MySQL login is limited to SELECT, INSERT, UPDATE, and DELETE on cocoa_security; an administrator applies schema changes once through phpMyAdmin. Streamlit uses local SQLite, while the hosted Streamlit database remains separate from XAMPP. Once installed, both local databases work without a cloud database service, although Google sign-in requires internet access. Local database files are not encrypted at rest, so operating-system access controls and protected backups are required.</w:t>
      </w:r>
    </w:p>
    <w:p>
      <w:pPr>
        <w:pStyle w:val="Heading1"/>
      </w:pPr>
      <w:r>
        <w:t>4. Frontend, backend, and data flow</w:t>
      </w:r>
    </w:p>
    <w:p>
      <w:r>
        <w:t>The frontends are Streamlit (web) and Expo/React Native (mobile and web). The Expo backend is PHP 8.1 or later with MySQL; Apache and MySQL run locally through XAMPP. Plot observations are shared among authorized users within each app's own database, and each new row records who entered it. Recommendations remain human-reviewed; sample weather and thresholds are illustrative, not agronomic advice.</w:t>
      </w:r>
    </w:p>
    <w:p>
      <w:pPr>
        <w:spacing w:before="100"/>
        <w:jc w:val="center"/>
      </w:pPr>
      <w:r>
        <w:rPr>
          <w:b/>
          <w:color w:val="294638"/>
          <w:sz w:val="16"/>
        </w:rPr>
        <w:t>USER  ?  STREAMLIT OR EXPO  ?  IDENTITY + TOTP  ?  ROLE CHECK  ?  SQLITE OR PHP/PDO + MYSQL</w:t>
      </w:r>
    </w:p>
    <w:p>
      <w:r>
        <w:br w:type="page"/>
      </w:r>
    </w:p>
    <w:p>
      <w:pPr>
        <w:pStyle w:val="Heading1"/>
      </w:pPr>
      <w:r>
        <w:t>5. Role authorization and access balance</w:t>
      </w:r>
    </w:p>
    <w:p>
      <w:r>
        <w:t>Authorization is enforced in protected application functions and, for Expo, again by the PHP API on every protected request. Hiding an unavailable button improves clarity but is not treated as a security boundary. Public registration always creates the least-privileged inputer role. Trusted operators assign elevated roles through Streamlit Secrets or local database administration.</w:t>
      </w:r>
    </w:p>
    <w:tbl>
      <w:tblPr>
        <w:tblStyle w:val="LightShading-Accent1"/>
        <w:tblW w:type="auto" w:w="0"/>
        <w:jc w:val="center"/>
        <w:tblLook w:firstColumn="1" w:firstRow="1" w:lastColumn="0" w:lastRow="0" w:noHBand="0" w:noVBand="1" w:val="04A0"/>
      </w:tblPr>
      <w:tblGrid>
        <w:gridCol w:w="2494"/>
        <w:gridCol w:w="2494"/>
        <w:gridCol w:w="2494"/>
        <w:gridCol w:w="2494"/>
      </w:tblGrid>
      <w:tr>
        <w:trPr>
          <w:cantSplit/>
        </w:trPr>
        <w:tc>
          <w:tcPr>
            <w:tcW w:type="dxa" w:w="2494"/>
            <w:vAlign w:val="center"/>
          </w:tcPr>
          <w:p>
            <w:r>
              <w:rPr>
                <w:b/>
                <w:color w:val="294638"/>
                <w:sz w:val="16"/>
              </w:rPr>
              <w:t>Role</w:t>
            </w:r>
          </w:p>
        </w:tc>
        <w:tc>
          <w:tcPr>
            <w:tcW w:type="dxa" w:w="2494"/>
            <w:vAlign w:val="center"/>
          </w:tcPr>
          <w:p>
            <w:r>
              <w:rPr>
                <w:b/>
                <w:color w:val="294638"/>
                <w:sz w:val="16"/>
              </w:rPr>
              <w:t>Enter observations</w:t>
            </w:r>
          </w:p>
        </w:tc>
        <w:tc>
          <w:tcPr>
            <w:tcW w:type="dxa" w:w="2494"/>
            <w:vAlign w:val="center"/>
          </w:tcPr>
          <w:p>
            <w:r>
              <w:rPr>
                <w:b/>
                <w:color w:val="294638"/>
                <w:sz w:val="16"/>
              </w:rPr>
              <w:t>Add inputers</w:t>
            </w:r>
          </w:p>
        </w:tc>
        <w:tc>
          <w:tcPr>
            <w:tcW w:type="dxa" w:w="2494"/>
            <w:vAlign w:val="center"/>
          </w:tcPr>
          <w:p>
            <w:r>
              <w:rPr>
                <w:b/>
                <w:color w:val="294638"/>
                <w:sz w:val="16"/>
              </w:rPr>
              <w:t>Remove inputers</w:t>
            </w:r>
          </w:p>
        </w:tc>
      </w:tr>
      <w:tr>
        <w:trPr>
          <w:cantSplit/>
        </w:trPr>
        <w:tc>
          <w:tcPr>
            <w:tcW w:type="dxa" w:w="2494"/>
            <w:vAlign w:val="center"/>
          </w:tcPr>
          <w:p>
            <w:pPr>
              <w:spacing w:after="20"/>
            </w:pPr>
            <w:r>
              <w:rPr>
                <w:sz w:val="17"/>
              </w:rPr>
              <w:t>Inputer</w:t>
            </w:r>
          </w:p>
        </w:tc>
        <w:tc>
          <w:tcPr>
            <w:tcW w:type="dxa" w:w="2494"/>
            <w:vAlign w:val="center"/>
          </w:tcPr>
          <w:p>
            <w:pPr>
              <w:spacing w:after="20"/>
            </w:pPr>
            <w:r>
              <w:rPr>
                <w:sz w:val="17"/>
              </w:rPr>
              <w:t>Yes</w:t>
            </w:r>
          </w:p>
        </w:tc>
        <w:tc>
          <w:tcPr>
            <w:tcW w:type="dxa" w:w="2494"/>
            <w:vAlign w:val="center"/>
          </w:tcPr>
          <w:p>
            <w:pPr>
              <w:spacing w:after="20"/>
            </w:pPr>
            <w:r>
              <w:rPr>
                <w:sz w:val="17"/>
              </w:rPr>
              <w:t>No</w:t>
            </w:r>
          </w:p>
        </w:tc>
        <w:tc>
          <w:tcPr>
            <w:tcW w:type="dxa" w:w="2494"/>
            <w:vAlign w:val="center"/>
          </w:tcPr>
          <w:p>
            <w:pPr>
              <w:spacing w:after="20"/>
            </w:pPr>
            <w:r>
              <w:rPr>
                <w:sz w:val="17"/>
              </w:rPr>
              <w:t>No</w:t>
            </w:r>
          </w:p>
        </w:tc>
      </w:tr>
      <w:tr>
        <w:trPr>
          <w:cantSplit/>
        </w:trPr>
        <w:tc>
          <w:tcPr>
            <w:tcW w:type="dxa" w:w="2494"/>
            <w:vAlign w:val="center"/>
          </w:tcPr>
          <w:p>
            <w:pPr>
              <w:spacing w:after="20"/>
            </w:pPr>
            <w:r>
              <w:rPr>
                <w:sz w:val="17"/>
              </w:rPr>
              <w:t>Manager</w:t>
            </w:r>
          </w:p>
        </w:tc>
        <w:tc>
          <w:tcPr>
            <w:tcW w:type="dxa" w:w="2494"/>
            <w:vAlign w:val="center"/>
          </w:tcPr>
          <w:p>
            <w:pPr>
              <w:spacing w:after="20"/>
            </w:pPr>
            <w:r>
              <w:rPr>
                <w:sz w:val="17"/>
              </w:rPr>
              <w:t>Yes</w:t>
            </w:r>
          </w:p>
        </w:tc>
        <w:tc>
          <w:tcPr>
            <w:tcW w:type="dxa" w:w="2494"/>
            <w:vAlign w:val="center"/>
          </w:tcPr>
          <w:p>
            <w:pPr>
              <w:spacing w:after="20"/>
            </w:pPr>
            <w:r>
              <w:rPr>
                <w:sz w:val="17"/>
              </w:rPr>
              <w:t>Yes</w:t>
            </w:r>
          </w:p>
        </w:tc>
        <w:tc>
          <w:tcPr>
            <w:tcW w:type="dxa" w:w="2494"/>
            <w:vAlign w:val="center"/>
          </w:tcPr>
          <w:p>
            <w:pPr>
              <w:spacing w:after="20"/>
            </w:pPr>
            <w:r>
              <w:rPr>
                <w:sz w:val="17"/>
              </w:rPr>
              <w:t>No</w:t>
            </w:r>
          </w:p>
        </w:tc>
      </w:tr>
      <w:tr>
        <w:trPr>
          <w:cantSplit/>
        </w:trPr>
        <w:tc>
          <w:tcPr>
            <w:tcW w:type="dxa" w:w="2494"/>
            <w:vAlign w:val="center"/>
          </w:tcPr>
          <w:p>
            <w:pPr>
              <w:spacing w:after="20"/>
            </w:pPr>
            <w:r>
              <w:rPr>
                <w:sz w:val="17"/>
              </w:rPr>
              <w:t>Admin</w:t>
            </w:r>
          </w:p>
        </w:tc>
        <w:tc>
          <w:tcPr>
            <w:tcW w:type="dxa" w:w="2494"/>
            <w:vAlign w:val="center"/>
          </w:tcPr>
          <w:p>
            <w:pPr>
              <w:spacing w:after="20"/>
            </w:pPr>
            <w:r>
              <w:rPr>
                <w:sz w:val="17"/>
              </w:rPr>
              <w:t>No</w:t>
            </w:r>
          </w:p>
        </w:tc>
        <w:tc>
          <w:tcPr>
            <w:tcW w:type="dxa" w:w="2494"/>
            <w:vAlign w:val="center"/>
          </w:tcPr>
          <w:p>
            <w:pPr>
              <w:spacing w:after="20"/>
            </w:pPr>
            <w:r>
              <w:rPr>
                <w:sz w:val="17"/>
              </w:rPr>
              <w:t>No</w:t>
            </w:r>
          </w:p>
        </w:tc>
        <w:tc>
          <w:tcPr>
            <w:tcW w:type="dxa" w:w="2494"/>
            <w:vAlign w:val="center"/>
          </w:tcPr>
          <w:p>
            <w:pPr>
              <w:spacing w:after="20"/>
            </w:pPr>
            <w:r>
              <w:rPr>
                <w:sz w:val="17"/>
              </w:rPr>
              <w:t>Yes</w:t>
            </w:r>
          </w:p>
        </w:tc>
      </w:tr>
      <w:tr>
        <w:trPr>
          <w:cantSplit/>
        </w:trPr>
        <w:tc>
          <w:tcPr>
            <w:tcW w:type="dxa" w:w="2494"/>
            <w:vAlign w:val="center"/>
          </w:tcPr>
          <w:p>
            <w:pPr>
              <w:spacing w:after="20"/>
            </w:pPr>
            <w:r>
              <w:rPr>
                <w:sz w:val="17"/>
              </w:rPr>
              <w:t>Administrator</w:t>
            </w:r>
          </w:p>
        </w:tc>
        <w:tc>
          <w:tcPr>
            <w:tcW w:type="dxa" w:w="2494"/>
            <w:vAlign w:val="center"/>
          </w:tcPr>
          <w:p>
            <w:pPr>
              <w:spacing w:after="20"/>
            </w:pPr>
            <w:r>
              <w:rPr>
                <w:sz w:val="17"/>
              </w:rPr>
              <w:t>Yes</w:t>
            </w:r>
          </w:p>
        </w:tc>
        <w:tc>
          <w:tcPr>
            <w:tcW w:type="dxa" w:w="2494"/>
            <w:vAlign w:val="center"/>
          </w:tcPr>
          <w:p>
            <w:pPr>
              <w:spacing w:after="20"/>
            </w:pPr>
            <w:r>
              <w:rPr>
                <w:sz w:val="17"/>
              </w:rPr>
              <w:t>Yes</w:t>
            </w:r>
          </w:p>
        </w:tc>
        <w:tc>
          <w:tcPr>
            <w:tcW w:type="dxa" w:w="2494"/>
            <w:vAlign w:val="center"/>
          </w:tcPr>
          <w:p>
            <w:pPr>
              <w:spacing w:after="20"/>
            </w:pPr>
            <w:r>
              <w:rPr>
                <w:sz w:val="17"/>
              </w:rPr>
              <w:t>Yes</w:t>
            </w:r>
          </w:p>
        </w:tc>
      </w:tr>
    </w:tbl>
    <w:p>
      <w:r>
        <w:t>Managers invite an inputer by name and email; the person activates access by registering with that same identity. Admins can remove only inputer accounts, never privileged roles. Expo deactivates the account and revokes sessions while retaining field history. Streamlit removes the account and blocks its Google identity until an invitation is issued again. This division limits account-management power while allowing field staff to record conditions.</w:t>
      </w:r>
    </w:p>
    <w:p>
      <w:pPr>
        <w:pStyle w:val="Heading1"/>
      </w:pPr>
      <w:r>
        <w:t>6. Implementation status and limitations</w:t>
      </w:r>
    </w:p>
    <w:p>
      <w:r>
        <w:t>The required identification, two-factor authentication, four roles, salted/peppered password hashing (for Expo password accounts), frontends, separate databases, protected database credentials, local servers, and human-readable permission boundaries are implemented. A migration script updates an existing XAMPP database; fresh installations use the complete schema.</w:t>
      </w:r>
    </w:p>
    <w:p>
      <w:r>
        <w:t>This is a local coursework prototype. XAMPP uses HTTP and should remain on localhost or a trusted private LAN. Public deployment requires HTTPS, deployment-specific allowed origins, rate limiting, secure backups and recovery, and a durable hosted database. Streamlit Community Cloud does not connect to local XAMPP MySQL. TOTP reduces password-only risk but does not replace device protection, access reviews, or recovery controls.</w:t>
      </w:r>
    </w:p>
    <w:p>
      <w:r>
        <w:t>Static verification performed: Python syntax compilation, PHP syntax lint, Expo web export, and Git whitespace checks. The test suite passed all 5 tests. Simulated field conditions and sample decision thresholds require independent agronomy review before operational use.</w:t>
      </w:r>
    </w:p>
    <w:sectPr w:rsidR="00FC693F" w:rsidRPr="0006063C" w:rsidSect="00034616">
      <w:headerReference w:type="default" r:id="rId9"/>
      <w:footerReference w:type="default" r:id="rId10"/>
      <w:pgSz w:w="11906" w:h="16838"/>
      <w:pgMar w:top="794" w:right="964" w:bottom="794" w:left="96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8766D"/>
        <w:sz w:val="15"/>
      </w:rPr>
      <w:t xml:space="preserve">COURSEWORK IMPLEMENTATION REPORT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294638"/>
        <w:sz w:val="15"/>
      </w:rPr>
      <w:t>COCOA FIELD STATION  |  INFORMATION SECURITY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5" w:lineRule="auto"/>
    </w:pPr>
    <w:rPr>
      <w:rFonts w:ascii="Aptos" w:hAnsi="Aptos"/>
      <w:color w:val="26352D"/>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Display" w:hAnsi="Aptos Display"/>
      <w:b/>
      <w:bCs/>
      <w:color w:val="294638"/>
      <w:sz w:val="25"/>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Display" w:hAnsi="Aptos Display"/>
      <w:b/>
      <w:bCs/>
      <w:color w:val="294638"/>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