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83E27" w14:textId="4B7D4F3B" w:rsidR="00000000" w:rsidRDefault="00CD2232">
      <w:pPr>
        <w:jc w:val="center"/>
        <w:rPr>
          <w:rFonts w:hint="eastAsia"/>
          <w:b/>
          <w:color w:val="000000"/>
          <w:sz w:val="32"/>
          <w:szCs w:val="32"/>
        </w:rPr>
      </w:pPr>
      <w:r>
        <w:rPr>
          <w:rFonts w:ascii="Times New Roman" w:eastAsia="楷体" w:hAnsi="楷体" w:cs="楷体"/>
          <w:noProof/>
          <w:color w:val="000000"/>
          <w:sz w:val="20"/>
          <w:szCs w:val="32"/>
          <w:lang w:val="zh-CN" w:bidi="zh-CN"/>
        </w:rPr>
        <w:drawing>
          <wp:anchor distT="0" distB="0" distL="0" distR="0" simplePos="0" relativeHeight="251657728" behindDoc="0" locked="0" layoutInCell="1" allowOverlap="1" wp14:anchorId="78420637" wp14:editId="151115C8">
            <wp:simplePos x="0" y="0"/>
            <wp:positionH relativeFrom="column">
              <wp:posOffset>861060</wp:posOffset>
            </wp:positionH>
            <wp:positionV relativeFrom="paragraph">
              <wp:posOffset>38735</wp:posOffset>
            </wp:positionV>
            <wp:extent cx="3197860" cy="633730"/>
            <wp:effectExtent l="0" t="0" r="0" b="0"/>
            <wp:wrapSquare wrapText="bothSides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6542B9" w14:textId="77777777" w:rsidR="00000000" w:rsidRDefault="00000000">
      <w:pPr>
        <w:spacing w:line="720" w:lineRule="auto"/>
        <w:jc w:val="center"/>
        <w:rPr>
          <w:rFonts w:hint="eastAsia"/>
          <w:color w:val="000000"/>
          <w:sz w:val="44"/>
          <w:szCs w:val="44"/>
        </w:rPr>
      </w:pPr>
    </w:p>
    <w:p w14:paraId="2BBD83E8" w14:textId="77777777" w:rsidR="00000000" w:rsidRDefault="00000000">
      <w:pPr>
        <w:widowControl/>
        <w:jc w:val="center"/>
        <w:rPr>
          <w:rFonts w:ascii="华文中宋" w:eastAsia="华文中宋" w:hAnsi="等线"/>
          <w:color w:val="000000"/>
          <w:sz w:val="36"/>
          <w:szCs w:val="36"/>
        </w:rPr>
      </w:pPr>
      <w:r>
        <w:rPr>
          <w:rFonts w:ascii="华文中宋" w:eastAsia="华文中宋" w:hAnsi="等线" w:hint="eastAsia"/>
          <w:color w:val="000000"/>
          <w:sz w:val="36"/>
          <w:szCs w:val="36"/>
        </w:rPr>
        <w:t>《习近平新时代中国特色社会主义思想概论》</w:t>
      </w:r>
    </w:p>
    <w:p w14:paraId="207A26D0" w14:textId="77777777" w:rsidR="00000000" w:rsidRDefault="00000000">
      <w:pPr>
        <w:widowControl/>
        <w:jc w:val="center"/>
        <w:rPr>
          <w:rFonts w:ascii="华文中宋" w:eastAsia="华文中宋" w:hAnsi="等线"/>
          <w:color w:val="000000"/>
          <w:sz w:val="56"/>
        </w:rPr>
      </w:pPr>
      <w:r>
        <w:rPr>
          <w:rFonts w:ascii="华文中宋" w:eastAsia="华文中宋" w:hAnsi="等线" w:hint="eastAsia"/>
          <w:color w:val="000000"/>
          <w:sz w:val="56"/>
        </w:rPr>
        <w:t>研读经典报告</w:t>
      </w:r>
    </w:p>
    <w:p w14:paraId="092FB0A3" w14:textId="77777777" w:rsidR="00000000" w:rsidRDefault="00000000">
      <w:pPr>
        <w:rPr>
          <w:rFonts w:hint="eastAsia"/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 xml:space="preserve">                                 </w:t>
      </w:r>
    </w:p>
    <w:p w14:paraId="0598241A" w14:textId="77777777" w:rsidR="00000000" w:rsidRDefault="00000000">
      <w:pPr>
        <w:rPr>
          <w:rFonts w:hint="eastAsia"/>
          <w:color w:val="000000"/>
          <w:sz w:val="36"/>
          <w:szCs w:val="36"/>
        </w:rPr>
      </w:pPr>
      <w:r>
        <w:rPr>
          <w:rFonts w:hint="eastAsia"/>
          <w:color w:val="000000"/>
          <w:sz w:val="32"/>
          <w:szCs w:val="32"/>
        </w:rPr>
        <w:t>研学题目：</w:t>
      </w:r>
      <w:r>
        <w:rPr>
          <w:rFonts w:hint="eastAsia"/>
          <w:color w:val="000000"/>
          <w:sz w:val="32"/>
          <w:szCs w:val="32"/>
          <w:u w:val="single"/>
        </w:rPr>
        <w:t xml:space="preserve"> </w:t>
      </w:r>
      <w:r>
        <w:rPr>
          <w:rFonts w:hint="eastAsia"/>
          <w:color w:val="000000"/>
          <w:sz w:val="36"/>
          <w:szCs w:val="36"/>
          <w:u w:val="single"/>
        </w:rPr>
        <w:t xml:space="preserve">                                       </w:t>
      </w:r>
      <w:r>
        <w:rPr>
          <w:rFonts w:hint="eastAsia"/>
          <w:color w:val="000000"/>
          <w:sz w:val="36"/>
          <w:szCs w:val="36"/>
        </w:rPr>
        <w:t xml:space="preserve"> </w:t>
      </w:r>
    </w:p>
    <w:p w14:paraId="38ADA67A" w14:textId="77777777" w:rsidR="00000000" w:rsidRDefault="00000000">
      <w:pPr>
        <w:rPr>
          <w:rFonts w:hint="eastAsia"/>
          <w:color w:val="000000"/>
          <w:sz w:val="32"/>
          <w:szCs w:val="32"/>
        </w:rPr>
      </w:pPr>
    </w:p>
    <w:p w14:paraId="78D87686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</w:pPr>
      <w:r>
        <w:rPr>
          <w:rFonts w:ascii="宋体" w:hAnsi="楷体" w:cs="楷体" w:hint="eastAsia"/>
          <w:color w:val="000000"/>
          <w:sz w:val="32"/>
          <w:szCs w:val="32"/>
          <w:lang w:bidi="zh-CN"/>
        </w:rPr>
        <w:t>学院</w:t>
      </w:r>
      <w:r>
        <w:rPr>
          <w:rFonts w:ascii="宋体" w:hAnsi="楷体" w:cs="楷体" w:hint="eastAsia"/>
          <w:color w:val="000000"/>
          <w:sz w:val="32"/>
          <w:szCs w:val="32"/>
          <w:lang w:val="zh-CN" w:bidi="zh-CN"/>
        </w:rPr>
        <w:t>专业：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                        </w:t>
      </w:r>
    </w:p>
    <w:p w14:paraId="2347FB93" w14:textId="77777777" w:rsidR="00000000" w:rsidRDefault="00000000">
      <w:pPr>
        <w:rPr>
          <w:rFonts w:hint="eastAsia"/>
          <w:color w:val="000000"/>
          <w:sz w:val="32"/>
          <w:szCs w:val="32"/>
        </w:rPr>
      </w:pPr>
    </w:p>
    <w:p w14:paraId="1B8B0AD9" w14:textId="77777777" w:rsidR="00000000" w:rsidRDefault="00000000">
      <w:pPr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（学号、姓名及分工）</w:t>
      </w:r>
    </w:p>
    <w:p w14:paraId="402BF582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</w:pPr>
      <w:r>
        <w:rPr>
          <w:rFonts w:hint="eastAsia"/>
          <w:color w:val="000000"/>
          <w:sz w:val="32"/>
          <w:szCs w:val="32"/>
        </w:rPr>
        <w:t xml:space="preserve">  </w:t>
      </w:r>
      <w:r>
        <w:rPr>
          <w:rFonts w:ascii="等线" w:eastAsia="等线" w:hAnsi="楷体" w:cs="楷体" w:hint="eastAsia"/>
          <w:color w:val="000000"/>
          <w:sz w:val="32"/>
          <w:szCs w:val="32"/>
          <w:lang w:val="zh-CN" w:bidi="zh-CN"/>
        </w:rPr>
        <w:t>组长：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</w:t>
      </w:r>
    </w:p>
    <w:p w14:paraId="71764B6C" w14:textId="77777777" w:rsidR="00000000" w:rsidRDefault="00000000">
      <w:pPr>
        <w:ind w:firstLineChars="100" w:firstLine="320"/>
        <w:jc w:val="left"/>
        <w:rPr>
          <w:rFonts w:hint="eastAsia"/>
          <w:color w:val="000000"/>
          <w:sz w:val="32"/>
          <w:szCs w:val="32"/>
          <w:u w:val="thick"/>
        </w:rPr>
      </w:pPr>
      <w:r>
        <w:rPr>
          <w:rFonts w:hint="eastAsia"/>
          <w:color w:val="000000"/>
          <w:sz w:val="32"/>
          <w:szCs w:val="32"/>
        </w:rPr>
        <w:t>组员：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                               </w:t>
      </w:r>
    </w:p>
    <w:p w14:paraId="62386E36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</w:pPr>
      <w:r>
        <w:rPr>
          <w:rFonts w:hint="eastAsia"/>
          <w:color w:val="000000"/>
          <w:sz w:val="32"/>
          <w:szCs w:val="32"/>
        </w:rPr>
        <w:t xml:space="preserve">        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                          </w:t>
      </w:r>
    </w:p>
    <w:p w14:paraId="29E8F0C0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</w:pPr>
    </w:p>
    <w:p w14:paraId="6868B523" w14:textId="77777777" w:rsidR="00000000" w:rsidRDefault="00000000">
      <w:pPr>
        <w:tabs>
          <w:tab w:val="left" w:pos="9241"/>
        </w:tabs>
        <w:spacing w:before="64"/>
        <w:rPr>
          <w:rFonts w:hint="eastAsia"/>
          <w:color w:val="000000"/>
          <w:sz w:val="32"/>
          <w:szCs w:val="32"/>
          <w:u w:val="thick"/>
        </w:rPr>
      </w:pPr>
      <w:r>
        <w:rPr>
          <w:rFonts w:hint="eastAsia"/>
          <w:color w:val="000000"/>
          <w:sz w:val="32"/>
          <w:szCs w:val="32"/>
        </w:rPr>
        <w:t xml:space="preserve">  </w:t>
      </w:r>
      <w:r>
        <w:rPr>
          <w:rFonts w:ascii="宋体" w:hAnsi="楷体" w:cs="楷体" w:hint="eastAsia"/>
          <w:color w:val="000000"/>
          <w:w w:val="95"/>
          <w:sz w:val="32"/>
          <w:szCs w:val="32"/>
          <w:lang w:val="zh-CN" w:bidi="zh-CN"/>
        </w:rPr>
        <w:t>指导教</w:t>
      </w:r>
      <w:r>
        <w:rPr>
          <w:rFonts w:ascii="宋体" w:hAnsi="楷体" w:cs="楷体" w:hint="eastAsia"/>
          <w:color w:val="000000"/>
          <w:spacing w:val="3"/>
          <w:w w:val="95"/>
          <w:sz w:val="32"/>
          <w:szCs w:val="32"/>
          <w:lang w:val="zh-CN" w:bidi="zh-CN"/>
        </w:rPr>
        <w:t>师：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</w:t>
      </w:r>
    </w:p>
    <w:p w14:paraId="13F9F32F" w14:textId="77777777" w:rsidR="00000000" w:rsidRDefault="00000000">
      <w:pPr>
        <w:ind w:firstLineChars="100" w:firstLine="320"/>
        <w:jc w:val="left"/>
        <w:rPr>
          <w:rFonts w:hint="eastAsia"/>
          <w:color w:val="000000"/>
          <w:sz w:val="32"/>
          <w:szCs w:val="32"/>
          <w:u w:val="thick"/>
        </w:rPr>
      </w:pPr>
      <w:r>
        <w:rPr>
          <w:rFonts w:ascii="宋体" w:hAnsi="宋体" w:cs="宋体" w:hint="eastAsia"/>
          <w:color w:val="000000"/>
          <w:sz w:val="32"/>
          <w:szCs w:val="32"/>
        </w:rPr>
        <w:t>完成日期：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</w:t>
      </w:r>
    </w:p>
    <w:p w14:paraId="76F30206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</w:pPr>
    </w:p>
    <w:p w14:paraId="63A1A9F9" w14:textId="77777777" w:rsidR="00000000" w:rsidRDefault="00000000">
      <w:pPr>
        <w:ind w:firstLineChars="800" w:firstLine="2560"/>
        <w:rPr>
          <w:rFonts w:hint="eastAsia"/>
          <w:color w:val="000000"/>
        </w:rPr>
      </w:pPr>
      <w:r>
        <w:rPr>
          <w:rFonts w:hint="eastAsia"/>
          <w:color w:val="000000"/>
          <w:sz w:val="32"/>
          <w:szCs w:val="32"/>
        </w:rPr>
        <w:t>成绩</w:t>
      </w:r>
      <w:r>
        <w:rPr>
          <w:rFonts w:hint="eastAsia"/>
          <w:color w:val="000000"/>
          <w:sz w:val="32"/>
          <w:szCs w:val="32"/>
          <w:u w:val="thick"/>
        </w:rPr>
        <w:t xml:space="preserve">                      </w:t>
      </w:r>
    </w:p>
    <w:p w14:paraId="4C0290CB" w14:textId="77777777" w:rsidR="00000000" w:rsidRDefault="00000000">
      <w:pPr>
        <w:jc w:val="left"/>
        <w:rPr>
          <w:rFonts w:hint="eastAsia"/>
          <w:color w:val="000000"/>
          <w:sz w:val="32"/>
          <w:szCs w:val="32"/>
          <w:u w:val="thick"/>
        </w:rPr>
        <w:sectPr w:rsidR="00000000">
          <w:footerReference w:type="default" r:id="rId11"/>
          <w:pgSz w:w="11906" w:h="16838"/>
          <w:pgMar w:top="1701" w:right="1417" w:bottom="1417" w:left="1701" w:header="851" w:footer="992" w:gutter="0"/>
          <w:cols w:space="720"/>
          <w:docGrid w:type="lines" w:linePitch="312"/>
        </w:sectPr>
      </w:pPr>
    </w:p>
    <w:p>
      <w:pPr>
        <w:spacing w:before="0" w:after="280" w:line="300" w:lineRule="auto"/>
        <w:jc w:val="center"/>
      </w:pPr>
      <w:r>
        <w:rPr>
          <w:rFonts w:ascii="宋体" w:hAnsi="宋体" w:eastAsia="宋体"/>
          <w:b/>
          <w:sz w:val="30"/>
        </w:rPr>
        <w:t>良好生态环境是最普惠的民生福祉——基于三篇经典文献的研读报告</w:t>
      </w:r>
    </w:p>
    <w:p>
      <w:pPr>
        <w:spacing w:line="300" w:lineRule="auto" w:after="80"/>
      </w:pPr>
      <w:r>
        <w:rPr>
          <w:rFonts w:ascii="宋体" w:hAnsi="宋体" w:eastAsia="宋体"/>
          <w:b w:val="0"/>
          <w:sz w:val="18"/>
        </w:rPr>
        <w:t>摘要：</w:t>
      </w:r>
      <w:r>
        <w:rPr>
          <w:rFonts w:ascii="宋体" w:hAnsi="宋体" w:eastAsia="宋体"/>
          <w:b w:val="0"/>
          <w:sz w:val="18"/>
        </w:rPr>
        <w:t>“良好生态环境是最普惠的民生福祉”是习近平生态文明思想的重要论断。本报告以这一论断为线索，研读《推动我国生态文明建设迈上新台阶》《努力建设人与自然和谐共生的现代化》《在全国生态环境保护大会上的讲话》（2023年7月17日）三篇经典文献，结合身边案例，探讨生态环境与民生福祉的内在联系。报告认为：随着我国社会主要矛盾转化，人民群众对优美生态环境的需要已成为美好生活需要的重要方面，“环境就是民生，青山就是美丽，蓝天也是幸福”；生态环境是最公平的公共产品，人人共享、不可替代、代际永续，构成了“最普惠”的理论根基；新时代把解决突出生态环境问题作为民生优先领域，蓝天、碧水、净土保卫战持续回应老百姓的现实需求，人民群众感受最直接、最真切；同时，以最严格制度最严密法治为保障，依托生态保护补偿和生态产品价值实现机制，防止生态代价向弱势群体转移，推动实现环境公平。生态文明是人民群众共同参与、共同建设、共同享有的事业，新时代大学生应从受益者成长为美丽中国的共建者。本报告可为大学生理解习近平生态文明思想、践行绿色生活方式提供参考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18"/>
        </w:rPr>
        <w:t>关键词：良好生态环境　民生福祉　公共产品　环境公平　人与自然和谐共生</w:t>
      </w: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引言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一、“环境就是民生”：良好生态环境何以成为民生福祉</w:t>
      </w: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（一）从物质文化需要到优美生态环境需要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（二）“最普惠”的三重含义</w:t>
      </w:r>
    </w:p>
    <w:p>
      <w:pPr>
        <w:spacing w:before="160" w:after="60" w:line="300" w:lineRule="auto"/>
        <w:jc w:val="left"/>
      </w:pPr>
      <w:r>
        <w:rPr>
          <w:rFonts w:ascii="宋体" w:hAnsi="宋体" w:eastAsia="宋体"/>
          <w:b/>
          <w:sz w:val="21"/>
        </w:rPr>
        <w:t>1. 覆盖全体人民</w:t>
      </w:r>
    </w:p>
    <w:p>
      <w:pPr>
        <w:spacing w:before="0" w:after="120" w:line="300" w:lineRule="auto"/>
        <w:ind w:firstLineChars="200" w:firstLine="420"/>
      </w:pPr>
    </w:p>
    <w:p>
      <w:pPr>
        <w:spacing w:before="160" w:after="60" w:line="300" w:lineRule="auto"/>
        <w:jc w:val="left"/>
      </w:pPr>
      <w:r>
        <w:rPr>
          <w:rFonts w:ascii="宋体" w:hAnsi="宋体" w:eastAsia="宋体"/>
          <w:b/>
          <w:sz w:val="21"/>
        </w:rPr>
        <w:t>2. 覆盖代际</w:t>
      </w:r>
    </w:p>
    <w:p>
      <w:pPr>
        <w:spacing w:before="0" w:after="120" w:line="300" w:lineRule="auto"/>
        <w:ind w:firstLineChars="200" w:firstLine="420"/>
      </w:pPr>
    </w:p>
    <w:p>
      <w:pPr>
        <w:spacing w:before="160" w:after="60" w:line="300" w:lineRule="auto"/>
        <w:jc w:val="left"/>
      </w:pPr>
      <w:r>
        <w:rPr>
          <w:rFonts w:ascii="宋体" w:hAnsi="宋体" w:eastAsia="宋体"/>
          <w:b/>
          <w:sz w:val="21"/>
        </w:rPr>
        <w:t>3. 覆盖物质与精神</w:t>
      </w: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（三）中华优秀传统文化中的生态民生智慧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二、“最公平的公共产品”：普惠性的理论根基</w:t>
      </w: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（一）公共产品视角：人人共享、用之不觉、失之难存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（二）保护生态就是保障民生：发展与保护的辩证统一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（三）反面镜鉴：生态破坏如何损害民生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三、把解决突出生态环境问题作为民生优先领域：现实回应</w:t>
      </w: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（一）“民心之痛、民生之患”的精准识别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（二）三大保卫战里的民生温度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（三）从“大问题”到“家门口”：民生回应的深化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（四）成就数据佐证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四、避免生态代价向弱势群体转移：环境公平的制度保障</w:t>
      </w: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（一）生态代价为何会向弱势群体转移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（二）制度回应之一：最严格制度、最严密法治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（三）制度回应之二：生态保护补偿与生态产品价值实现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（四）制度回应之三：公众参与与全民行动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五、人人共建美丽中国：新时代大学生的责任与行动</w:t>
      </w: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（一）从受益者到建设者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（二）身边的绿色行动清单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00" w:after="80" w:line="300" w:lineRule="auto"/>
        <w:jc w:val="left"/>
      </w:pPr>
      <w:r>
        <w:rPr>
          <w:rFonts w:ascii="宋体" w:hAnsi="宋体" w:eastAsia="宋体"/>
          <w:b/>
          <w:sz w:val="24"/>
        </w:rPr>
        <w:t>（三）大学生参与地方绿色发展的可行路径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结语</w:t>
      </w:r>
    </w:p>
    <w:p>
      <w:pPr>
        <w:spacing w:before="0" w:after="120" w:line="300" w:lineRule="auto"/>
        <w:ind w:firstLineChars="200" w:firstLine="420"/>
      </w:pPr>
    </w:p>
    <w:p>
      <w:pPr>
        <w:spacing w:before="0" w:after="120" w:line="300" w:lineRule="auto"/>
        <w:ind w:firstLineChars="200" w:firstLine="420"/>
      </w:pPr>
    </w:p>
    <w:p>
      <w:pPr>
        <w:spacing w:before="280" w:after="160" w:line="300" w:lineRule="auto"/>
        <w:jc w:val="center"/>
      </w:pPr>
      <w:r>
        <w:rPr>
          <w:rFonts w:ascii="宋体" w:hAnsi="宋体" w:eastAsia="宋体"/>
          <w:b/>
          <w:sz w:val="30"/>
        </w:rPr>
        <w:t>参考文献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[1] 习近平. 推动我国生态文明建设迈上新台阶[J]. 求是，2019，（3）.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[2] 习近平. 努力建设人与自然和谐共生的现代化[J]. 求是，2022，（11）.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[3] 习近平. 在全国生态环境保护大会上的讲话（2023年7月17日）[J]. 求是，2025，（15）.</w:t>
      </w:r>
    </w:p>
    <w:sectPr w:rsidR="00E71819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NumType w:start="1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BABF4" w14:textId="77777777" w:rsidR="00E71819" w:rsidRDefault="00E71819">
      <w:r>
        <w:separator/>
      </w:r>
    </w:p>
  </w:endnote>
  <w:endnote w:type="continuationSeparator" w:id="0">
    <w:p w14:paraId="62F82378" w14:textId="77777777" w:rsidR="00E71819" w:rsidRDefault="00E7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B2531" w14:textId="2AE3C2A5" w:rsidR="00000000" w:rsidRDefault="00CD2232">
    <w:pPr>
      <w:pStyle w:val="a3"/>
      <w:jc w:val="center"/>
    </w:pPr>
    <w:r/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FCFD4" w14:textId="77777777" w:rsidR="00E71819" w:rsidRDefault="00E71819">
      <w:r>
        <w:separator/>
      </w:r>
    </w:p>
  </w:footnote>
  <w:footnote w:type="continuationSeparator" w:id="0">
    <w:p w14:paraId="5CB58E0C" w14:textId="77777777" w:rsidR="00E71819" w:rsidRDefault="00E71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81AFC" w14:textId="77777777" w:rsidR="00000000" w:rsidRDefault="00000000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D8"/>
    <w:rsid w:val="00016BDA"/>
    <w:rsid w:val="000432D0"/>
    <w:rsid w:val="0009232C"/>
    <w:rsid w:val="00167087"/>
    <w:rsid w:val="0016732C"/>
    <w:rsid w:val="00171332"/>
    <w:rsid w:val="001E5052"/>
    <w:rsid w:val="001F6B16"/>
    <w:rsid w:val="00201FD8"/>
    <w:rsid w:val="00206372"/>
    <w:rsid w:val="00226C22"/>
    <w:rsid w:val="00247333"/>
    <w:rsid w:val="002715F7"/>
    <w:rsid w:val="002B138A"/>
    <w:rsid w:val="002B53AA"/>
    <w:rsid w:val="002D611F"/>
    <w:rsid w:val="00312403"/>
    <w:rsid w:val="00374DD6"/>
    <w:rsid w:val="00380BEB"/>
    <w:rsid w:val="00416D55"/>
    <w:rsid w:val="004238ED"/>
    <w:rsid w:val="00442A00"/>
    <w:rsid w:val="004572FD"/>
    <w:rsid w:val="004C63B5"/>
    <w:rsid w:val="005173C3"/>
    <w:rsid w:val="00527CB1"/>
    <w:rsid w:val="00566A25"/>
    <w:rsid w:val="005863A4"/>
    <w:rsid w:val="0061189F"/>
    <w:rsid w:val="00616C98"/>
    <w:rsid w:val="006324B1"/>
    <w:rsid w:val="00661C4D"/>
    <w:rsid w:val="006941AA"/>
    <w:rsid w:val="007950FD"/>
    <w:rsid w:val="007B7968"/>
    <w:rsid w:val="007E0942"/>
    <w:rsid w:val="007F4080"/>
    <w:rsid w:val="00800C40"/>
    <w:rsid w:val="008039F2"/>
    <w:rsid w:val="0085423C"/>
    <w:rsid w:val="009112A9"/>
    <w:rsid w:val="0093647E"/>
    <w:rsid w:val="00976E15"/>
    <w:rsid w:val="009B255F"/>
    <w:rsid w:val="00A66DF7"/>
    <w:rsid w:val="00AC0519"/>
    <w:rsid w:val="00AF6DF1"/>
    <w:rsid w:val="00B40982"/>
    <w:rsid w:val="00B6797D"/>
    <w:rsid w:val="00B96969"/>
    <w:rsid w:val="00BB317F"/>
    <w:rsid w:val="00BC0CF3"/>
    <w:rsid w:val="00BC2B5F"/>
    <w:rsid w:val="00CA5C58"/>
    <w:rsid w:val="00CD2232"/>
    <w:rsid w:val="00D60336"/>
    <w:rsid w:val="00D75197"/>
    <w:rsid w:val="00DB3907"/>
    <w:rsid w:val="00E71819"/>
    <w:rsid w:val="00EC5DD8"/>
    <w:rsid w:val="00ED534F"/>
    <w:rsid w:val="00F17B35"/>
    <w:rsid w:val="00F667E2"/>
    <w:rsid w:val="00F91B5C"/>
    <w:rsid w:val="00F9419E"/>
    <w:rsid w:val="00FD18C7"/>
    <w:rsid w:val="026929FF"/>
    <w:rsid w:val="10B145DC"/>
    <w:rsid w:val="11AB3BA1"/>
    <w:rsid w:val="12DC4A58"/>
    <w:rsid w:val="147F4402"/>
    <w:rsid w:val="18A8537E"/>
    <w:rsid w:val="226165DE"/>
    <w:rsid w:val="301B54EA"/>
    <w:rsid w:val="353D4F9C"/>
    <w:rsid w:val="3AC972D4"/>
    <w:rsid w:val="481F5A6F"/>
    <w:rsid w:val="4B005944"/>
    <w:rsid w:val="4C3757EF"/>
    <w:rsid w:val="4FEC7AB2"/>
    <w:rsid w:val="5995143A"/>
    <w:rsid w:val="67CD324F"/>
    <w:rsid w:val="734035AA"/>
    <w:rsid w:val="749C210F"/>
    <w:rsid w:val="766E1C41"/>
    <w:rsid w:val="7840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48AEE1"/>
  <w15:chartTrackingRefBased/>
  <w15:docId w15:val="{251DDE2D-81B4-453A-A56B-B54AF753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3"/>
    <w:uiPriority w:val="99"/>
    <w:semiHidden/>
    <w:qFormat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link w:val="a5"/>
    <w:uiPriority w:val="99"/>
    <w:semiHidden/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1260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Manager/>
  <Company>微软中国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Harris Justice</cp:lastModifiedBy>
  <cp:revision>2</cp:revision>
  <dcterms:created xsi:type="dcterms:W3CDTF">2026-10-17T14:50:00Z</dcterms:created>
  <dcterms:modified xsi:type="dcterms:W3CDTF">2026-10-17T14:50:00Z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85ACED906EB94B44AC046880E1845B5E</vt:lpwstr>
  </property>
  <property fmtid="{D5CDD505-2E9C-101B-9397-08002B2CF9AE}" pid="4" name="KSOTemplateDocerSaveRecord">
    <vt:lpwstr>eyJoZGlkIjoiZjFmZWIzNDg2MmIzZjExOTIzMmViNTBmYTMwYTk0ZWYiLCJ1c2VySWQiOiIzMTgwODU0MDgifQ==</vt:lpwstr>
  </property>
</Properties>
</file>