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康方生物 (Akeso, 9926.HK)</w:t>
      </w:r>
    </w:p>
    <w:p>
      <w:pPr>
        <w:spacing w:after="0" w:before="120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深度研究报告</w:t>
      </w:r>
    </w:p>
    <w:p>
      <w:pPr>
        <w:pBdr>
          <w:top w:val="single" w:color="2E75B6" w:sz="14" w:space="6"/>
        </w:pBdr>
        <w:spacing w:after="0" w:before="360"/>
      </w:pPr>
      <w:r>
        <w:rPr>
          <w:rFonts w:ascii="Arial" w:cs="Arial" w:eastAsia="Arial" w:hAnsi="Arial"/>
          <w:color w:val="1A1A1A"/>
          <w:sz w:val="26"/>
          <w:szCs w:val="26"/>
        </w:rPr>
        <w:t xml:space="preserve">聚焦 AK112(依沃西单抗)与 AK104(卡度尼利单抗)</w:t>
      </w:r>
    </w:p>
    <w:p>
      <w:pPr>
        <w:spacing w:before="6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临床数据 · 药理机制 · 竞争格局 · 商业化与销售预测 · 管线 · 双抗平台</w:t>
      </w:r>
    </w:p>
    <w:p>
      <w:pPr>
        <w:spacing w:before="90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编制日期：2026年6月</w:t>
      </w:r>
    </w:p>
    <w:p>
      <w:pPr>
        <w:spacing w:before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数据截至 2026 年 6 月，结合公司公告、监管披露、学术会议(WCLC/ASCO/ESMO/SITC/AACR)及同业资料</w:t>
      </w:r>
    </w:p>
    <w:p>
      <w:pPr>
        <w:spacing w:before="40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配套交付：《康方生物_AK112_AK104_销售预测模型.xlsx》</w:t>
      </w:r>
    </w:p>
    <w:p>
      <w:pPr>
        <w:pBdr>
          <w:top w:val="single" w:color="C9D4E2" w:sz="6" w:space="6"/>
        </w:pBdr>
        <w:spacing w:before="70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免责声明：本报告为信息与研究汇编，含前瞻性估算与分析判断，不构成投资、医疗或法律建议；分产品/适应症销售拆分及概率研判为分析师估算，可能与公司口径不同。投资有风险。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目录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摘要 (Executive Summary)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一句话定位：</w:t>
      </w:r>
      <w:r>
        <w:rPr>
          <w:rFonts w:ascii="Arial" w:cs="Arial" w:eastAsia="Arial" w:hAnsi="Arial"/>
          <w:sz w:val="21"/>
          <w:szCs w:val="21"/>
        </w:rPr>
        <w:t xml:space="preserve">康方生物是全球唯一拥有两款已获批 IO 双抗(PD-1/CTLA-4 卡度尼利、PD-1/VEGF 依沃西)的公司，依沃西已在多项 III 期头对头研究中击败/超越帕博利珠单抗与替雷利珠单抗，正从『中国故事』向『全球验证』推进。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临床(第1节)：</w:t>
      </w:r>
      <w:r>
        <w:rPr>
          <w:rFonts w:ascii="Arial" w:cs="Arial" w:eastAsia="Arial" w:hAnsi="Arial"/>
          <w:sz w:val="21"/>
          <w:szCs w:val="21"/>
        </w:rPr>
        <w:t xml:space="preserve">依沃西在 HARMONi-2(1L PD-L1+ NSCLC 单药 vs 帕博，PFS HR 0.51)、HARMONi-6(1L 鳞状 +化疗 vs 替雷利珠+化疗，OS HR 0.66)、HARMONi-A(2L EGFRm，PFS HR 0.46、终期 OS HR 0.74)三项 III 期均阳性；全球 HARMONi 的 PFS 达标(HR 0.52)但 OS 主分析未达统计学显著(HR 0.79, p=0.057)，后续随访改善至 HR 0.78、名义 p=0.0332——这是全报告最关键的『可外推性(translatability)』争议点。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机制(第2节)：</w:t>
      </w:r>
      <w:r>
        <w:rPr>
          <w:rFonts w:ascii="Arial" w:cs="Arial" w:eastAsia="Arial" w:hAnsi="Arial"/>
          <w:sz w:val="21"/>
          <w:szCs w:val="21"/>
        </w:rPr>
        <w:t xml:space="preserve">四价、Fc-silent 设计；VEGF 与 PD-1 协同(cooperative)结合使肿瘤微环境中对 PD-1 亲和力提升 &gt;18 倍、对 VEGF &gt;4 倍，形成『肿瘤条件性高亲和』，理论上比『PD-1+抗血管』简单联用更集中、外周毒性更低。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竞品(第3节)：</w:t>
      </w:r>
      <w:r>
        <w:rPr>
          <w:rFonts w:ascii="Arial" w:cs="Arial" w:eastAsia="Arial" w:hAnsi="Arial"/>
          <w:sz w:val="21"/>
          <w:szCs w:val="21"/>
        </w:rPr>
        <w:t xml:space="preserve">『PD-1/L1×VEGF』赛道 2024-2025 被 MNC 抢筹——BioNTech×BMS(pumitamig/BNT327，最高约 110 亿美元)、Pfizer×3SBio(SSGJ-707，12.5 亿首付)、Merck×LaNova(LM-299)。前车之鉴是 LEAP 系列(帕博+仑伐替尼)『IO+抗血管简单联用』在 NSCLC 等多项 III 期失败且毒性高——印证双抗共定位的差异化逻辑。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商业化(第4节)：</w:t>
      </w:r>
      <w:r>
        <w:rPr>
          <w:rFonts w:ascii="Arial" w:cs="Arial" w:eastAsia="Arial" w:hAnsi="Arial"/>
          <w:sz w:val="21"/>
          <w:szCs w:val="21"/>
        </w:rPr>
        <w:t xml:space="preserve">两大双抗 2025 年全部进医保，公司商业销售 30.33 亿元(+51.5%)。我们测算两大双抗中国销售 2025E≈27.6 亿、2030E≈196 亿元(base case，详见配套 Excel 与敏感性)。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管线(第5节)：</w:t>
      </w:r>
      <w:r>
        <w:rPr>
          <w:rFonts w:ascii="Arial" w:cs="Arial" w:eastAsia="Arial" w:hAnsi="Arial"/>
          <w:sz w:val="21"/>
          <w:szCs w:val="21"/>
        </w:rPr>
        <w:t xml:space="preserve">卡度尼利胃癌 COMPASSION-15 终期 OS HR 0.61(PD-L1 全人群获益)；潘普利单抗(AK105)获 FDA 批准(NPC)；CD47 单抗利古单抗进入实体瘤 III 期；ADC 2.0/三抗/TCE/siRNA 多平台铺开。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催化剂(第6节)：</w:t>
      </w:r>
      <w:r>
        <w:rPr>
          <w:rFonts w:ascii="Arial" w:cs="Arial" w:eastAsia="Arial" w:hAnsi="Arial"/>
          <w:sz w:val="21"/>
          <w:szCs w:val="21"/>
        </w:rPr>
        <w:t xml:space="preserve">全球 HARMONi-3(1L NSCLC +化疗 vs 帕博+化疗)与 HARMONi-7(1L PD-L1 高表达 单药 vs 帕博)是决定海外价值的两大读出；我们判断 HARMONi-3 成功概率显著高于 HARMONi-7。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平台(第7节)：</w:t>
      </w:r>
      <w:r>
        <w:rPr>
          <w:rFonts w:ascii="Arial" w:cs="Arial" w:eastAsia="Arial" w:hAnsi="Arial"/>
          <w:sz w:val="21"/>
          <w:szCs w:val="21"/>
        </w:rPr>
        <w:t xml:space="preserve">Tetrabody(四聚体)对标 Genmab DuoBody、Roche CrossMAb、Zymeworks、康宁杰瑞/岸迈等——康方的护城河不在『平台叙事』而在『两款已上市 IO 双抗的真实临床验证』。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易忽视的要点(第8节)：</w:t>
      </w:r>
      <w:r>
        <w:rPr>
          <w:rFonts w:ascii="Arial" w:cs="Arial" w:eastAsia="Arial" w:hAnsi="Arial"/>
          <w:sz w:val="21"/>
          <w:szCs w:val="21"/>
        </w:rPr>
        <w:t xml:space="preserve">Summit 合作的海外经济与地缘(BIOSECURE)风险、帕博 2028 专利悬崖的时间窗、医保年度再谈判与续约降价、慢性 VEGF 阻断的长期安全性、以及『被低估的卡度尼利』。</w:t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公司速览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rPr>
          <w:tblHeader/>
        </w:trP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项目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内容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上市/代码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港交所主板 9926.HK；2012 年成立，创始人/董事长 夏瑜博士(Dr. Michelle Xia)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技术平台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Tetrabody 四聚体抗体平台、AI 药物研发平台、Dual-Shield ADC、Dual-Lock TCE、Tissue-Smart siRNA/mRNA、细胞治疗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核心资产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AK112 依沃西单抗(PD-1/VEGF)、AK104 卡度尼利单抗(PD-1/CTLA-4)——全球唯二已获批 IO 双抗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已上市产品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 款(两大双抗 + 潘普利单抗 AK105、依若奇/伊喜宁等自免/代谢产品)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在研管线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50+ 资产，27 个已进入临床(含 15 个双/多特异抗体及双抗 ADC)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2024 业绩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总收入 21.24 亿元；商业销售 20.44 亿元(+25.3%)；含 Summit 里程碑授权收入，全年盈利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2025 业绩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商业销售 30.33 亿元(+51.5%)；H1 因授权收入下降由盈转亏；H1 末现金及短期金融资产约 71 亿元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海外合作</w:t>
            </w:r>
          </w:p>
        </w:tc>
        <w:tc>
          <w:tcPr>
            <w:tcW w:type="dxa" w:w="72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依沃西除中国外全球权益授予 Summit Therapeutics(2022 年，5 亿美元首付+最高约 45 亿美元里程碑)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来源：公司 2024/2025 年报、2025 中期业绩公告；Summit Therapeutics 公告。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一、AK112(依沃西单抗)过往临床数据分析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依沃西是全球首个获批的 PD-1/VEGF 双抗，其临床数据的核心叙事是：</w:t>
      </w:r>
      <w:r>
        <w:rPr>
          <w:rFonts w:ascii="Arial" w:cs="Arial" w:eastAsia="Arial" w:hAnsi="Arial"/>
          <w:sz w:val="21"/>
          <w:szCs w:val="21"/>
        </w:rPr>
        <w:t xml:space="preserve">在多个肺癌关键场景以『头对头』方式超越当前标准 IO 单抗，并把抗血管的获益扩展到了过去的禁区(如鳞癌、EGFR 突变 TKI 耐药)。下文按试验逐一拆解，并在 1.7 给出入组患者基线特征的横向对比。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1.1 依沃西临床开发版图总览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50"/>
        <w:gridCol w:w="2050"/>
        <w:gridCol w:w="2360"/>
        <w:gridCol w:w="1600"/>
      </w:tblGrid>
      <w:tr>
        <w:trPr>
          <w:tblHeader/>
        </w:trP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试验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设计 / 对照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人群(线、瘤种)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关键结果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状态 / 读出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HARMONi-2
(AK112-301, 中国)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依沃西单药 vs 帕博利珠单药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PD-L1+(TPS≥1%)、EGFR/ALK 野生 NSCLC(n=398)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PFS HR 0.51；mPFS 11.14 vs 5.82 月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中国已获批；WCLC 2024 / Lancet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HARMONi-A
(AK112-303, 中国)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依沃西+化疗 vs 安慰剂+化疗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2L+ EGFRm 非鳞 NSCLC(TKI 进展后, n≈322)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PFS HR 0.46；终期 OS HR 0.74(p=0.019)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中国已获批；JAMA 2024 / SITC 2025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
(全球)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依沃西+化疗 vs 安慰剂+化疗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2L+ EGFRm 非鳞 NSCLC(约 38% 西方患者)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7791F"/>
                <w:sz w:val="15"/>
                <w:szCs w:val="15"/>
              </w:rPr>
              <w:t xml:space="preserve">PFS HR 0.52(p&lt;0.0001)；OS HR 0.79(p=0.057)未达，随访后 0.78/名义 p=0.0332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FDA 已受理 BLA(Summit)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HARMONi-6
(AK112-306, 中国)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依沃西+化疗 vs 替雷利珠+化疗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鳞状 NSCLC(n=532)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OS HR 0.66(p=0.0017)；mPFS 11.1 vs 6.9 月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ASCO 2026 全体大会；中国 sNDA 审评中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HARMONi-3
(全球)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依沃西+化疗 vs 帕博+化疗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NSCLC(鳞+非鳞)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主要终点 PFS/OS；读出待公布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进行中(关键海外读出)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HARMONi-7
(全球)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依沃西单药 vs 帕博单药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PD-L1 高表达(TPS≥50%) NSCLC(n≈780)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595959"/>
                <w:sz w:val="15"/>
                <w:szCs w:val="15"/>
              </w:rPr>
              <w:t xml:space="preserve">主要终点 OS 与 PFS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进行中(2025 初启动)</w:t>
            </w:r>
          </w:p>
        </w:tc>
      </w:tr>
      <w:tr>
        <w:tc>
          <w:tcPr>
            <w:tcW w:type="dxa" w:w="1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1A1A1A"/>
                <w:sz w:val="15"/>
                <w:szCs w:val="15"/>
              </w:rPr>
              <w:t xml:space="preserve">HARMONi-GI6
(AK112-312)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依沃西方案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转移性结直肠癌(国际多中心 III 期)</w:t>
            </w:r>
          </w:p>
        </w:tc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2E75B6"/>
                <w:sz w:val="15"/>
                <w:szCs w:val="15"/>
              </w:rPr>
              <w:t xml:space="preserve">首例入组 2025-06；早期 +FOLFOXIRI ORR 81.8%</w:t>
            </w:r>
          </w:p>
        </w:tc>
        <w:tc>
          <w:tcPr>
            <w:tcW w:type="dxa" w:w="1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进行中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来源：各试验公司/Summit 公告、WCLC 2024、ASCO 2026、ESMO/SITC 2025、JAMA(2024)、Lancet(2024)。部分试验编号以公司披露为准。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1.2 HARMONi-2：1L PD-L1+ NSCLC 单药头对头击败帕博利珠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意义：</w:t>
      </w:r>
      <w:r>
        <w:rPr>
          <w:rFonts w:ascii="Arial" w:cs="Arial" w:eastAsia="Arial" w:hAnsi="Arial"/>
          <w:sz w:val="21"/>
          <w:szCs w:val="21"/>
        </w:rPr>
        <w:t xml:space="preserve">这是全球首个免疫单药头对头战胜帕博利珠单抗(K 药)的 III 期肺癌研究，奠定了依沃西『去化疗(chemo-free)1L 新标准』的叙事，也是 2024 年驱动公司与 Summit 股价的标志性事件。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80"/>
        <w:gridCol w:w="2980"/>
      </w:tblGrid>
      <w:tr>
        <w:trPr>
          <w:tblHeader/>
        </w:trP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3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依沃西单药</w:t>
            </w:r>
          </w:p>
        </w:tc>
        <w:tc>
          <w:tcPr>
            <w:tcW w:type="dxa" w:w="29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帕博利珠单药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中位 PFS(IRRC)</w:t>
            </w:r>
          </w:p>
        </w:tc>
        <w:tc>
          <w:tcPr>
            <w:tcW w:type="dxa" w:w="33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11.14 月</w:t>
            </w:r>
          </w:p>
        </w:tc>
        <w:tc>
          <w:tcPr>
            <w:tcW w:type="dxa" w:w="29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5.82 月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PFS 风险比 HR</w:t>
            </w:r>
          </w:p>
        </w:tc>
        <w:tc>
          <w:tcPr>
            <w:tcW w:type="dxa" w:w="33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0.51 (95%CI 0.38–0.69, p&lt;0.0001)</w:t>
            </w:r>
          </w:p>
        </w:tc>
        <w:tc>
          <w:tcPr>
            <w:tcW w:type="dxa" w:w="29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ORR 客观缓解率</w:t>
            </w:r>
          </w:p>
        </w:tc>
        <w:tc>
          <w:tcPr>
            <w:tcW w:type="dxa" w:w="33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50.0%</w:t>
            </w:r>
          </w:p>
        </w:tc>
        <w:tc>
          <w:tcPr>
            <w:tcW w:type="dxa" w:w="29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38.5%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DCR 疾病控制率</w:t>
            </w:r>
          </w:p>
        </w:tc>
        <w:tc>
          <w:tcPr>
            <w:tcW w:type="dxa" w:w="33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89.9%</w:t>
            </w:r>
          </w:p>
        </w:tc>
        <w:tc>
          <w:tcPr>
            <w:tcW w:type="dxa" w:w="29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70.5%</w:t>
            </w:r>
          </w:p>
        </w:tc>
      </w:tr>
      <w:tr>
        <w:tc>
          <w:tcPr>
            <w:tcW w:type="dxa" w:w="3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OS(期中, ~39% 成熟度)</w:t>
            </w:r>
          </w:p>
        </w:tc>
        <w:tc>
          <w:tcPr>
            <w:tcW w:type="dxa" w:w="33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color w:val="B7791F"/>
                <w:sz w:val="17"/>
                <w:szCs w:val="17"/>
              </w:rPr>
              <w:t xml:space="preserve">HR 0.777(降低死亡风险约 22% 的趋势)</w:t>
            </w:r>
          </w:p>
        </w:tc>
        <w:tc>
          <w:tcPr>
            <w:tcW w:type="dxa" w:w="29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亚组洞察：</w:t>
      </w:r>
      <w:r>
        <w:rPr>
          <w:rFonts w:ascii="Arial" w:cs="Arial" w:eastAsia="Arial" w:hAnsi="Arial"/>
          <w:sz w:val="21"/>
          <w:szCs w:val="21"/>
        </w:rPr>
        <w:t xml:space="preserve">PD-L1 TPS 1–49% 亚组 PFS HR 0.54、鳞癌亚组 PFS HR 0.48——说明获益不局限于 PD-L1 高表达，也不局限于非鳞，这正是依沃西区别于传统 IO 单药『PD-L1 越高越好』的关键。OS 目前仅期中、成熟度偏低，是该研究尚待补强的一环。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来源：WCLC 2024 主席研讨会；The Lancet (2024)；Summit/Akeso 公告。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1.3 HARMONi-A：EGFR-TKI 耐药后的双重阳性(PFS+OS)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HARMONi-A(中国)是首个在 EGFR-TKI 耐药、EGFR 突变非鳞 NSCLC 中同时取得 PFS 与 OS 阳性的免疫治疗研究，已发表于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JAMA</w:t>
      </w:r>
      <w:r>
        <w:rPr>
          <w:rFonts w:ascii="Arial" w:cs="Arial" w:eastAsia="Arial" w:hAnsi="Arial"/>
          <w:sz w:val="21"/>
          <w:szCs w:val="21"/>
        </w:rPr>
        <w:t xml:space="preserve">(2024)。该人群此前对 PD-1/L1 单抗几乎无效，是真正的『冷肿瘤/难治』场景。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500"/>
        <w:gridCol w:w="3160"/>
      </w:tblGrid>
      <w:tr>
        <w:trPr>
          <w:tblHeader/>
        </w:trP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维度</w:t>
            </w:r>
          </w:p>
        </w:tc>
        <w:tc>
          <w:tcPr>
            <w:tcW w:type="dxa" w:w="3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依沃西+化疗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安慰剂+化疗 / 备注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主要终点 PFS HR</w:t>
            </w:r>
          </w:p>
        </w:tc>
        <w:tc>
          <w:tcPr>
            <w:tcW w:type="dxa" w:w="3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0.46 (p&lt;0.001)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9 月无进展率 37.9% vs 18.3%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终期 OS</w:t>
            </w:r>
          </w:p>
        </w:tc>
        <w:tc>
          <w:tcPr>
            <w:tcW w:type="dxa" w:w="3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HR 0.74 (p=0.019)；mOS 16.8 vs 14.1 月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中位随访 32.5 月(数据截至 2025-04)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亚组：三代 TKI 进展</w:t>
            </w:r>
          </w:p>
        </w:tc>
        <w:tc>
          <w:tcPr>
            <w:tcW w:type="dxa" w:w="3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PFS HR 0.48 (0.35–0.66)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85% 患者既往用过三代 TKI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亚组：脑转移</w:t>
            </w:r>
          </w:p>
        </w:tc>
        <w:tc>
          <w:tcPr>
            <w:tcW w:type="dxa" w:w="35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PFS HR 0.40 (0.22–0.73)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约 20% 患者基线伴脑转移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来源：JAMA (2024)；SITC 2025 终期 OS；Akeso/Summit 公告。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1.4 全球 HARMONi：PFS 达标、OS 主分析『擦肩』——核心争议所在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同样是 2L+ EGFRm 非鳞 NSCLC，全球 HARMONi 纳入约 38% 西方患者。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PFS 稳健达标(HR 0.52, 95%CI 0.41–0.66, p&lt;0.0001)，但 OS 主分析 HR 0.79(95%CI 0.62–1.01, p=0.057)未达统计学显著；</w:t>
      </w:r>
      <w:r>
        <w:rPr>
          <w:rFonts w:ascii="Arial" w:cs="Arial" w:eastAsia="Arial" w:hAnsi="Arial"/>
          <w:sz w:val="21"/>
          <w:szCs w:val="21"/>
        </w:rPr>
        <w:t xml:space="preserve">公司解释为西方患者随访时长短于其中位 OS。延长随访后全球 OS 改善至 HR 0.78、名义 p=0.0332，北美亚组 OS HR≈0.70。</w:t>
      </w:r>
    </w:p>
    <w:p>
      <w:pPr>
        <w:spacing w:after="120" w:before="0" w:line="264"/>
      </w:pPr>
      <w:r>
        <w:rPr>
          <w:rFonts w:ascii="Arial" w:cs="Arial" w:eastAsia="Arial" w:hAnsi="Arial"/>
          <w:b/>
          <w:bCs/>
          <w:color w:val="B00020"/>
          <w:sz w:val="21"/>
          <w:szCs w:val="21"/>
        </w:rPr>
        <w:t xml:space="preserve">为什么这很重要：</w:t>
      </w:r>
      <w:r>
        <w:rPr>
          <w:rFonts w:ascii="Arial" w:cs="Arial" w:eastAsia="Arial" w:hAnsi="Arial"/>
          <w:sz w:val="21"/>
          <w:szCs w:val="21"/>
        </w:rPr>
        <w:t xml:space="preserve">市场据此质疑『中国数据能否外推到西方人群』。存在一个微妙悖论——HARMONi-A(中国)OS 越好，反而暗示全球研究中西方亚组的相对表现越受关注。这一争议直接关系到第 6 节 HARMONi-3/7 的研判，也是依沃西海外估值的最大变量。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来源：Akeso/Summit 2025-05-30、2025-09-07 公告；FiercePharma、BioSpace、ApexOnco 报道。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1.5 HARMONi-6：在鳞癌中以 OS 战胜『PD-1+化疗』，打破抗血管禁区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ASCO 2026 全体大会(Plenary)公布：1L 鳞状 NSCLC 中，依沃西+化疗对比替雷利珠(PD-1 单抗)+化疗，</w:t>
      </w:r>
      <w:r>
        <w:rPr>
          <w:rFonts w:ascii="Arial" w:cs="Arial" w:eastAsia="Arial" w:hAnsi="Arial"/>
          <w:b/>
          <w:bCs/>
          <w:color w:val="2E7D32"/>
          <w:sz w:val="21"/>
          <w:szCs w:val="21"/>
        </w:rPr>
        <w:t xml:space="preserve">OS HR 0.66(95%CI 0.50–0.87, p=0.0017，降低死亡风险 34%)，期中 mPFS 11.1 vs 6.9 月(p&lt;0.0001)。</w:t>
      </w:r>
      <w:r>
        <w:rPr>
          <w:rFonts w:ascii="Arial" w:cs="Arial" w:eastAsia="Arial" w:hAnsi="Arial"/>
          <w:sz w:val="21"/>
          <w:szCs w:val="21"/>
        </w:rPr>
        <w:t xml:space="preserve">传统抗血管药(如贝伐珠)因致命性肺出血风险在鳞癌中禁用，依沃西在鳞癌取得 OS 获益，是机制层面的重要差异化证据。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来源：ASCO 2026 Plenary(Shun Lu 报告);PR Newswire 2026；Summit 公告。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1.6 其他瘤种早期信号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结直肠癌：</w:t>
      </w:r>
      <w:r>
        <w:rPr>
          <w:rFonts w:ascii="Arial" w:cs="Arial" w:eastAsia="Arial" w:hAnsi="Arial"/>
          <w:sz w:val="21"/>
          <w:szCs w:val="21"/>
        </w:rPr>
        <w:t xml:space="preserve">依沃西+FOLFOXIRI 一线，ORR 81.8%、DCR 100%，9 月 PFS 率 81.4%；国际多中心 III 期(HARMONi-GI6/AK112-312)已于 2025-06 首例入组。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胆道癌：</w:t>
      </w:r>
      <w:r>
        <w:rPr>
          <w:rFonts w:ascii="Arial" w:cs="Arial" w:eastAsia="Arial" w:hAnsi="Arial"/>
          <w:sz w:val="21"/>
          <w:szCs w:val="21"/>
        </w:rPr>
        <w:t xml:space="preserve">依沃西+吉西他滨/顺铂一线(Ph1b/2, n=22)：ORR 63.6%、DCR 100%、mPFS 8.5 月、mOS 16.8 月。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拓展中：</w:t>
      </w:r>
      <w:r>
        <w:rPr>
          <w:rFonts w:ascii="Arial" w:cs="Arial" w:eastAsia="Arial" w:hAnsi="Arial"/>
          <w:sz w:val="21"/>
          <w:szCs w:val="21"/>
        </w:rPr>
        <w:t xml:space="preserve">胰腺/乳腺/头颈、胸膜间皮瘤、复发胶质母细胞瘤等多项 I/II 期；与 GSK B7-H3 ADC、YL201(B7-H3 ADC)等外部 ADC 联用探索(2026)。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1.7 入组患者基线特征横向对比(颗粒度对照)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不同试验的『人群难度』差异极大，是解读 HR 的关键背景。下表把四项关键研究的基线特征并列，便于判断依沃西在不同难度场景下的稳健性：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90"/>
        <w:gridCol w:w="1990"/>
        <w:gridCol w:w="1900"/>
        <w:gridCol w:w="1780"/>
      </w:tblGrid>
      <w:tr>
        <w:trPr>
          <w:tblHeader/>
        </w:trP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基线特征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HARMONi-2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HARMONi-A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全球 HARMONi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HARMONi-6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治疗线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2L+(TKI 后)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2L+(TKI 后)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瘤种/组织学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NSCLC(鳞 45.5% / 非鳞 54.5%)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非鳞(EGFRm)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非鳞(EGFRm)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鳞状(100%)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驱动基因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EGFR/ALK 野生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EGFR 突变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EGFR 突变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未限定(以野生为主)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PD-L1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TPS≥1%(其中≥50% 占 42.2%)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未按 PD-L1 选择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未按 PD-L1 选择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全人群(all-comers)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对照臂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帕博利珠 单药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安慰剂+化疗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安慰剂+化疗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替雷利珠+化疗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方案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去化疗(单药)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+卡铂/培美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+化疗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+紫杉醇/卡铂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地域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中国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中国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全球(~38% 西方)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中国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特殊难点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头对头 K 药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85% 三代 TKI；20% 脑转移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西方人群外推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鳞癌(抗血管禁区)</w:t>
            </w:r>
          </w:p>
        </w:tc>
      </w:tr>
      <w:tr>
        <w:tc>
          <w:tcPr>
            <w:tcW w:type="dxa" w:w="1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样本量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398</w:t>
            </w:r>
          </w:p>
        </w:tc>
        <w:tc>
          <w:tcPr>
            <w:tcW w:type="dxa" w:w="199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≈322</w:t>
            </w:r>
          </w:p>
        </w:tc>
        <w:tc>
          <w:tcPr>
            <w:tcW w:type="dxa" w:w="1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约 500+</w:t>
            </w:r>
          </w:p>
        </w:tc>
        <w:tc>
          <w:tcPr>
            <w:tcW w:type="dxa" w:w="17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532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来源：各试验主结果披露(WCLC 2024、JAMA 2024、ASCO 2026、SITC 2025)。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1.8 临床数据所说明的『依沃西特征画像』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跨场景稳健：</w:t>
      </w:r>
      <w:r>
        <w:rPr>
          <w:rFonts w:ascii="Arial" w:cs="Arial" w:eastAsia="Arial" w:hAnsi="Arial"/>
          <w:sz w:val="21"/>
          <w:szCs w:val="21"/>
        </w:rPr>
        <w:t xml:space="preserve">从 1L 去化疗单药、到 1L+化疗、到 2L EGFR 难治，HR 多落在 0.46–0.66 区间，少见的『多场景一致获益』。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PD-L1/组织学相对不敏感：</w:t>
      </w:r>
      <w:r>
        <w:rPr>
          <w:rFonts w:ascii="Arial" w:cs="Arial" w:eastAsia="Arial" w:hAnsi="Arial"/>
          <w:sz w:val="21"/>
          <w:szCs w:val="21"/>
        </w:rPr>
        <w:t xml:space="preserve">在 PD-L1 低表达、鳞癌、EGFR 突变等传统 IO 弱势人群仍获益，支持其『all-comer』潜质。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抗血管禁区被打破：</w:t>
      </w:r>
      <w:r>
        <w:rPr>
          <w:rFonts w:ascii="Arial" w:cs="Arial" w:eastAsia="Arial" w:hAnsi="Arial"/>
          <w:sz w:val="21"/>
          <w:szCs w:val="21"/>
        </w:rPr>
        <w:t xml:space="preserve">鳞癌 OS 获益是机制差异化的硬证据。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PFS 强、OS 待夯实(尤其海外)：</w:t>
      </w:r>
      <w:r>
        <w:rPr>
          <w:rFonts w:ascii="Arial" w:cs="Arial" w:eastAsia="Arial" w:hAnsi="Arial"/>
          <w:sz w:val="21"/>
          <w:szCs w:val="21"/>
        </w:rPr>
        <w:t xml:space="preserve">多数 OS 为期中或随访不足；全球 HARMONi 的 OS 主分析未达显著，是当前最大悬念。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安全性：</w:t>
      </w:r>
      <w:r>
        <w:rPr>
          <w:rFonts w:ascii="Arial" w:cs="Arial" w:eastAsia="Arial" w:hAnsi="Arial"/>
          <w:sz w:val="21"/>
          <w:szCs w:val="21"/>
        </w:rPr>
        <w:t xml:space="preserve">总体可管理，但带有 VEGF 类不良反应(高血压、蛋白尿、出血、VTE),需在更早期/长期治疗中持续验证(详见第 8 节)。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二、AK112 药理机制分析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依沃西是一款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四价(tetravalent)、Fc 沉默(Fc-silent)的 PD-1×VEGF 双特异性抗体</w:t>
      </w:r>
      <w:r>
        <w:rPr>
          <w:rFonts w:ascii="Arial" w:cs="Arial" w:eastAsia="Arial" w:hAnsi="Arial"/>
          <w:sz w:val="21"/>
          <w:szCs w:val="21"/>
        </w:rPr>
        <w:t xml:space="preserve">：含 2 个抗 PD-1 与 2 个抗 VEGF 结合臂，基于康方 Tetrabody 平台构建。其机制突破并非简单『两个靶点相加』，而是源于一种独特的协同结合(cooperative binding)与肿瘤条件性高亲和。机制全文已发表于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iScience</w:t>
      </w:r>
      <w:r>
        <w:rPr>
          <w:rFonts w:ascii="Arial" w:cs="Arial" w:eastAsia="Arial" w:hAnsi="Arial"/>
          <w:sz w:val="21"/>
          <w:szCs w:val="21"/>
        </w:rPr>
        <w:t xml:space="preserve">(2024)。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2.1 三大分子特征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协同结合(cooperative / avidity)：</w:t>
      </w:r>
      <w:r>
        <w:rPr>
          <w:rFonts w:ascii="Arial" w:cs="Arial" w:eastAsia="Arial" w:hAnsi="Arial"/>
          <w:sz w:val="21"/>
          <w:szCs w:val="21"/>
        </w:rPr>
        <w:t xml:space="preserve">VEGF 与 PD-1 同时结合时形成最稳定的『簇(cluster)』复合物——VEGF 的结合增强对 PD-1 的亲和，反之亦然。体外数据：在 VEGF 存在下对 PD-1 亲和力提升 &gt;18 倍；在 PD-1 存在下对 VEGF 亲和力提升 &gt;4 倍。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肿瘤条件性高亲和(TME-conditional)：</w:t>
      </w:r>
      <w:r>
        <w:rPr>
          <w:rFonts w:ascii="Arial" w:cs="Arial" w:eastAsia="Arial" w:hAnsi="Arial"/>
          <w:sz w:val="21"/>
          <w:szCs w:val="21"/>
        </w:rPr>
        <w:t xml:space="preserve">肿瘤微环境中 VEGF 高表达，依沃西因此在肿瘤局部获得更高 avidity 与更久滞留，相对降低外周/全身暴露——这被认为是其『在鳞癌也相对安全、外周抗血管毒性可控』的分子基础。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Fc 沉默(Fc-silent)：</w:t>
      </w:r>
      <w:r>
        <w:rPr>
          <w:rFonts w:ascii="Arial" w:cs="Arial" w:eastAsia="Arial" w:hAnsi="Arial"/>
          <w:sz w:val="21"/>
          <w:szCs w:val="21"/>
        </w:rPr>
        <w:t xml:space="preserve">Fc 段引入沉默突变，消除 FcγRI/IIIa 结合，显著降低 ADCC/ADCP 与细胞因子释放——避免清除 PD-1+ 效应 T 细胞、降低输注反应风险。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2.2 机制→临床的映射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360"/>
        <w:gridCol w:w="2900"/>
      </w:tblGrid>
      <w:tr>
        <w:trPr>
          <w:tblHeader/>
        </w:trP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机制要素</w:t>
            </w:r>
          </w:p>
        </w:tc>
        <w:tc>
          <w:tcPr>
            <w:tcW w:type="dxa" w:w="4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生物学效应</w:t>
            </w:r>
          </w:p>
        </w:tc>
        <w:tc>
          <w:tcPr>
            <w:tcW w:type="dxa" w:w="2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对应的临床读出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PD-1/PD-L1 阻断</w:t>
            </w:r>
          </w:p>
        </w:tc>
        <w:tc>
          <w:tcPr>
            <w:tcW w:type="dxa" w:w="4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解除 T 细胞免疫抑制</w:t>
            </w:r>
          </w:p>
        </w:tc>
        <w:tc>
          <w:tcPr>
            <w:tcW w:type="dxa" w:w="2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IO 基础疗效(ORR、PFS)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VEGF-A/VEGFR2 阻断</w:t>
            </w:r>
          </w:p>
        </w:tc>
        <w:tc>
          <w:tcPr>
            <w:tcW w:type="dxa" w:w="4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抗血管生成 + 血管正常化 + 逆转 VEGF 介导的免疫抑制(Treg/MDSC↓、DC 成熟↑、T 细胞浸润↑)</w:t>
            </w:r>
          </w:p>
        </w:tc>
        <w:tc>
          <w:tcPr>
            <w:tcW w:type="dxa" w:w="2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在 IO 弱势人群(PD-L1 低、EGFRm)亦获益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协同/高 avidity</w:t>
            </w:r>
          </w:p>
        </w:tc>
        <w:tc>
          <w:tcPr>
            <w:tcW w:type="dxa" w:w="4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在肿瘤处把两条通路『共定位』放大</w:t>
            </w:r>
          </w:p>
        </w:tc>
        <w:tc>
          <w:tcPr>
            <w:tcW w:type="dxa" w:w="2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HR 优于历史 IO 单药；HARMONi-2 头对头胜出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肿瘤条件性结合</w:t>
            </w:r>
          </w:p>
        </w:tc>
        <w:tc>
          <w:tcPr>
            <w:tcW w:type="dxa" w:w="4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外周 VEGF 暴露相对降低</w:t>
            </w:r>
          </w:p>
        </w:tc>
        <w:tc>
          <w:tcPr>
            <w:tcW w:type="dxa" w:w="2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鳞癌可用(HARMONi-6)、出血风险相对可控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Fc 沉默</w:t>
            </w:r>
          </w:p>
        </w:tc>
        <w:tc>
          <w:tcPr>
            <w:tcW w:type="dxa" w:w="4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不清除 PD-1+ T 细胞、低 CRS</w:t>
            </w:r>
          </w:p>
        </w:tc>
        <w:tc>
          <w:tcPr>
            <w:tcW w:type="dxa" w:w="29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6"/>
                <w:szCs w:val="16"/>
              </w:rPr>
              <w:t xml:space="preserve">安全性/耐受性优化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与『PD-1 单抗 + 抗血管药』简单联用相比，</w:t>
      </w:r>
      <w:r>
        <w:rPr>
          <w:rFonts w:ascii="Arial" w:cs="Arial" w:eastAsia="Arial" w:hAnsi="Arial"/>
          <w:sz w:val="21"/>
          <w:szCs w:val="21"/>
        </w:rPr>
        <w:t xml:space="preserve">双抗把两种作用集中到同一分子、同一空间(肿瘤),理论上提升协同、降低系统性抗血管毒性——这正是下一节中『LEAP 系列联用失败』反衬出的差异化价值。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来源：iScience (2024) 依沃西 MOA 全文；AACR/SITC 机制海报；Frontiers 综述(2025/2026)。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三、AK112 对比同类竞品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3.1 前车之鉴：过往『IO+抗血管』为何失败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依沃西的差异化，最好放在『联用范式失败史』中理解。最具代表性的是 Merck/Eisai 的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LEAP 系列(帕博利珠 + 仑伐替尼)</w:t>
      </w:r>
      <w:r>
        <w:rPr>
          <w:rFonts w:ascii="Arial" w:cs="Arial" w:eastAsia="Arial" w:hAnsi="Arial"/>
          <w:sz w:val="21"/>
          <w:szCs w:val="21"/>
        </w:rPr>
        <w:t xml:space="preserve">：尽管机制假设与依沃西相似(IO + 抗血管),但在多项 III 期注册研究中失败，且毒性显著升高。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850"/>
        <w:gridCol w:w="3160"/>
        <w:gridCol w:w="2000"/>
      </w:tblGrid>
      <w:tr>
        <w:trPr>
          <w:tblHeader/>
        </w:trPr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失败/受挫案例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场景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结果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教训</w:t>
            </w:r>
          </w:p>
        </w:tc>
      </w:tr>
      <w:tr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LEAP-007(帕博+仑伐替尼)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NSCLC, PD-L1≥1%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00020"/>
                <w:sz w:val="15"/>
                <w:szCs w:val="15"/>
              </w:rPr>
              <w:t xml:space="preserve">未改善 OS/PFS；≥3 级 TRAE 57.9% vs 24.4%，提前终止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系统性抗血管联用毒性大、获益不稳</w:t>
            </w:r>
          </w:p>
        </w:tc>
      </w:tr>
      <w:tr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LEAP-008 / SAPPHIRE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IO 经治后 NSCLC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00020"/>
                <w:sz w:val="15"/>
                <w:szCs w:val="15"/>
              </w:rPr>
              <w:t xml:space="preserve">未达 OS 获益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后线联用同样难奏效</w:t>
            </w:r>
          </w:p>
        </w:tc>
      </w:tr>
      <w:tr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LEAP(头颈) 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晚期头颈鳞癌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00020"/>
                <w:sz w:val="15"/>
                <w:szCs w:val="15"/>
              </w:rPr>
              <w:t xml:space="preserve">未改善 OS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跨瘤种联用普遍受挫</w:t>
            </w:r>
          </w:p>
        </w:tc>
      </w:tr>
      <w:tr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贝伐珠单抗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鳞状 NSCLC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00020"/>
                <w:sz w:val="15"/>
                <w:szCs w:val="15"/>
              </w:rPr>
              <w:t xml:space="preserve">因致命性肺出血禁用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传统抗血管在鳞癌为禁区</w:t>
            </w:r>
          </w:p>
        </w:tc>
      </w:tr>
      <w:tr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全球 HARMONi(依沃西)</w:t>
            </w:r>
          </w:p>
        </w:tc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2L EGFRm NSCLC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7791F"/>
                <w:sz w:val="15"/>
                <w:szCs w:val="15"/>
              </w:rPr>
              <w:t xml:space="preserve">PFS 达标，OS 主分析未显著</w:t>
            </w:r>
          </w:p>
        </w:tc>
        <w:tc>
          <w:tcPr>
            <w:tcW w:type="dxa" w:w="20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双抗亦需直面海外 OS 验证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核心结论：</w:t>
      </w:r>
      <w:r>
        <w:rPr>
          <w:rFonts w:ascii="Arial" w:cs="Arial" w:eastAsia="Arial" w:hAnsi="Arial"/>
          <w:sz w:val="21"/>
          <w:szCs w:val="21"/>
        </w:rPr>
        <w:t xml:space="preserve">『把抗血管药系统性地加到 IO 上』既不稳定也更毒。依沃西用单分子共定位 + 肿瘤条件性结合来规避这两点——HARMONi-2(头对头胜 K 药)与 HARMONi-6(鳞癌 OS 获益)正是对这一逻辑的临床证明。但全球 HARMONi 的 OS 提醒：双抗并非自动『包赢』，海外 OS 仍需读出验证。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来源：LEAP-007(JTO/ScienceDirect)、ESMO IO 2023、ASCO Post、OncLive。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3.2 未失败竞品：交易、机制与数据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2024-2025 年，『PD-1/L1×VEGF』成为 MNC 抢筹的最热赛道之一，验证了依沃西开辟的方向，但也意味着海外竞争将异常激烈：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050"/>
        <w:gridCol w:w="2560"/>
        <w:gridCol w:w="2600"/>
      </w:tblGrid>
      <w:tr>
        <w:trPr>
          <w:tblHeader/>
        </w:trP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资产 / 公司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靶点 / 平台</w:t>
            </w:r>
          </w:p>
        </w:tc>
        <w:tc>
          <w:tcPr>
            <w:tcW w:type="dxa" w:w="25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交易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状态与关键数据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依沃西 / 康方→Summit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PD-1×VEGF(Tetrabody, 四价 Fc-silent)</w:t>
            </w:r>
          </w:p>
        </w:tc>
        <w:tc>
          <w:tcPr>
            <w:tcW w:type="dxa" w:w="25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2022：5 亿美元首付 + 最高约 45 亿里程碑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2E7D32"/>
                <w:sz w:val="14"/>
                <w:szCs w:val="14"/>
              </w:rPr>
              <w:t xml:space="preserve">全球唯一已上市；FDA 已受理 BLA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Pumitamig(BNT327/PM8002) / Biotheus→BioNTech→BMS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PD-L1×VEGF-A</w:t>
            </w:r>
          </w:p>
        </w:tc>
        <w:tc>
          <w:tcPr>
            <w:tcW w:type="dxa" w:w="25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2024 BioNTech 收购 Biotheus；2025-06 与 BMS 共同开发，最高约 110 亿美元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2E75B6"/>
                <w:sz w:val="14"/>
                <w:szCs w:val="14"/>
              </w:rPr>
              <w:t xml:space="preserve">1L ES-SCLC cORR 76–85%、mPFS≈6.8–6.9 月；2L SCLC mOS 14.3 月；TNBC/NSCLC III 期推进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SSGJ-707 / 三生制药→Pfizer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PD-1×VEGF(CLF2 平台)</w:t>
            </w:r>
          </w:p>
        </w:tc>
        <w:tc>
          <w:tcPr>
            <w:tcW w:type="dxa" w:w="25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2025：12.5 亿首付 + 最高 48 亿里程碑 + 1 亿股权(中国权益三生保留)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2E75B6"/>
                <w:sz w:val="14"/>
                <w:szCs w:val="14"/>
              </w:rPr>
              <w:t xml:space="preserve">1L NSCLC 单药 ORR 非鳞 54.5%/鳞 75%(10mg/kg);血脂升高等 AE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LM-299 / 礼新医药→Merck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PD-1×VEGF</w:t>
            </w:r>
          </w:p>
        </w:tc>
        <w:tc>
          <w:tcPr>
            <w:tcW w:type="dxa" w:w="25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2024：5.88 亿首付 + 最高 27 亿里程碑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早期阶段；Merck 押注接棒 K 药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IBI363 / 信达</w:t>
            </w:r>
          </w:p>
        </w:tc>
        <w:tc>
          <w:tcPr>
            <w:tcW w:type="dxa" w:w="20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PD-1×IL-2α(IO 2.0 邻位赛道)</w:t>
            </w:r>
          </w:p>
        </w:tc>
        <w:tc>
          <w:tcPr>
            <w:tcW w:type="dxa" w:w="25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自研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595959"/>
                <w:sz w:val="14"/>
                <w:szCs w:val="14"/>
              </w:rPr>
              <w:t xml:space="preserve">NSCLC/CRC/黑色素瘤数据积极；非 VEGF 路线的 IO 2.0 竞争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来源：BioNTech/BMS、Pfizer/3SBio、Merck/LaNova 公告；ASCO 2025；JTO；FierceBiotech/Pharma。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3.3 竞争格局研判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中国内外两个战场：</w:t>
      </w:r>
      <w:r>
        <w:rPr>
          <w:rFonts w:ascii="Arial" w:cs="Arial" w:eastAsia="Arial" w:hAnsi="Arial"/>
          <w:sz w:val="21"/>
          <w:szCs w:val="21"/>
        </w:rPr>
        <w:t xml:space="preserve">中国市场依沃西先发 + 医保 + 适应症最全，短期领先稳固；海外则是 BMS/Merck/Pfizer 等巨头与 Summit 同台，资金与商业化能力远超 Summit。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适应症卡位：</w:t>
      </w:r>
      <w:r>
        <w:rPr>
          <w:rFonts w:ascii="Arial" w:cs="Arial" w:eastAsia="Arial" w:hAnsi="Arial"/>
          <w:sz w:val="21"/>
          <w:szCs w:val="21"/>
        </w:rPr>
        <w:t xml:space="preserve">BNT327 在 SCLC/TNBC 抢先，依沃西在 NSCLC(尤其 1L、鳞癌、EGFR)最深；赛道有望按瘤种分化。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时间即壁垒：</w:t>
      </w:r>
      <w:r>
        <w:rPr>
          <w:rFonts w:ascii="Arial" w:cs="Arial" w:eastAsia="Arial" w:hAnsi="Arial"/>
          <w:sz w:val="21"/>
          <w:szCs w:val="21"/>
        </w:rPr>
        <w:t xml:space="preserve">依沃西的多项 III 期读出与上市领先竞品 1–3 年，先发数据与真实世界证据是其最现实的护城河。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四、康方国内业务：医保放量与销售预估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4.1 商业化与财务概览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2100"/>
        <w:gridCol w:w="2200"/>
        <w:gridCol w:w="2300"/>
      </w:tblGrid>
      <w:tr>
        <w:trPr>
          <w:tblHeader/>
        </w:trP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指标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2023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</w:t>
            </w:r>
          </w:p>
        </w:tc>
      </w:tr>
      <w:t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商业销售收入(亿元)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≈16.3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20.44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30.33</w:t>
            </w:r>
          </w:p>
        </w:tc>
      </w:tr>
      <w:t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商业销售同比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+25.3%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+51.5%</w:t>
            </w:r>
          </w:p>
        </w:tc>
      </w:tr>
      <w:t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卡度尼利(估)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约 13–14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约 15(H1 7.06)</w:t>
            </w:r>
          </w:p>
        </w:tc>
      </w:tr>
      <w:t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依沃西(估)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约 3(5 月上市)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约 12–13</w:t>
            </w:r>
          </w:p>
        </w:tc>
      </w:tr>
      <w:t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盈亏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受授权收入影响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盈利(含 Summit 里程碑)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H1 由盈转亏(授权收入回落)</w:t>
            </w:r>
          </w:p>
        </w:tc>
      </w:tr>
      <w:tr>
        <w:tc>
          <w:tcPr>
            <w:tcW w:type="dxa" w:w="27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现金及短期金融资产</w:t>
            </w:r>
          </w:p>
        </w:tc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—</w:t>
            </w:r>
          </w:p>
        </w:tc>
        <w:tc>
          <w:tcPr>
            <w:tcW w:type="dxa" w:w="23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H1 末约 71 亿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来源：公司 2024/2025 年报与 2025 中期业绩；分产品为分析师估算(公司未逐一披露)。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4.2 医保放量逻辑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『以价换量』：</w:t>
      </w:r>
      <w:r>
        <w:rPr>
          <w:rFonts w:ascii="Arial" w:cs="Arial" w:eastAsia="Arial" w:hAnsi="Arial"/>
          <w:sz w:val="21"/>
          <w:szCs w:val="21"/>
        </w:rPr>
        <w:t xml:space="preserve">依沃西医保单价 736 元/瓶，约合满疗程 15.9 万元/年；卡度尼利同量级。两药全部适应症已纳入医保，可及性与入院率大幅提升。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适应症扩张叠加：</w:t>
      </w:r>
      <w:r>
        <w:rPr>
          <w:rFonts w:ascii="Arial" w:cs="Arial" w:eastAsia="Arial" w:hAnsi="Arial"/>
          <w:sz w:val="21"/>
          <w:szCs w:val="21"/>
        </w:rPr>
        <w:t xml:space="preserve">依沃西 2025-04 获批 1L PD-L1+ 单药、鳞癌 sNDA 审评中；卡度尼利新增 1L 胃癌、1L 宫颈癌——新适应症进入医保后的放量是 2026 主线。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风险：</w:t>
      </w:r>
      <w:r>
        <w:rPr>
          <w:rFonts w:ascii="Arial" w:cs="Arial" w:eastAsia="Arial" w:hAnsi="Arial"/>
          <w:sz w:val="21"/>
          <w:szCs w:val="21"/>
        </w:rPr>
        <w:t xml:space="preserve">医保续约/年度谈判降价、集采外的院端控费、以及竞品(国产 PD-1 及后续双抗)价格战，会压制单价与渗透节奏。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4.3 销售预估(Base Case，详见配套 Excel 模型)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方法：自下而上『可治疗患者 × 渗透率 × 人均年实现净收入』分适应症测算，2024–2025 校准至公司披露口径，2026–2030 预测。下表为 base case 两大双抗中国销售：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blHeader/>
        </w:trP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亿元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2024E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2025E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2026E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2027E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2028E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2029E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2030E</w:t>
            </w:r>
          </w:p>
        </w:tc>
      </w:tr>
      <w:t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AK112 依沃西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3.4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12.2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33.1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61.8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89.1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111.3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134.7</w:t>
            </w:r>
          </w:p>
        </w:tc>
      </w:tr>
      <w:t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AK104 卡度尼利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8.2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15.4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25.3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36.5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46.1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54.0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61.6</w:t>
            </w:r>
          </w:p>
        </w:tc>
      </w:tr>
      <w:t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两大双抗合计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11.6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27.6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58.5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98.3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135.1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165.3</w:t>
            </w:r>
          </w:p>
        </w:tc>
        <w:tc>
          <w:tcPr>
            <w:tcW w:type="dxa" w:w="108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196.3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敏感性(2030E 合计，亿元)：</w:t>
      </w:r>
      <w:r>
        <w:rPr>
          <w:rFonts w:ascii="Arial" w:cs="Arial" w:eastAsia="Arial" w:hAnsi="Arial"/>
          <w:sz w:val="21"/>
          <w:szCs w:val="21"/>
        </w:rPr>
        <w:t xml:space="preserve">收入对渗透率与净价均近似线性。渗透率 ±30%、净价 ±15% 的组合区间约为 117–294 亿元，base case(1.0×1.0)=196 亿。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渗透率↓ \ 净价→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0.85×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0.925×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1.0×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1.075×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1.15×</w:t>
            </w:r>
          </w:p>
        </w:tc>
      </w:tr>
      <w:tr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0.70×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117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127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138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148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158</w:t>
            </w:r>
          </w:p>
        </w:tc>
      </w:tr>
      <w:tr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0.85×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142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155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167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180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192</w:t>
            </w:r>
          </w:p>
        </w:tc>
      </w:tr>
      <w:tr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1.00×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167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182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196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212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226</w:t>
            </w:r>
          </w:p>
        </w:tc>
      </w:tr>
      <w:tr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1.15×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192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209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226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243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260</w:t>
            </w:r>
          </w:p>
        </w:tc>
      </w:tr>
      <w:tr>
        <w:tc>
          <w:tcPr>
            <w:tcW w:type="dxa" w:w="23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</w:rPr>
              <w:t xml:space="preserve">1.30×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218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237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256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275</w:t>
            </w:r>
          </w:p>
        </w:tc>
        <w:tc>
          <w:tcPr>
            <w:tcW w:type="dxa" w:w="14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</w:rPr>
              <w:t xml:space="preserve">294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关键假设与提醒：</w:t>
      </w:r>
      <w:r>
        <w:rPr>
          <w:rFonts w:ascii="Arial" w:cs="Arial" w:eastAsia="Arial" w:hAnsi="Arial"/>
          <w:sz w:val="21"/>
          <w:szCs w:val="21"/>
        </w:rPr>
        <w:t xml:space="preserve">人均年净收入按医保后单价及真实治疗时长折算(依沃西约 8–9.5 万元、卡度尼利约 9–10 万元);依沃西 2030 base 已隐含其成为中国 1L NSCLC 主导 IO 骨架的较激进渗透。所有分产品/适应症拆分为估算，仅供框架推演。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来源：配套《康方生物_AK112_AK104_销售预测模型.xlsx》;公司披露的 736 元/瓶医保价与销售总额为校准锚点。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五、康方其他管线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5.1 卡度尼利(AK104, PD-1/CTLA-4)——被低估的第二增长极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全球首个获批的 PD-1/CTLA-4 双抗，已治疗约 12 万患者。中国已获批：2L+ 宫颈癌、1L 宫颈癌(+化疗±贝伐)、1L 胃/GEJ 腺癌(+化疗)。其『PD-L1 全人群获益』是与 PD-1 单抗最大的区别。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060"/>
        <w:gridCol w:w="2600"/>
      </w:tblGrid>
      <w:tr>
        <w:trPr>
          <w:tblHeader/>
        </w:trP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研究 / 适应症</w:t>
            </w:r>
          </w:p>
        </w:tc>
        <w:tc>
          <w:tcPr>
            <w:tcW w:type="dxa" w:w="40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关键数据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意义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COMPASSION-15(1L 胃/GEJ,HER2−)</w:t>
            </w:r>
          </w:p>
        </w:tc>
        <w:tc>
          <w:tcPr>
            <w:tcW w:type="dxa" w:w="40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终期 OS HR 0.61；期中 mOS 14.1(ITT)/15.3(CPS≥5)月；HR 0.66(ITT)/0.58(CPS≥5)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PD-L1 CPS&lt;1 占 23% 仍获益——突破 IO 在低表达人群短板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COMPASSION-03(2L 宫颈癌 单药)</w:t>
            </w:r>
          </w:p>
        </w:tc>
        <w:tc>
          <w:tcPr>
            <w:tcW w:type="dxa" w:w="40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CR 患者 24 月 OS 率 100%(n=99 可评估,中位随访 26.5 月)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难治瘤种长期生存信号</w:t>
            </w:r>
          </w:p>
        </w:tc>
      </w:tr>
      <w:tr>
        <w:tc>
          <w:tcPr>
            <w:tcW w:type="dxa" w:w="27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国际注册研究</w:t>
            </w:r>
          </w:p>
        </w:tc>
        <w:tc>
          <w:tcPr>
            <w:tcW w:type="dxa" w:w="40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胃癌头对头 vs 纳武利尤(III 期);IO 耐药 HCC 注册研究</w:t>
            </w:r>
          </w:p>
        </w:tc>
        <w:tc>
          <w:tcPr>
            <w:tcW w:type="dxa" w:w="26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推动卡度尼利全球价值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布局：</w:t>
      </w:r>
      <w:r>
        <w:rPr>
          <w:rFonts w:ascii="Arial" w:cs="Arial" w:eastAsia="Arial" w:hAnsi="Arial"/>
          <w:sz w:val="21"/>
          <w:szCs w:val="21"/>
        </w:rPr>
        <w:t xml:space="preserve">全球 12 项注册/III 期，覆盖 10+ 瘤种;并与依沃西、自研 ADC 组成联用矩阵。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来源：ESMO 2025(COMPASSION-15 终期)、AACR 2024、CancerNetwork/OncLive;公司公告。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5.2 其他在研与已上市资产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50"/>
        <w:gridCol w:w="2150"/>
        <w:gridCol w:w="3160"/>
        <w:gridCol w:w="2200"/>
      </w:tblGrid>
      <w:tr>
        <w:trPr>
          <w:tblHeader/>
        </w:trP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资产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靶点 / 机制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进展与数据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未来时间表(估)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潘普利单抗 AK105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PD-1 单抗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2E7D32"/>
                <w:sz w:val="14"/>
                <w:szCs w:val="14"/>
              </w:rPr>
              <w:t xml:space="preserve">FDA 批准用于 NPC(基于 AK105-304/202);中国多适应症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美国商业化推进中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利古单抗 AK117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CD47(『别吃我』)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1L PD-L1+ 头颈鳞癌 III 期(vs 帕博,首个进实体瘤 III 期的 CD47);MDS/AML+阿扎胞苷 II 期(EHA 2026 积极)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实体瘤 III 期读出 2026–2027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AK129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PD-1×LAG-3 双抗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联合利古单抗治疗 cHL 的 I/II 期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早中期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AK150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三特异抗体(首个)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已进入临床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概念验证阶段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AK146D1 / AK138D1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双抗 ADC(Trop2/Nectin4)/ HER3 ADC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ADC 2.0;与双抗联用 II 期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I/II 期数据 2026–2027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TCE / siRNA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Dual-Lock TCE;Tissue-Smart siRNA(AK139/AK152/KF111/KF115)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陆续进入临床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早期</w:t>
            </w:r>
          </w:p>
        </w:tc>
      </w:tr>
      <w:tr>
        <w:tc>
          <w:tcPr>
            <w:tcW w:type="dxa" w:w="18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自免/代谢(已上市)</w:t>
            </w:r>
          </w:p>
        </w:tc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依巴洛单抗(IL-12/23)、古莫奇单抗(IL-17A)、曼菲(IL-4Rα)、依努西(PCSK9)</w:t>
            </w:r>
          </w:p>
        </w:tc>
        <w:tc>
          <w:tcPr>
            <w:tcW w:type="dxa" w:w="31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已商业化,贡献增量收入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持续放量</w:t>
            </w:r>
          </w:p>
        </w:tc>
      </w:tr>
    </w:tbl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来源：公司 2025 年报、EHA 2026、PR Newswire;部分时间为基于公开进度的估计。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六、HARMONi-3 与 HARMONi-7 数据优质可能性研判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这两项全球 III 期是依沃西海外价值的『终局裁判』。下表先并列设计，再给出我们的概率研判(系分析判断,非公司指引)：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630"/>
        <w:gridCol w:w="3630"/>
      </w:tblGrid>
      <w:tr>
        <w:trPr>
          <w:tblHeader/>
        </w:trP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维度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HARMONi-3(全球)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HARMONi-7(全球)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人群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NSCLC(鳞 + 非鳞)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1L PD-L1 高表达(TPS≥50%)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方案 / 对照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依沃西+化疗 vs 帕博+化疗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依沃西单药 vs 帕博单药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主要终点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PFS / OS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OS 与 PFS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中国先例支撑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HARMONi-6(鳞,OS 胜 PD-1+化疗)、HARMONi-2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HARMONi-2(单药 PFS HR 0.51,但 OS 仅期中)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『地板』高低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有化疗托底,下行风险较小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无化疗托底,纯免疫单药对决</w:t>
            </w:r>
          </w:p>
        </w:tc>
      </w:tr>
      <w:tr>
        <w:tc>
          <w:tcPr>
            <w:tcW w:type="dxa" w:w="21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对照强度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帕博+化疗(强但有联用先例)</w:t>
            </w:r>
          </w:p>
        </w:tc>
        <w:tc>
          <w:tcPr>
            <w:tcW w:type="dxa" w:w="363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帕博单药在 PD-L1≥50% 极强</w:t>
            </w:r>
          </w:p>
        </w:tc>
      </w:tr>
    </w:tbl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6.1 我们的研判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rPr>
          <w:tblHeader/>
        </w:trP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读出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PFS 成功概率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OS 成功概率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理由摘要</w:t>
            </w:r>
          </w:p>
        </w:tc>
      </w:tr>
      <w:t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HARMONi-3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5"/>
                <w:szCs w:val="15"/>
              </w:rPr>
              <w:t xml:space="preserve">高(约 80–85%)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7791F"/>
                <w:sz w:val="15"/>
                <w:szCs w:val="15"/>
              </w:rPr>
              <w:t xml:space="preserve">中高(约 55–65%)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化疗托底 + 中国鳞/非鳞先例;OS 取决于西方人群可外推性</w:t>
            </w:r>
          </w:p>
        </w:tc>
      </w:tr>
      <w:tr>
        <w:tc>
          <w:tcPr>
            <w:tcW w:type="dxa" w:w="18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5"/>
                <w:szCs w:val="15"/>
              </w:rPr>
              <w:t xml:space="preserve">HARMONi-7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7791F"/>
                <w:sz w:val="15"/>
                <w:szCs w:val="15"/>
              </w:rPr>
              <w:t xml:space="preserve">中(约 55–65%)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color w:val="B00020"/>
                <w:sz w:val="15"/>
                <w:szCs w:val="15"/>
              </w:rPr>
              <w:t xml:space="preserve">中(约 40–50%)</w:t>
            </w:r>
          </w:p>
        </w:tc>
        <w:tc>
          <w:tcPr>
            <w:tcW w:type="dxa" w:w="252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5"/>
                <w:szCs w:val="15"/>
              </w:rPr>
              <w:t xml:space="preserve">单药对强对照、且在西方人群——全管线最高风险读出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逻辑链：</w:t>
      </w:r>
      <w:r>
        <w:rPr>
          <w:rFonts w:ascii="Arial" w:cs="Arial" w:eastAsia="Arial" w:hAnsi="Arial"/>
          <w:sz w:val="21"/>
          <w:szCs w:val="21"/>
        </w:rPr>
        <w:t xml:space="preserve">(1)依沃西的优势在『+化疗/联用』场景最稳(协同 + 化疗释放抗原);(2)全球 HARMONi 已暴露『PFS 易达、OS(西方)难达』的模式,故 OS 不确定性集中在海外随访与跨人群一致性;(3)HARMONi-7 是单药 vs 帕博单药、又在 PD-L1≥50%(帕博最强区)、又在西方——三重不利叠加,是最该谨慎的读出。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6.2 应重点跟踪的信号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西方亚组单独的 OS 曲线与 HR(而非仅全球合并值);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随访成熟度(全球 HARMONi 的教训是随访不足拖累 OS);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安全性在西方人群是否出现更高的出血/VTE/蛋白尿,影响给药与依从。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七、康方双抗平台 vs 同业双抗平台</w:t>
      </w:r>
    </w:p>
    <w:p>
      <w:pPr>
        <w:spacing w:after="120" w:before="0" w:line="264"/>
      </w:pPr>
      <w:r>
        <w:rPr>
          <w:rFonts w:ascii="Arial" w:cs="Arial" w:eastAsia="Arial" w:hAnsi="Arial"/>
          <w:sz w:val="21"/>
          <w:szCs w:val="21"/>
        </w:rPr>
        <w:t xml:space="preserve">双抗的竞争既是『分子格式(format)』之争,也是『已验证资产』之争。康方 Tetrabody 的真正稀缺性,不在结构本身,而在它已产出两款获批 IO 双抗——这是目前全球独一份。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2350"/>
        <w:gridCol w:w="2660"/>
        <w:gridCol w:w="2200"/>
      </w:tblGrid>
      <w:tr>
        <w:trPr>
          <w:tblHeader/>
        </w:trP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公司 / 平台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格式特点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代表(已上市/领先)资产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差异化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康方 Tetrabody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四价、对称 IgG-scFv,无错配,可 Fc 工程化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4"/>
                <w:szCs w:val="14"/>
              </w:rPr>
              <w:t xml:space="preserve">卡度尼利(PD-1/CTLA-4)、依沃西(PD-1/VEGF)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唯一两款获批 IO 检查点双抗——临床验证护城河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Genmab DuoBody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受控 Fab-arm 交换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Epcoritamab(CD3×CD20)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TCE 领域强,授权广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Roche CrossMAb + KiH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杵臼结构 + 链交叉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Faricimab(眼科)、Glofitamab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MNC 体量,平台成熟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Zymeworks Azymetric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Fc 异源二聚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Zanidatamab(HER2 双表位)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双表位 ADC/双抗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Merus Biclonics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共同轻链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Zenocutuzumab(NRG1)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靶点新颖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Xencor XmAb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Fc 异二聚平台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多个 TCE 在研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Fc 工程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康宁杰瑞 CRIB / 电荷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电荷工程异二聚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KN046(PD-L1/CTLA-4)、KN026(HER2 双表位)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国产双抗先行者之一</w:t>
            </w:r>
          </w:p>
        </w:tc>
      </w:tr>
      <w:tr>
        <w:tc>
          <w:tcPr>
            <w:tcW w:type="dxa" w:w="21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14"/>
                <w:szCs w:val="14"/>
              </w:rPr>
              <w:t xml:space="preserve">岸迈 FIT-Ig</w:t>
            </w:r>
          </w:p>
        </w:tc>
        <w:tc>
          <w:tcPr>
            <w:tcW w:type="dxa" w:w="235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四价 Fabs-in-tandem</w:t>
            </w:r>
          </w:p>
        </w:tc>
        <w:tc>
          <w:tcPr>
            <w:tcW w:type="dxa" w:w="266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Izalontamab(EGFR×HER3)等</w:t>
            </w:r>
          </w:p>
        </w:tc>
        <w:tc>
          <w:tcPr>
            <w:tcW w:type="dxa" w:w="2200"/>
            <w:tcBorders>
              <w:top w:val="single" w:color="C9D4E2" w:sz="1"/>
              <w:left w:val="single" w:color="C9D4E2" w:sz="1"/>
              <w:bottom w:val="single" w:color="C9D4E2" w:sz="1"/>
              <w:right w:val="single" w:color="C9D4E2" w:sz="1"/>
            </w:tcBorders>
            <w:shd w:fill="F2F6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4"/>
                <w:szCs w:val="14"/>
              </w:rPr>
              <w:t xml:space="preserve">四价格式同台竞争</w:t>
            </w:r>
          </w:p>
        </w:tc>
      </w:tr>
    </w:tbl>
    <w:p>
      <w:pPr>
        <w:spacing w:after="120" w:before="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结论：</w:t>
      </w:r>
      <w:r>
        <w:rPr>
          <w:rFonts w:ascii="Arial" w:cs="Arial" w:eastAsia="Arial" w:hAnsi="Arial"/>
          <w:sz w:val="21"/>
          <w:szCs w:val="21"/>
        </w:rPr>
        <w:t xml:space="preserve">多数平台仍以 TCE/血液瘤或单一明星资产见长;在『实体瘤 IO 检查点双抗』这一最大蛋糕上,康方以两款获批产品 + 多项头对头 III 期形成代差式领先。平台叙事易被复制,真实世界处方与生存数据难被复制——这是康方最硬的资产。</w:t>
      </w:r>
    </w:p>
    <w:p>
      <w:pPr>
        <w:spacing w:after="16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来源：各公司公开披露;格式描述为行业通识性归纳。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八、易被忽视但重要的要点(分析师补充)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Summit 合作的『海外双刃剑』：</w:t>
      </w:r>
      <w:r>
        <w:rPr>
          <w:rFonts w:ascii="Arial" w:cs="Arial" w:eastAsia="Arial" w:hAnsi="Arial"/>
          <w:sz w:val="21"/>
          <w:szCs w:val="21"/>
        </w:rPr>
        <w:t xml:space="preserve">Summit 资金/商业化能力远不及 BMS/Merck/Pfizer;若海外 OS 不确定或审批延迟,依沃西海外价值兑现速度与里程碑节奏都将受制于合作方执行力。FDA 已受理 BLA(nsq、三代 TKI 后),但对『以中国为主的数据 + OS 未达显著』的审评态度是关键变量。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地缘政治(BIOSECURE 等)：</w:t>
      </w:r>
      <w:r>
        <w:rPr>
          <w:rFonts w:ascii="Arial" w:cs="Arial" w:eastAsia="Arial" w:hAnsi="Arial"/>
          <w:sz w:val="21"/>
          <w:szCs w:val="21"/>
        </w:rPr>
        <w:t xml:space="preserve">中美生物医药脱钩风险,可能影响数据采信、供应链与海外合作;依沃西恰是『中国创新出海』的标杆案例,既享红利也承风险。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帕博 2028 专利悬崖的时间窗：</w:t>
      </w:r>
      <w:r>
        <w:rPr>
          <w:rFonts w:ascii="Arial" w:cs="Arial" w:eastAsia="Arial" w:hAnsi="Arial"/>
          <w:sz w:val="21"/>
          <w:szCs w:val="21"/>
        </w:rPr>
        <w:t xml:space="preserve">K 药将于约 2028 年专利到期,皮下版(Qlex)用于防守。依沃西若能在 2026–2028 完成全球关键读出与上市,有望卡位『下一代 1L 骨架』——时间窗与悬崖高度吻合,是被低估的战略红利。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医保经济学的另一面：</w:t>
      </w:r>
      <w:r>
        <w:rPr>
          <w:rFonts w:ascii="Arial" w:cs="Arial" w:eastAsia="Arial" w:hAnsi="Arial"/>
          <w:sz w:val="21"/>
          <w:szCs w:val="21"/>
        </w:rPr>
        <w:t xml:space="preserve">放量来自降价;年度续约、新适应症再谈判与潜在国产竞品价格战,会侵蚀单价。量价平衡(本报告敏感性已量化)决定国内利润弹性。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慢性 VEGF 阻断的长期安全性：</w:t>
      </w:r>
      <w:r>
        <w:rPr>
          <w:rFonts w:ascii="Arial" w:cs="Arial" w:eastAsia="Arial" w:hAnsi="Arial"/>
          <w:sz w:val="21"/>
          <w:szCs w:val="21"/>
        </w:rPr>
        <w:t xml:space="preserve">随着依沃西向更早期、更长疗程(乃至围手术期)推进,高血压、蛋白尿、出血、血栓等 VEGF 类 AE 的长期耐受性需持续观察,直接影响可联用性与依从。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『被低估的卡度尼利』：</w:t>
      </w:r>
      <w:r>
        <w:rPr>
          <w:rFonts w:ascii="Arial" w:cs="Arial" w:eastAsia="Arial" w:hAnsi="Arial"/>
          <w:sz w:val="21"/>
          <w:szCs w:val="21"/>
        </w:rPr>
        <w:t xml:space="preserve">市场注意力高度集中于依沃西,但卡度尼利在胃癌/宫颈癌的 PD-L1 全人群获益、IO 耐药与冷肿瘤场景,提供了更分散的现金流与期权,且估值贡献常被忽略。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现金与治理：</w:t>
      </w:r>
      <w:r>
        <w:rPr>
          <w:rFonts w:ascii="Arial" w:cs="Arial" w:eastAsia="Arial" w:hAnsi="Arial"/>
          <w:sz w:val="21"/>
          <w:szCs w:val="21"/>
        </w:rPr>
        <w:t xml:space="preserve">H1 末约 71 亿现金 + 持续授权里程碑,支撑高强度研发;创始人夏瑜博士科学家背景、长期主导战略,是平台延展(IO 2.0 + ADC 2.0)的关键软实力。</w:t>
      </w:r>
    </w:p>
    <w:p>
      <w:pPr>
        <w:pStyle w:val="ListParagraph"/>
        <w:numPr>
          <w:ilvl w:val="0"/>
          <w:numId w:val="3"/>
        </w:numPr>
        <w:spacing w:after="70" w:line="2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催化剂日历(建议跟踪)：</w:t>
      </w:r>
      <w:r>
        <w:rPr>
          <w:rFonts w:ascii="Arial" w:cs="Arial" w:eastAsia="Arial" w:hAnsi="Arial"/>
          <w:sz w:val="21"/>
          <w:szCs w:val="21"/>
        </w:rPr>
        <w:t xml:space="preserve">HARMONi-3/7 全球读出、依沃西鳞癌中国获批与美国审批进展、卡度尼利国际注册研究、CD47/ADC/三抗早期数据、2026 医保调整。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1F4E79"/>
          <w:sz w:val="25"/>
          <w:szCs w:val="25"/>
        </w:rPr>
        <w:t xml:space="preserve">风险清单(速览)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海外 OS 可外推性不及预期(尤其 HARMONi-7);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竞品(BMS/Merck/Pfizer)海外资源碾压、适应症抢跑;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医保续约降价、国内价格战压制单价;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长期/早线安全性信号;监管与地缘不确定性;</w:t>
      </w:r>
    </w:p>
    <w:p>
      <w:pPr>
        <w:pStyle w:val="ListParagraph"/>
        <w:numPr>
          <w:ilvl w:val="0"/>
          <w:numId w:val="2"/>
        </w:numPr>
        <w:spacing w:after="70" w:line="260"/>
      </w:pPr>
      <w:r>
        <w:rPr>
          <w:rFonts w:ascii="Arial" w:cs="Arial" w:eastAsia="Arial" w:hAnsi="Arial"/>
          <w:sz w:val="21"/>
          <w:szCs w:val="21"/>
        </w:rPr>
        <w:t xml:space="preserve">授权里程碑确认节奏带来的报表盈亏波动。</w:t>
      </w:r>
    </w:p>
    <w:p>
      <w:r>
        <w:br w:type="page"/>
      </w:r>
    </w:p>
    <w:p>
      <w:pPr>
        <w:pStyle w:val="Heading1"/>
        <w:pBdr>
          <w:bottom w:val="single" w:color="2E75B6" w:sz="10" w:space="4"/>
        </w:pBdr>
        <w:spacing w:after="140" w:before="28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主要来源(节选)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全球 HARMONi OS 更新(HR 0.78/名义 p=0.0332)  </w:t>
      </w:r>
      <w:hyperlink w:history="1" r:id="rIdedealckremhdgldfva3wy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https://www.akesobio.com/en/media/akeso-news/250907/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HARMONi-6 ASCO 2026 (OS HR 0.66)  </w:t>
      </w:r>
      <w:hyperlink w:history="1" r:id="rIdnoot29owfvlsjrclzxzgl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https://www.prnewswire.com/news-releases/harmoni-6-demonstrates-significant-overall-survival-benefit-hr0-66-ivonescimab-plus-chemotherapy-superior-to-pd-1-plus-chemotherapy-in-first-line-sq-nsclc-landmark-results-to-be-presented-at-asco-2026-plenary-session-302786433.html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HARMONi-A 终期 OS(HR 0.74, SITC 2025)  </w:t>
      </w:r>
      <w:hyperlink w:history="1" r:id="rIdr41u3_fcts-g2bgadvrv2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https://www.prnewswire.com/news-releases/ivonescimab-harmoni-a-study-final-os-analysis-results-presented-at-sitc-2025-with-os-hr0-74--302608764.html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HARMONi-2(WCLC 2024 / The Lancet)  </w:t>
      </w:r>
      <w:hyperlink w:history="1" r:id="rIdagtvsiowlv7-bfn3oiaf_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https://www.thelancet.com/journals/lancet/article/PIIS0140-6736(24)02722-3/abstract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HARMONi-7 设计(JTO 133TiP)  </w:t>
      </w:r>
      <w:hyperlink w:history="1" r:id="rIdzo5qzmb70zioue-6ohb-c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https://www.jto.org/article/S1556-0864(25)00328-4/fulltext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依沃西 MOA(iScience 全文)  </w:t>
      </w:r>
      <w:hyperlink w:history="1" r:id="rIdhfof93aumzv4876basc2k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https://www.cell.com/iscience/fulltext/S2589-0042(24)02949-3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Akeso 2025 全年业绩  </w:t>
      </w:r>
      <w:hyperlink w:history="1" r:id="rIdzuukdfpvuqngfmzsz2gl4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https://www.biospace.com/press-releases/akeso-reports-full-year-2025-financial-results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Akeso 2025 中期业绩  </w:t>
      </w:r>
      <w:hyperlink w:history="1" r:id="rIduioeyl3v9c1rpmavfkllr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https://www.prnewswire.com/news-releases/akesos-2025-interim-results-commercial-sales-reach-new-all-time-highs-302539063.html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COMPASSION-15 终期 OS(ESMO 2025)  </w:t>
      </w:r>
      <w:hyperlink w:history="1" r:id="rIdft4p9uv5ixj3e5_zvb-on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https://www.prnewswire.com/news-releases/significant-os-benefit-with-cadonilimab-in-first-line-advanced-gastric-cancer-final-analysis-of-compassion-15-presented-at-esmo-2025-302588409.html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BMS×BioNTech BNT327/pumitamig 合作  </w:t>
      </w:r>
      <w:hyperlink w:history="1" r:id="rIdz18y2jtsrbk0ezz4vud-f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https://news.bms.com/news/corporate-financial/2025/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Pfizer×3SBio SSGJ-707  </w:t>
      </w:r>
      <w:hyperlink w:history="1" r:id="rIdxccpydwsrk6gtql4bprbp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https://www.fiercebiotech.com/biotech/pfizer-pays-3sbio-125b-pd-1xvegf-bispecific-joining-biontech-merck-and-summit-red-hot-race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LEAP-007(帕博+仑伐替尼失败)  </w:t>
      </w:r>
      <w:hyperlink w:history="1" r:id="rIdorito-1el36n2iu15kfwy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https://www.onclive.com/view/pembrolizumab-lenvatinib-regimens-miss-survival-end-points-in-metastatic-nsclc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全球 HARMONi OS 争议解读(FiercePharma)  </w:t>
      </w:r>
      <w:hyperlink w:history="1" r:id="rIdre3nhr0dgsuraostyo6uz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https://www.fiercepharma.com/pharma/summit-global-pd-1xvegf-data-challenge-regional-consistency-claims-new-promising-survival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潘普利单抗 FDA 获批(NPC)  </w:t>
      </w:r>
      <w:hyperlink w:history="1" r:id="rIdv_buxmbb4pvtwjmhwvaex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https://www.akesobio.com/en/media/akeso-news/250425/</w:t>
        </w:r>
      </w:hyperlink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依沃西 1L 结直肠癌国际 III 期(HARMONi-GI6)  </w:t>
      </w:r>
      <w:hyperlink w:history="1" r:id="rIdmyrsaq2uuhyzt5ekrtwuw">
        <w:r>
          <w:rPr>
            <w:rStyle w:val="Hyperlink"/>
            <w:rFonts w:ascii="Arial" w:cs="Arial" w:eastAsia="Arial" w:hAnsi="Arial"/>
            <w:sz w:val="16"/>
            <w:szCs w:val="16"/>
          </w:rPr>
          <w:t xml:space="preserve">https://www.akesobio.com/en/media/akeso-news/250716/</w:t>
        </w:r>
      </w:hyperlink>
    </w:p>
    <w:p>
      <w:pPr>
        <w:spacing w:after="40" w:before="0" w:line="26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before="0" w:line="264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注：临床数值以会议/期刊正式披露为准;不同数据截点(期中/终期)与人群(ITT/亚组)可能存在差异。本报告由 AI 辅助汇编整理。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—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—    机密 · 仅供研究参考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4E2" w:sz="4" w:space="2"/>
      </w:pBdr>
      <w:jc w:val="right"/>
    </w:pPr>
    <w:r>
      <w:rPr>
        <w:rFonts w:ascii="Arial" w:cs="Arial" w:eastAsia="Arial" w:hAnsi="Arial"/>
        <w:color w:val="595959"/>
        <w:sz w:val="15"/>
        <w:szCs w:val="15"/>
      </w:rPr>
      <w:t xml:space="preserve">康方生物 (9926.HK) 深度研究报告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edealckremhdgldfva3wy" Type="http://schemas.openxmlformats.org/officeDocument/2006/relationships/hyperlink" Target="https://www.akesobio.com/en/media/akeso-news/250907/" TargetMode="External"/><Relationship Id="rIdnoot29owfvlsjrclzxzgl" Type="http://schemas.openxmlformats.org/officeDocument/2006/relationships/hyperlink" Target="https://www.prnewswire.com/news-releases/harmoni-6-demonstrates-significant-overall-survival-benefit-hr0-66-ivonescimab-plus-chemotherapy-superior-to-pd-1-plus-chemotherapy-in-first-line-sq-nsclc-landmark-results-to-be-presented-at-asco-2026-plenary-session-302786433.html" TargetMode="External"/><Relationship Id="rIdr41u3_fcts-g2bgadvrv2" Type="http://schemas.openxmlformats.org/officeDocument/2006/relationships/hyperlink" Target="https://www.prnewswire.com/news-releases/ivonescimab-harmoni-a-study-final-os-analysis-results-presented-at-sitc-2025-with-os-hr0-74--302608764.html" TargetMode="External"/><Relationship Id="rIdagtvsiowlv7-bfn3oiaf_" Type="http://schemas.openxmlformats.org/officeDocument/2006/relationships/hyperlink" Target="https://www.thelancet.com/journals/lancet/article/PIIS0140-6736(24)02722-3/abstract" TargetMode="External"/><Relationship Id="rIdzo5qzmb70zioue-6ohb-c" Type="http://schemas.openxmlformats.org/officeDocument/2006/relationships/hyperlink" Target="https://www.jto.org/article/S1556-0864(25)00328-4/fulltext" TargetMode="External"/><Relationship Id="rIdhfof93aumzv4876basc2k" Type="http://schemas.openxmlformats.org/officeDocument/2006/relationships/hyperlink" Target="https://www.cell.com/iscience/fulltext/S2589-0042(24)02949-3" TargetMode="External"/><Relationship Id="rIdzuukdfpvuqngfmzsz2gl4" Type="http://schemas.openxmlformats.org/officeDocument/2006/relationships/hyperlink" Target="https://www.biospace.com/press-releases/akeso-reports-full-year-2025-financial-results" TargetMode="External"/><Relationship Id="rIduioeyl3v9c1rpmavfkllr" Type="http://schemas.openxmlformats.org/officeDocument/2006/relationships/hyperlink" Target="https://www.prnewswire.com/news-releases/akesos-2025-interim-results-commercial-sales-reach-new-all-time-highs-302539063.html" TargetMode="External"/><Relationship Id="rIdft4p9uv5ixj3e5_zvb-on" Type="http://schemas.openxmlformats.org/officeDocument/2006/relationships/hyperlink" Target="https://www.prnewswire.com/news-releases/significant-os-benefit-with-cadonilimab-in-first-line-advanced-gastric-cancer-final-analysis-of-compassion-15-presented-at-esmo-2025-302588409.html" TargetMode="External"/><Relationship Id="rIdz18y2jtsrbk0ezz4vud-f" Type="http://schemas.openxmlformats.org/officeDocument/2006/relationships/hyperlink" Target="https://news.bms.com/news/corporate-financial/2025/" TargetMode="External"/><Relationship Id="rIdxccpydwsrk6gtql4bprbp" Type="http://schemas.openxmlformats.org/officeDocument/2006/relationships/hyperlink" Target="https://www.fiercebiotech.com/biotech/pfizer-pays-3sbio-125b-pd-1xvegf-bispecific-joining-biontech-merck-and-summit-red-hot-race" TargetMode="External"/><Relationship Id="rIdorito-1el36n2iu15kfwy" Type="http://schemas.openxmlformats.org/officeDocument/2006/relationships/hyperlink" Target="https://www.onclive.com/view/pembrolizumab-lenvatinib-regimens-miss-survival-end-points-in-metastatic-nsclc" TargetMode="External"/><Relationship Id="rIdre3nhr0dgsuraostyo6uz" Type="http://schemas.openxmlformats.org/officeDocument/2006/relationships/hyperlink" Target="https://www.fiercepharma.com/pharma/summit-global-pd-1xvegf-data-challenge-regional-consistency-claims-new-promising-survival" TargetMode="External"/><Relationship Id="rIdv_buxmbb4pvtwjmhwvaex" Type="http://schemas.openxmlformats.org/officeDocument/2006/relationships/hyperlink" Target="https://www.akesobio.com/en/media/akeso-news/250425/" TargetMode="External"/><Relationship Id="rIdmyrsaq2uuhyzt5ekrtwuw" Type="http://schemas.openxmlformats.org/officeDocument/2006/relationships/hyperlink" Target="https://www.akesobio.com/en/media/akeso-news/250716/" TargetMode="External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2026-06-10T13:03:08.868Z</dcterms:created>
  <dcterms:modified xsi:type="dcterms:W3CDTF">2026-06-10T13:03:08.868Z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