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k112-harmoni-3-结果预测分析报告"/>
    <w:p>
      <w:pPr>
        <w:pStyle w:val="Heading1"/>
      </w:pPr>
      <w:r>
        <w:t xml:space="preserve">AK112 HARMONi-3 结果预测分析报告</w:t>
      </w:r>
    </w:p>
    <w:p>
      <w:pPr>
        <w:pStyle w:val="BlockText"/>
      </w:pPr>
      <w:r>
        <w:rPr>
          <w:bCs/>
          <w:b/>
        </w:rPr>
        <w:t xml:space="preserve">报告日期</w:t>
      </w:r>
      <w:r>
        <w:t xml:space="preserve">：2026年7月6日</w:t>
      </w:r>
      <w:r>
        <w:t xml:space="preserve"> </w:t>
      </w:r>
      <w:r>
        <w:rPr>
          <w:bCs/>
          <w:b/>
        </w:rPr>
        <w:t xml:space="preserve">研究对象</w:t>
      </w:r>
      <w:r>
        <w:t xml:space="preserve">：康方生物AK112（Ivonescimab/依沃西单抗）</w:t>
      </w:r>
      <w:r>
        <w:t xml:space="preserve"> </w:t>
      </w:r>
      <w:r>
        <w:rPr>
          <w:bCs/>
          <w:b/>
        </w:rPr>
        <w:t xml:space="preserve">预测目标</w:t>
      </w:r>
      <w:r>
        <w:t xml:space="preserve">：HARMONi-3全球III期临床试验结果</w:t>
      </w:r>
      <w:r>
        <w:t xml:space="preserve"> </w:t>
      </w:r>
      <w:r>
        <w:rPr>
          <w:bCs/>
          <w:b/>
        </w:rPr>
        <w:t xml:space="preserve">分析方法</w:t>
      </w:r>
      <w:r>
        <w:t xml:space="preserve">：基于历史临床数据的跨试验外推与统计建模</w:t>
      </w:r>
    </w:p>
    <w:p>
      <w:r>
        <w:pict>
          <v:rect style="width:0;height:1.5pt" o:hralign="center" o:hrstd="t" o:hr="t"/>
        </w:pict>
      </w:r>
    </w:p>
    <w:bookmarkEnd w:id="20"/>
    <w:bookmarkStart w:id="32" w:name="第一章-执行摘要"/>
    <w:p>
      <w:pPr>
        <w:pStyle w:val="Heading1"/>
      </w:pPr>
      <w:r>
        <w:t xml:space="preserve">第一章 执行摘要</w:t>
      </w:r>
    </w:p>
    <w:bookmarkStart w:id="21" w:name="研究背景与目的"/>
    <w:p>
      <w:pPr>
        <w:pStyle w:val="Heading2"/>
      </w:pPr>
      <w:r>
        <w:t xml:space="preserve">1.1 研究背景与目的</w:t>
      </w:r>
    </w:p>
    <w:p>
      <w:pPr>
        <w:pStyle w:val="FirstParagraph"/>
      </w:pPr>
      <w:r>
        <w:t xml:space="preserve">AK112（ivonescimab，依沃西单抗）是由康方生物开发、Summit Therapeutics全球商业化的全球首创PD-1/VEGF双特异性抗体，同时也是首个在III期头对头试验中击败帕博利珠单抗（K药，pembrolizumab）的免疫检查点抑制剂</w:t>
      </w:r>
      <w:r>
        <w:rPr>
          <w:vertAlign w:val="superscript"/>
        </w:rPr>
        <w:t xml:space="preserve">1</w:t>
      </w:r>
      <w:r>
        <w:t xml:space="preserve">。HARMONi-3是Summit主导的、旨在验证AK112全球价值的关键III期临床试验，采用AK112联合化疗头对头对比K药联合化疗的优效性设计，一线治疗转移性非小细胞肺癌（NSCLC），按组织学类型分为鳞状（squamous）和非鳞状（non-squamous）两个队列分别独立分析</w:t>
      </w:r>
      <w:r>
        <w:rPr>
          <w:vertAlign w:val="superscript"/>
        </w:rPr>
        <w:t xml:space="preserve">2</w:t>
      </w:r>
      <w:r>
        <w:t xml:space="preserve">。</w:t>
      </w:r>
    </w:p>
    <w:p>
      <w:pPr>
        <w:pStyle w:val="BodyText"/>
      </w:pPr>
      <w:r>
        <w:t xml:space="preserve">本报告旨在基于AK112已完成和已披露的多项关键临床试验数据，通过跨试验桥接分析、PFS-to-OS转化模型、统计功效模拟及多维度交叉验证，对HARMONi-3的疗效结果进行系统性预测。HARMONi-3的成功不仅将决定AK112能否成为一线NSCLC的全球新标准，也将对Summit股价和康方生物估值产生深远影响，更是2026年下半年全球肿瘤药物领域最受关注的催化剂之一</w:t>
      </w:r>
      <w:r>
        <w:rPr>
          <w:vertAlign w:val="superscript"/>
        </w:rPr>
        <w:t xml:space="preserve">3</w:t>
      </w:r>
      <w:r>
        <w:t xml:space="preserve">。</w:t>
      </w:r>
    </w:p>
    <w:bookmarkEnd w:id="21"/>
    <w:bookmarkStart w:id="22" w:name="核心数据来源"/>
    <w:p>
      <w:pPr>
        <w:pStyle w:val="Heading2"/>
      </w:pPr>
      <w:r>
        <w:t xml:space="preserve">1.2 核心数据来源</w:t>
      </w:r>
    </w:p>
    <w:p>
      <w:pPr>
        <w:pStyle w:val="FirstParagraph"/>
      </w:pPr>
      <w:r>
        <w:t xml:space="preserve">本报告的预测分析建立在以下四项关键临床试验的公开数据基础之上，涵盖不同人群、不同组织学类型及不同治疗线数：</w:t>
      </w:r>
    </w:p>
    <w:p>
      <w:pPr>
        <w:pStyle w:val="BodyText"/>
      </w:pPr>
      <w:r>
        <w:rPr>
          <w:bCs/>
          <w:b/>
        </w:rPr>
        <w:t xml:space="preserve">HARMONi-6（AK112-306）</w:t>
      </w:r>
      <w:r>
        <w:t xml:space="preserve">：中国一线鳞状NSCLC，AK112联合化疗对比替雷利珠单抗联合化疗。该试验为双主要终点设计，无进展生存期（PFS）风险比（HR）为0.60（95%置信区间：0.47–0.77），p&lt;0.0001；总生存期（OS）HR为0.66（95% CI: 0.50–0.87），p=0.0017，双主要终点均达到统计学显著性</w:t>
      </w:r>
      <w:r>
        <w:rPr>
          <w:vertAlign w:val="superscript"/>
        </w:rPr>
        <w:t xml:space="preserve">45</w:t>
      </w:r>
      <w:r>
        <w:t xml:space="preserve">。中位PFS为11.14个月对比6.90个月，绝对获益达4.24个月</w:t>
      </w:r>
      <w:r>
        <w:rPr>
          <w:vertAlign w:val="superscript"/>
        </w:rPr>
        <w:t xml:space="preserve">6</w:t>
      </w:r>
      <w:r>
        <w:t xml:space="preserve">。</w:t>
      </w:r>
    </w:p>
    <w:p>
      <w:pPr>
        <w:pStyle w:val="BodyText"/>
      </w:pPr>
      <w:r>
        <w:rPr>
          <w:bCs/>
          <w:b/>
        </w:rPr>
        <w:t xml:space="preserve">HARMONi-2（AK112-303）</w:t>
      </w:r>
      <w:r>
        <w:t xml:space="preserve">：中国PD-L1阳性（TPS≥1%）一线NSCLC，AK112单药头对头对比K药单药。PFS HR为0.51（95% CI: 0.38–0.68），p&lt;0.0001；期中OS分析HR为0.777（39%成熟度）</w:t>
      </w:r>
      <w:r>
        <w:rPr>
          <w:vertAlign w:val="superscript"/>
        </w:rPr>
        <w:t xml:space="preserve">7</w:t>
      </w:r>
      <w:r>
        <w:t xml:space="preserve">。该试验是迄今为止唯一在单药头对头设计中击败K药的III期研究。</w:t>
      </w:r>
    </w:p>
    <w:p>
      <w:pPr>
        <w:pStyle w:val="BodyText"/>
      </w:pPr>
      <w:r>
        <w:rPr>
          <w:bCs/>
          <w:b/>
        </w:rPr>
        <w:t xml:space="preserve">HARMONi-A（AK112-301）</w:t>
      </w:r>
      <w:r>
        <w:t xml:space="preserve">：中国EGFR突变（EGFRm）经治一线NSCLC，AK112联合化疗对比单独化疗。PFS HR为0.46；最终OS分析HR为0.74（95% CI: 0.58–0.95），p=0.019，中位随访32.5个月</w:t>
      </w:r>
      <w:r>
        <w:rPr>
          <w:vertAlign w:val="superscript"/>
        </w:rPr>
        <w:t xml:space="preserve">8</w:t>
      </w:r>
      <w:r>
        <w:t xml:space="preserve">。</w:t>
      </w:r>
    </w:p>
    <w:p>
      <w:pPr>
        <w:pStyle w:val="BodyText"/>
      </w:pPr>
      <w:r>
        <w:rPr>
          <w:bCs/>
          <w:b/>
        </w:rPr>
        <w:t xml:space="preserve">HARMONi（全球EGFRm）</w:t>
      </w:r>
      <w:r>
        <w:t xml:space="preserve">：全球多中心EGFRm经治NSCLC，38%为西方患者。PFS HR为0.52；OS HR为0.78（p=0.0332），其中北美患者亚组OS HR为0.70，优于总体</w:t>
      </w:r>
      <w:r>
        <w:rPr>
          <w:vertAlign w:val="superscript"/>
        </w:rPr>
        <w:t xml:space="preserve">9</w:t>
      </w:r>
      <w:r>
        <w:t xml:space="preserve">。</w:t>
      </w:r>
    </w:p>
    <w:p>
      <w:pPr>
        <w:pStyle w:val="BodyText"/>
      </w:pPr>
      <w:r>
        <w:t xml:space="preserve">上述四项试验在PFS层面展现出高度一致的疗效信号（HR范围0.46–0.60），为HARMONi-3的预测提供了坚实的跨试验证据链。</w:t>
      </w:r>
    </w:p>
    <w:bookmarkEnd w:id="22"/>
    <w:bookmarkStart w:id="28" w:name="关键发现"/>
    <w:p>
      <w:pPr>
        <w:pStyle w:val="Heading2"/>
      </w:pPr>
      <w:r>
        <w:t xml:space="preserve">1.3 关键发现</w:t>
      </w:r>
    </w:p>
    <w:bookmarkStart w:id="23" w:name="跨试验疗效高度一致"/>
    <w:p>
      <w:pPr>
        <w:pStyle w:val="Heading3"/>
      </w:pPr>
      <w:r>
        <w:t xml:space="preserve">跨试验疗效高度一致</w:t>
      </w:r>
    </w:p>
    <w:p>
      <w:pPr>
        <w:pStyle w:val="FirstParagraph"/>
      </w:pPr>
      <w:r>
        <w:t xml:space="preserve">AK112在不同人群、不同组织学类型中的PFS获益表现出惊人的一致性。HARMONi-A（EGFRm+化疗）PFS HR=0.46</w:t>
      </w:r>
      <w:r>
        <w:rPr>
          <w:vertAlign w:val="superscript"/>
        </w:rPr>
        <w:t xml:space="preserve">8</w:t>
      </w:r>
      <w:r>
        <w:t xml:space="preserve">，HARMONi（全球EGFRm）PFS HR=0.52</w:t>
      </w:r>
      <w:r>
        <w:rPr>
          <w:vertAlign w:val="superscript"/>
        </w:rPr>
        <w:t xml:space="preserve">9</w:t>
      </w:r>
      <w:r>
        <w:t xml:space="preserve">，HARMONi-2（PD-L1+单药）PFS HR=0.51</w:t>
      </w:r>
      <w:r>
        <w:rPr>
          <w:vertAlign w:val="superscript"/>
        </w:rPr>
        <w:t xml:space="preserve">7</w:t>
      </w:r>
      <w:r>
        <w:t xml:space="preserve">，HARMONi-6（鳞癌+化疗）PFS HR=0.60</w:t>
      </w:r>
      <w:r>
        <w:rPr>
          <w:vertAlign w:val="superscript"/>
        </w:rPr>
        <w:t xml:space="preserve">4</w:t>
      </w:r>
      <w:r>
        <w:t xml:space="preserve">——四者HR范围仅0.14，跨越EGFR突变与野生型、鳞癌与非鳞癌、单药与联合化疗四种截然不同场景。这种一致性在肿瘤免疫治疗领域极为罕见，提示AK112的PD-1/VEGF双抗机制可能具有广谱且稳定的抗肿瘤活性。</w:t>
      </w:r>
    </w:p>
    <w:bookmarkEnd w:id="23"/>
    <w:bookmarkStart w:id="24" w:name="os获益可转化为统计学显著"/>
    <w:p>
      <w:pPr>
        <w:pStyle w:val="Heading3"/>
      </w:pPr>
      <w:r>
        <w:t xml:space="preserve">OS获益可转化为统计学显著</w:t>
      </w:r>
    </w:p>
    <w:p>
      <w:pPr>
        <w:pStyle w:val="FirstParagraph"/>
      </w:pPr>
      <w:r>
        <w:t xml:space="preserve">免疫治疗领域长期存在”PFS获益不一定转化为OS获益”的顾虑。HARMONi-6以HR=0.66、p=0.0017的强阳性OS结果，首次在鳞癌联合化疗场景中证明AK112的PFS优势可稳定转化为OS优势</w:t>
      </w:r>
      <w:r>
        <w:rPr>
          <w:vertAlign w:val="superscript"/>
        </w:rPr>
        <w:t xml:space="preserve">5</w:t>
      </w:r>
      <w:r>
        <w:t xml:space="preserve">。该试验对照组为替雷利珠单抗+化疗（同样含PD-1），两组的OS差异主要由VEGF通路抑制驱动，而非单纯的PD-1差异。HARMONi-3采用与HARMONi-6完全相同的联合化疗结构（AK112+化疗 vs PD-1+化疗），因此HARMONi-6的OS阳性是预测HARMONi-3的最直接锚点证据</w:t>
      </w:r>
      <w:r>
        <w:rPr>
          <w:vertAlign w:val="superscript"/>
        </w:rPr>
        <w:t xml:space="preserve">3</w:t>
      </w:r>
      <w:r>
        <w:t xml:space="preserve">。</w:t>
      </w:r>
    </w:p>
    <w:bookmarkEnd w:id="24"/>
    <w:bookmarkStart w:id="25" w:name="鳞癌安全性突破贝伐禁忌"/>
    <w:p>
      <w:pPr>
        <w:pStyle w:val="Heading3"/>
      </w:pPr>
      <w:r>
        <w:t xml:space="preserve">鳞癌安全性突破贝伐禁忌</w:t>
      </w:r>
    </w:p>
    <w:p>
      <w:pPr>
        <w:pStyle w:val="FirstParagraph"/>
      </w:pPr>
      <w:r>
        <w:t xml:space="preserve">传统上，VEGF抑制剂在鳞状NSCLC中的出血风险被视为重大监管障碍——贝伐珠单抗在鳞癌中≥3级出血率达9–10%，导致FDA将其列为禁忌</w:t>
      </w:r>
      <w:r>
        <w:rPr>
          <w:vertAlign w:val="superscript"/>
        </w:rPr>
        <w:t xml:space="preserve">10</w:t>
      </w:r>
      <w:r>
        <w:t xml:space="preserve">。然而，AK112通过Fc段静默化（L234A/L235A）和协同结合机制，在HARMONi-6（63.2%中央型鳞癌、30%咯血史的高危人群）中实现了≥3级出血率仅2.6%的安全性表现，与对照组（0.8%）差异极小</w:t>
      </w:r>
      <w:r>
        <w:rPr>
          <w:vertAlign w:val="superscript"/>
        </w:rPr>
        <w:t xml:space="preserve">11</w:t>
      </w:r>
      <w:r>
        <w:t xml:space="preserve">。这一数据不仅消除了鳞癌出血风险对HARMONi-3的监管威胁，更意味着AK112将成为首个在鳞癌中安全使用VEGF通路的药物，构成独特的差异化优势。</w:t>
      </w:r>
    </w:p>
    <w:bookmarkEnd w:id="25"/>
    <w:bookmarkStart w:id="26" w:name="年4月期中分析未达阈值的正确解读"/>
    <w:p>
      <w:pPr>
        <w:pStyle w:val="Heading3"/>
      </w:pPr>
      <w:r>
        <w:t xml:space="preserve">2026年4月期中分析未达阈值的正确解读</w:t>
      </w:r>
    </w:p>
    <w:p>
      <w:pPr>
        <w:pStyle w:val="FirstParagraph"/>
      </w:pPr>
      <w:r>
        <w:t xml:space="preserve">2026年4月，HARMONi-3鳞癌队列早期期中分析未达提前终止阈值，引发市场短期恐慌（Summit股价一度下跌约26%）。但本研究交叉验证确认，该分析采用高度保守的alpha消耗策略，且随访时间和事件数尚不足以检测预设HR水平的差异；未达阈值≠最终失败，而是分阶段统计设计的正常表现</w:t>
      </w:r>
      <w:r>
        <w:rPr>
          <w:vertAlign w:val="superscript"/>
        </w:rPr>
        <w:t xml:space="preserve">12</w:t>
      </w:r>
      <w:r>
        <w:t xml:space="preserve">。HARMONi-6的强OS数据（HR=0.66）和HARMONi-3后续的PFS最终分析（预计2026年下半年）才是判断成败的关键时点。</w:t>
      </w:r>
    </w:p>
    <w:bookmarkEnd w:id="26"/>
    <w:bookmarkStart w:id="27" w:name="pd-l1阴性亚组的潜在差异化价值"/>
    <w:p>
      <w:pPr>
        <w:pStyle w:val="Heading3"/>
      </w:pPr>
      <w:r>
        <w:t xml:space="preserve">PD-L1阴性亚组的潜在差异化价值</w:t>
      </w:r>
    </w:p>
    <w:p>
      <w:pPr>
        <w:pStyle w:val="FirstParagraph"/>
      </w:pPr>
      <w:r>
        <w:t xml:space="preserve">HARMONi-6亚组分析显示，PD-L1 TPS&lt;1%人群的PFS HR=0.55，甚至优于PD-L1阳性亚组（HR=0.66）</w:t>
      </w:r>
      <w:r>
        <w:rPr>
          <w:vertAlign w:val="superscript"/>
        </w:rPr>
        <w:t xml:space="preserve">4</w:t>
      </w:r>
      <w:r>
        <w:t xml:space="preserve">。这一发现提示AK112的VEGF阻断机制在PD-L1阴性（即传统免疫治疗获益有限）人群中提供了额外的抗肿瘤价值。若HARMONi-3验证该趋势，AK112有望获得比K药更广泛的”all-comer”适应症标签，在商业上具有重大意义。</w:t>
      </w:r>
    </w:p>
    <w:bookmarkEnd w:id="27"/>
    <w:bookmarkEnd w:id="28"/>
    <w:bookmarkStart w:id="29" w:name="核心预测结论"/>
    <w:p>
      <w:pPr>
        <w:pStyle w:val="Heading2"/>
      </w:pPr>
      <w:r>
        <w:t xml:space="preserve">1.4 核心预测结论</w:t>
      </w:r>
    </w:p>
    <w:p>
      <w:pPr>
        <w:pStyle w:val="FirstParagraph"/>
      </w:pPr>
      <w:r>
        <w:t xml:space="preserve">本报告基于跨试验桥接模型、PFS-to-OS转化效率分析及Monte Carlo统计模拟，对HARMONi-3的疗效终点进行量化预测。核心结论如下：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终点</w:t>
            </w:r>
          </w:p>
        </w:tc>
        <w:tc>
          <w:tcPr/>
          <w:p>
            <w:pPr>
              <w:pStyle w:val="Compact"/>
              <w:jc w:val="left"/>
            </w:pPr>
            <w:r>
              <w:t xml:space="preserve">队列</w:t>
            </w:r>
          </w:p>
        </w:tc>
        <w:tc>
          <w:tcPr/>
          <w:p>
            <w:pPr>
              <w:pStyle w:val="Compact"/>
              <w:jc w:val="left"/>
            </w:pPr>
            <w:r>
              <w:t xml:space="preserve">预测基准HR</w:t>
            </w:r>
          </w:p>
        </w:tc>
        <w:tc>
          <w:tcPr/>
          <w:p>
            <w:pPr>
              <w:pStyle w:val="Compact"/>
              <w:jc w:val="left"/>
            </w:pPr>
            <w:r>
              <w:t xml:space="preserve">成功概率</w:t>
            </w:r>
          </w:p>
        </w:tc>
        <w:tc>
          <w:tcPr/>
          <w:p>
            <w:pPr>
              <w:pStyle w:val="Compact"/>
              <w:jc w:val="left"/>
            </w:pPr>
            <w:r>
              <w:t xml:space="preserve">置信度</w:t>
            </w:r>
          </w:p>
        </w:tc>
      </w:tr>
      <w:tr>
        <w:tc>
          <w:tcPr/>
          <w:p>
            <w:pPr>
              <w:pStyle w:val="Compact"/>
              <w:jc w:val="left"/>
            </w:pPr>
            <w:r>
              <w:t xml:space="preserve">PFS</w:t>
            </w:r>
          </w:p>
        </w:tc>
        <w:tc>
          <w:tcPr/>
          <w:p>
            <w:pPr>
              <w:pStyle w:val="Compact"/>
              <w:jc w:val="left"/>
            </w:pPr>
            <w:r>
              <w:t xml:space="preserve">鳞癌</w:t>
            </w:r>
          </w:p>
        </w:tc>
        <w:tc>
          <w:tcPr/>
          <w:p>
            <w:pPr>
              <w:pStyle w:val="Compact"/>
              <w:jc w:val="left"/>
            </w:pPr>
            <w:r>
              <w:t xml:space="preserve">0.66（95% CI: 0.46–0.93）</w:t>
            </w:r>
          </w:p>
        </w:tc>
        <w:tc>
          <w:tcPr/>
          <w:p>
            <w:pPr>
              <w:pStyle w:val="Compact"/>
              <w:jc w:val="left"/>
            </w:pPr>
            <w:r>
              <w:t xml:space="preserve">99.6%</w:t>
            </w:r>
          </w:p>
        </w:tc>
        <w:tc>
          <w:tcPr/>
          <w:p>
            <w:pPr>
              <w:pStyle w:val="Compact"/>
              <w:jc w:val="left"/>
            </w:pPr>
            <w:r>
              <w:t xml:space="preserve">高</w:t>
            </w:r>
          </w:p>
        </w:tc>
      </w:tr>
      <w:tr>
        <w:tc>
          <w:tcPr/>
          <w:p>
            <w:pPr>
              <w:pStyle w:val="Compact"/>
              <w:jc w:val="left"/>
            </w:pPr>
            <w:r>
              <w:t xml:space="preserve">OS</w:t>
            </w:r>
          </w:p>
        </w:tc>
        <w:tc>
          <w:tcPr/>
          <w:p>
            <w:pPr>
              <w:pStyle w:val="Compact"/>
              <w:jc w:val="left"/>
            </w:pPr>
            <w:r>
              <w:t xml:space="preserve">鳞癌</w:t>
            </w:r>
          </w:p>
        </w:tc>
        <w:tc>
          <w:tcPr/>
          <w:p>
            <w:pPr>
              <w:pStyle w:val="Compact"/>
              <w:jc w:val="left"/>
            </w:pPr>
            <w:r>
              <w:t xml:space="preserve">0.70</w:t>
            </w:r>
          </w:p>
        </w:tc>
        <w:tc>
          <w:tcPr/>
          <w:p>
            <w:pPr>
              <w:pStyle w:val="Compact"/>
              <w:jc w:val="left"/>
            </w:pPr>
            <w:r>
              <w:t xml:space="preserve">96.4%</w:t>
            </w:r>
          </w:p>
        </w:tc>
        <w:tc>
          <w:tcPr/>
          <w:p>
            <w:pPr>
              <w:pStyle w:val="Compact"/>
              <w:jc w:val="left"/>
            </w:pPr>
            <w:r>
              <w:t xml:space="preserve">高</w:t>
            </w:r>
          </w:p>
        </w:tc>
      </w:tr>
      <w:tr>
        <w:tc>
          <w:tcPr/>
          <w:p>
            <w:pPr>
              <w:pStyle w:val="Compact"/>
              <w:jc w:val="left"/>
            </w:pPr>
            <w:r>
              <w:t xml:space="preserve">PFS</w:t>
            </w:r>
          </w:p>
        </w:tc>
        <w:tc>
          <w:tcPr/>
          <w:p>
            <w:pPr>
              <w:pStyle w:val="Compact"/>
              <w:jc w:val="left"/>
            </w:pPr>
            <w:r>
              <w:t xml:space="preserve">非鳞癌</w:t>
            </w:r>
          </w:p>
        </w:tc>
        <w:tc>
          <w:tcPr/>
          <w:p>
            <w:pPr>
              <w:pStyle w:val="Compact"/>
              <w:jc w:val="left"/>
            </w:pPr>
            <w:r>
              <w:t xml:space="preserve">0.55</w:t>
            </w:r>
          </w:p>
        </w:tc>
        <w:tc>
          <w:tcPr/>
          <w:p>
            <w:pPr>
              <w:pStyle w:val="Compact"/>
              <w:jc w:val="left"/>
            </w:pPr>
            <w:r>
              <w:t xml:space="preserve">~100%</w:t>
            </w:r>
          </w:p>
        </w:tc>
        <w:tc>
          <w:tcPr/>
          <w:p>
            <w:pPr>
              <w:pStyle w:val="Compact"/>
              <w:jc w:val="left"/>
            </w:pPr>
            <w:r>
              <w:t xml:space="preserve">中高</w:t>
            </w:r>
          </w:p>
        </w:tc>
      </w:tr>
      <w:tr>
        <w:tc>
          <w:tcPr/>
          <w:p>
            <w:pPr>
              <w:pStyle w:val="Compact"/>
              <w:jc w:val="left"/>
            </w:pPr>
            <w:r>
              <w:t xml:space="preserve">OS</w:t>
            </w:r>
          </w:p>
        </w:tc>
        <w:tc>
          <w:tcPr/>
          <w:p>
            <w:pPr>
              <w:pStyle w:val="Compact"/>
              <w:jc w:val="left"/>
            </w:pPr>
            <w:r>
              <w:t xml:space="preserve">非鳞癌</w:t>
            </w:r>
          </w:p>
        </w:tc>
        <w:tc>
          <w:tcPr/>
          <w:p>
            <w:pPr>
              <w:pStyle w:val="Compact"/>
              <w:jc w:val="left"/>
            </w:pPr>
            <w:r>
              <w:t xml:space="preserve">0.73</w:t>
            </w:r>
          </w:p>
        </w:tc>
        <w:tc>
          <w:tcPr/>
          <w:p>
            <w:pPr>
              <w:pStyle w:val="Compact"/>
              <w:jc w:val="left"/>
            </w:pPr>
            <w:r>
              <w:t xml:space="preserve">~98.0%</w:t>
            </w:r>
          </w:p>
        </w:tc>
        <w:tc>
          <w:tcPr/>
          <w:p>
            <w:pPr>
              <w:pStyle w:val="Compact"/>
              <w:jc w:val="left"/>
            </w:pPr>
            <w:r>
              <w:t xml:space="preserve">中等</w:t>
            </w:r>
          </w:p>
        </w:tc>
      </w:tr>
    </w:tbl>
    <w:p>
      <w:pPr>
        <w:pStyle w:val="BodyText"/>
      </w:pPr>
      <w:r>
        <w:t xml:space="preserve">鳞癌队列的预测以HARMONi-6为直接锚点，通过替雷利珠单抗与K药的间接比较（NMA PFS HR=1.04，95% CI跨越1.0）</w:t>
      </w:r>
      <w:r>
        <w:rPr>
          <w:vertAlign w:val="superscript"/>
        </w:rPr>
        <w:t xml:space="preserve">13</w:t>
      </w:r>
      <w:r>
        <w:t xml:space="preserve">及中国至全球人群外推因子（1.05–1.10）</w:t>
      </w:r>
      <w:r>
        <w:rPr>
          <w:vertAlign w:val="superscript"/>
        </w:rPr>
        <w:t xml:space="preserve">9</w:t>
      </w:r>
      <w:r>
        <w:t xml:space="preserve">进行桥接调整。基准情景下，鳞癌PFS HR=0.66，成功概率&gt;99%；鳞癌OS HR=0.70，成功概率约96%。双终点同时成功概率约为96.0%</w:t>
      </w:r>
      <w:r>
        <w:rPr>
          <w:vertAlign w:val="superscript"/>
        </w:rPr>
        <w:t xml:space="preserve">14</w:t>
      </w:r>
      <w:r>
        <w:t xml:space="preserve">。即使在悲观情景（K药显著优于替雷、西方人群大幅衰减）下，鳞癌PFS HR=0.72，成功概率仍达94.8%</w:t>
      </w:r>
      <w:r>
        <w:rPr>
          <w:vertAlign w:val="superscript"/>
        </w:rPr>
        <w:t xml:space="preserve">14</w:t>
      </w:r>
      <w:r>
        <w:t xml:space="preserve">。</w:t>
      </w:r>
    </w:p>
    <w:p>
      <w:pPr>
        <w:pStyle w:val="BodyText"/>
      </w:pPr>
      <w:r>
        <w:t xml:space="preserve">非鳞癌队列缺乏直接头对头数据，预测基于HARMONi-2（单药HR=0.51）、HARMONi-A（EGFRm+化疗HR=0.46）及HARMONi（全球EGFRm HR=0.52）的多锚定综合模型，叠加化疗联合效应调整后PFS HR=0.55，成功概率接近100%</w:t>
      </w:r>
      <w:r>
        <w:rPr>
          <w:vertAlign w:val="superscript"/>
        </w:rPr>
        <w:t xml:space="preserve">14</w:t>
      </w:r>
      <w:r>
        <w:t xml:space="preserve">。OS预测基于化疗联合试验平均PFS-to-OS转化效率（log-ratio=0.53），基准HR=0.73，成功概率约98%</w:t>
      </w:r>
      <w:r>
        <w:rPr>
          <w:vertAlign w:val="superscript"/>
        </w:rPr>
        <w:t xml:space="preserve">14</w:t>
      </w:r>
      <w:r>
        <w:t xml:space="preserve">。</w:t>
      </w:r>
    </w:p>
    <w:p>
      <w:pPr>
        <w:pStyle w:val="BodyText"/>
      </w:pPr>
      <w:r>
        <w:rPr>
          <w:bCs/>
          <w:b/>
        </w:rPr>
        <w:t xml:space="preserve">最可能情景</w:t>
      </w:r>
      <w:r>
        <w:t xml:space="preserve">：鳞癌队列PFS和OS双主要终点均达到统计学显著性；非鳞癌队列PFS阳性，OS趋势阳性但可能因随访成熟度不足而在首次分析时未完全达到显著（需后续更新验证）。</w:t>
      </w:r>
    </w:p>
    <w:bookmarkEnd w:id="29"/>
    <w:bookmarkStart w:id="30" w:name="关键催化剂与时间节点"/>
    <w:p>
      <w:pPr>
        <w:pStyle w:val="Heading2"/>
      </w:pPr>
      <w:r>
        <w:t xml:space="preserve">1.5 关键催化剂与时间节点</w:t>
      </w:r>
    </w:p>
    <w:p>
      <w:pPr>
        <w:pStyle w:val="FirstParagraph"/>
      </w:pPr>
      <w:r>
        <w:t xml:space="preserve">2026年下半年是AK112全球价值的”决胜窗口”，多个关键催化剂将密集释放：</w:t>
      </w:r>
    </w:p>
    <w:p>
      <w:pPr>
        <w:numPr>
          <w:ilvl w:val="0"/>
          <w:numId w:val="1001"/>
        </w:numPr>
        <w:pStyle w:val="Compact"/>
      </w:pPr>
      <w:r>
        <w:rPr>
          <w:bCs/>
          <w:b/>
        </w:rPr>
        <w:t xml:space="preserve">2026年第二季度</w:t>
      </w:r>
      <w:r>
        <w:t xml:space="preserve">：HARMONi-3鳞癌队列新增PFS期中分析。该分析为Summit管理层主动新增，体现其对数据的信心。若阳性，将提前验证鳞癌PFS优势，加速审批路径</w:t>
      </w:r>
      <w:r>
        <w:rPr>
          <w:vertAlign w:val="superscript"/>
        </w:rPr>
        <w:t xml:space="preserve">15</w:t>
      </w:r>
      <w:r>
        <w:t xml:space="preserve">。</w:t>
      </w:r>
    </w:p>
    <w:p>
      <w:pPr>
        <w:numPr>
          <w:ilvl w:val="0"/>
          <w:numId w:val="1001"/>
        </w:numPr>
        <w:pStyle w:val="Compact"/>
      </w:pPr>
      <w:r>
        <w:rPr>
          <w:bCs/>
          <w:b/>
        </w:rPr>
        <w:t xml:space="preserve">2026年下半年</w:t>
      </w:r>
      <w:r>
        <w:t xml:space="preserve">：HARMONi-3鳞癌队列PFS最终分析。这是首个全球头对头K药的一线鳞癌PFS数据，将决定AK112能否成为一线鳞癌新标准</w:t>
      </w:r>
      <w:r>
        <w:rPr>
          <w:vertAlign w:val="superscript"/>
        </w:rPr>
        <w:t xml:space="preserve">14</w:t>
      </w:r>
      <w:r>
        <w:t xml:space="preserve">。</w:t>
      </w:r>
    </w:p>
    <w:p>
      <w:pPr>
        <w:numPr>
          <w:ilvl w:val="0"/>
          <w:numId w:val="1001"/>
        </w:numPr>
        <w:pStyle w:val="Compact"/>
      </w:pPr>
      <w:r>
        <w:rPr>
          <w:bCs/>
          <w:b/>
        </w:rPr>
        <w:t xml:space="preserve">2026年下半年</w:t>
      </w:r>
      <w:r>
        <w:t xml:space="preserve">：HARMONi-3鳞癌队列OS期中分析。若事件数足够且阳性，将大幅提升市场对AK112最终OS获益的信心</w:t>
      </w:r>
      <w:r>
        <w:rPr>
          <w:vertAlign w:val="superscript"/>
        </w:rPr>
        <w:t xml:space="preserve">14</w:t>
      </w:r>
      <w:r>
        <w:t xml:space="preserve">。</w:t>
      </w:r>
    </w:p>
    <w:p>
      <w:pPr>
        <w:numPr>
          <w:ilvl w:val="0"/>
          <w:numId w:val="1001"/>
        </w:numPr>
        <w:pStyle w:val="Compact"/>
      </w:pPr>
      <w:r>
        <w:rPr>
          <w:bCs/>
          <w:b/>
        </w:rPr>
        <w:t xml:space="preserve">2026年5月</w:t>
      </w:r>
      <w:r>
        <w:t xml:space="preserve">：HARMONi-6最终OS分析已于ASCO 2026以LBA形式公布，进一步巩固机制验证</w:t>
      </w:r>
      <w:r>
        <w:rPr>
          <w:vertAlign w:val="superscript"/>
        </w:rPr>
        <w:t xml:space="preserve">5</w:t>
      </w:r>
      <w:r>
        <w:t xml:space="preserve">。</w:t>
      </w:r>
    </w:p>
    <w:p>
      <w:pPr>
        <w:numPr>
          <w:ilvl w:val="0"/>
          <w:numId w:val="1001"/>
        </w:numPr>
        <w:pStyle w:val="Compact"/>
      </w:pPr>
      <w:r>
        <w:rPr>
          <w:bCs/>
          <w:b/>
        </w:rPr>
        <w:t xml:space="preserve">2026年11月</w:t>
      </w:r>
      <w:r>
        <w:t xml:space="preserve">：HARMONi（全球EGFRm）FDA PDUFA日期，将决定AK112首个全球适应症能否获批</w:t>
      </w:r>
      <w:r>
        <w:rPr>
          <w:vertAlign w:val="superscript"/>
        </w:rPr>
        <w:t xml:space="preserve">14</w:t>
      </w:r>
      <w:r>
        <w:t xml:space="preserve">。</w:t>
      </w:r>
    </w:p>
    <w:p>
      <w:pPr>
        <w:numPr>
          <w:ilvl w:val="0"/>
          <w:numId w:val="1001"/>
        </w:numPr>
        <w:pStyle w:val="Compact"/>
      </w:pPr>
      <w:r>
        <w:rPr>
          <w:bCs/>
          <w:b/>
        </w:rPr>
        <w:t xml:space="preserve">2027年上半年</w:t>
      </w:r>
      <w:r>
        <w:t xml:space="preserve">：HARMONi-3非鳞癌队列PFS最终分析，将完成AK112在一线NSCLC全人群中的疗效验证</w:t>
      </w:r>
      <w:r>
        <w:rPr>
          <w:vertAlign w:val="superscript"/>
        </w:rPr>
        <w:t xml:space="preserve">14</w:t>
      </w:r>
      <w:r>
        <w:t xml:space="preserve">。</w:t>
      </w:r>
    </w:p>
    <w:p>
      <w:pPr>
        <w:pStyle w:val="FirstParagraph"/>
      </w:pPr>
      <w:r>
        <w:t xml:space="preserve">综合以上分析，基于现有跨试验数据的高度一致性和HARMONi-6已证实的OS获益转化，本报告对HARMONi-3最终取得阳性结果持高度乐观态度。鳞癌队列的双终点阳性概率均超过96%，非鳞癌队列PFS成功概率接近100%，最可能情景为鳞癌双阳性、非鳞癌PFS阳性且OS趋势阳性的分阶段成功路径。2026年下半年的数据读出将是AK112从”中国创新”迈向”全球标准”的关键一跃。</w:t>
      </w:r>
    </w:p>
    <w:p>
      <w:r>
        <w:pict>
          <v:rect style="width:0;height:1.5pt" o:hralign="center" o:hrstd="t" o:hr="t"/>
        </w:pict>
      </w:r>
    </w:p>
    <w:bookmarkEnd w:id="30"/>
    <w:bookmarkStart w:id="31" w:name="脚注"/>
    <w:p>
      <w:pPr>
        <w:pStyle w:val="Heading2"/>
      </w:pPr>
      <w:r>
        <w:t xml:space="preserve">脚注</w:t>
      </w:r>
    </w:p>
    <w:p>
      <w:r>
        <w:pict>
          <v:rect style="width:0;height:1.5pt" o:hralign="center" o:hrstd="t" o:hr="t"/>
        </w:pict>
      </w:r>
    </w:p>
    <w:bookmarkEnd w:id="31"/>
    <w:bookmarkEnd w:id="32"/>
    <w:bookmarkStart w:id="51" w:name="第二章-研究背景与harmoni-3试验设计"/>
    <w:p>
      <w:pPr>
        <w:pStyle w:val="Heading1"/>
      </w:pPr>
      <w:r>
        <w:t xml:space="preserve">第二章 研究背景与HARMONi-3试验设计</w:t>
      </w:r>
    </w:p>
    <w:bookmarkStart w:id="36" w:name="ak112ivonescimab机制与研发背景"/>
    <w:p>
      <w:pPr>
        <w:pStyle w:val="Heading2"/>
      </w:pPr>
      <w:r>
        <w:t xml:space="preserve">2.1 AK112（Ivonescimab）机制与研发背景</w:t>
      </w:r>
    </w:p>
    <w:p>
      <w:pPr>
        <w:pStyle w:val="FirstParagraph"/>
      </w:pPr>
      <w:r>
        <w:t xml:space="preserve">依沃西单抗（Ivonescimab，AK112/SMT112）是全球首个获批的PD-1/VEGF双特异性抗体，由康方生物自主研发。其独特的分子设计使其区别于传统的单靶点免疫检查点抑制剂或抗血管生成药物，为晚期非小细胞肺癌（NSCLC）的一线治疗提供了全新的机制基础。</w:t>
      </w:r>
    </w:p>
    <w:bookmarkStart w:id="33" w:name="四价协同结合机制"/>
    <w:p>
      <w:pPr>
        <w:pStyle w:val="Heading3"/>
      </w:pPr>
      <w:r>
        <w:t xml:space="preserve">2.1.1 四价协同结合机制</w:t>
      </w:r>
    </w:p>
    <w:p>
      <w:pPr>
        <w:pStyle w:val="FirstParagraph"/>
      </w:pPr>
      <w:r>
        <w:t xml:space="preserve">AK112采用四价对称结构，每个分子可同时结合两个PD-1分子和两个VEGF分子，实现”免疫激活+血管正常化”的双重抗肿瘤作用</w:t>
      </w:r>
      <w:r>
        <w:rPr>
          <w:vertAlign w:val="superscript"/>
        </w:rPr>
        <w:t xml:space="preserve">1</w:t>
      </w:r>
      <w:r>
        <w:t xml:space="preserve">。PD-1组分将抗体锚定于肿瘤微环境中的PD-1阳性T细胞，使VEGF阻断效应富集于肿瘤局部，而非系统性广泛抑制血管内皮生长因子</w:t>
      </w:r>
      <w:r>
        <w:rPr>
          <w:vertAlign w:val="superscript"/>
        </w:rPr>
        <w:t xml:space="preserve">2</w:t>
      </w:r>
      <w:r>
        <w:t xml:space="preserve">。这种”靶向性VEGF阻断”可显著降低传统抗血管生成药物（如贝伐珠单抗）常见的系统性出血风险，尤其为鳞状NSCLC（sq-NSCLC）的抗血管治疗开辟了可行路径。HARMONi-2研究中，AK112单药在鳞癌亚组中未发生任何≥3级出血事件，验证了这一设计的临床安全性</w:t>
      </w:r>
      <w:r>
        <w:rPr>
          <w:vertAlign w:val="superscript"/>
        </w:rPr>
        <w:t xml:space="preserve">3</w:t>
      </w:r>
      <w:r>
        <w:t xml:space="preserve">。</w:t>
      </w:r>
    </w:p>
    <w:p>
      <w:pPr>
        <w:pStyle w:val="BodyText"/>
      </w:pPr>
      <w:r>
        <w:t xml:space="preserve">此外，VEGF阻断可通过改善肿瘤血管通透性、促进T细胞浸润来增强PD-1通路的抗肿瘤效应，形成”靶免协同”循环</w:t>
      </w:r>
      <w:r>
        <w:rPr>
          <w:vertAlign w:val="superscript"/>
        </w:rPr>
        <w:t xml:space="preserve">4</w:t>
      </w:r>
      <w:r>
        <w:t xml:space="preserve">。在HARMONi-2的PD-L1低表达（TPS 1-49%）亚组中，AK112仍取得PFS HR 0.54的显著获益，提示VEGF/PD-1双靶机制可部分克服PD-L1低表达带来的免疫治疗抵抗</w:t>
      </w:r>
      <w:r>
        <w:rPr>
          <w:vertAlign w:val="superscript"/>
        </w:rPr>
        <w:t xml:space="preserve">5</w:t>
      </w:r>
      <w:r>
        <w:t xml:space="preserve">。</w:t>
      </w:r>
    </w:p>
    <w:bookmarkEnd w:id="33"/>
    <w:bookmarkStart w:id="34" w:name="fc-silencing设计与安全性优化"/>
    <w:p>
      <w:pPr>
        <w:pStyle w:val="Heading3"/>
      </w:pPr>
      <w:r>
        <w:t xml:space="preserve">2.1.2 Fc-silencing设计与安全性优化</w:t>
      </w:r>
    </w:p>
    <w:p>
      <w:pPr>
        <w:pStyle w:val="FirstParagraph"/>
      </w:pPr>
      <w:r>
        <w:t xml:space="preserve">AK112采用Fc-null设计，消除了与Fcγ受体和补体C1q的结合能力，大幅降低ADCC、ADCP和CDC效应</w:t>
      </w:r>
      <w:r>
        <w:rPr>
          <w:vertAlign w:val="superscript"/>
        </w:rPr>
        <w:t xml:space="preserve">6</w:t>
      </w:r>
      <w:r>
        <w:t xml:space="preserve">。HARMONi-2数据验证了这一设计：AK112组≥3级irAEs发生率仅7.1%，与帕博利珠单抗组（8.0%）相当，且无患者因irAE永久停药</w:t>
      </w:r>
      <w:r>
        <w:rPr>
          <w:vertAlign w:val="superscript"/>
        </w:rPr>
        <w:t xml:space="preserve">3</w:t>
      </w:r>
      <w:r>
        <w:t xml:space="preserve">。Fc-silencing策略在保留双靶抗肿瘤活性的同时，有效控制了免疫相关毒性叠加风险，为联合化疗方案的安全性奠定了分子基础。</w:t>
      </w:r>
    </w:p>
    <w:bookmarkEnd w:id="34"/>
    <w:bookmarkStart w:id="35" w:name="康方生物与summit-therapeutics的全球合作"/>
    <w:p>
      <w:pPr>
        <w:pStyle w:val="Heading3"/>
      </w:pPr>
      <w:r>
        <w:t xml:space="preserve">2.1.3 康方生物与Summit Therapeutics的全球合作</w:t>
      </w:r>
    </w:p>
    <w:p>
      <w:pPr>
        <w:pStyle w:val="FirstParagraph"/>
      </w:pPr>
      <w:r>
        <w:t xml:space="preserve">2022年12月，康方生物与Summit Therapeutics达成授权合作，Summit以最高达50亿美元的价款获得AK112在美国、加拿大、欧洲和日本的独家开发和商业化权益</w:t>
      </w:r>
      <w:r>
        <w:rPr>
          <w:vertAlign w:val="superscript"/>
        </w:rPr>
        <w:t xml:space="preserve">7</w:t>
      </w:r>
      <w:r>
        <w:t xml:space="preserve">。HARMONi-3（NCT05899608）作为Summit主导的首个全球注册性III期试验，承载着AK112在欧美市场获批的核心使命</w:t>
      </w:r>
      <w:r>
        <w:rPr>
          <w:vertAlign w:val="superscript"/>
        </w:rPr>
        <w:t xml:space="preserve">8</w:t>
      </w:r>
      <w:r>
        <w:t xml:space="preserve">。康方生物负责中国区域入组，Summit统筹全球其他地区，形成”双引擎”驱动模式。</w:t>
      </w:r>
    </w:p>
    <w:bookmarkEnd w:id="35"/>
    <w:bookmarkEnd w:id="36"/>
    <w:bookmarkStart w:id="42" w:name="harmoni-3试验设计详解"/>
    <w:p>
      <w:pPr>
        <w:pStyle w:val="Heading2"/>
      </w:pPr>
      <w:r>
        <w:t xml:space="preserve">2.2 HARMONi-3试验设计详解</w:t>
      </w:r>
    </w:p>
    <w:bookmarkStart w:id="37" w:name="基本信息与试验架构"/>
    <w:p>
      <w:pPr>
        <w:pStyle w:val="Heading3"/>
      </w:pPr>
      <w:r>
        <w:t xml:space="preserve">2.2.1 基本信息与试验架构</w:t>
      </w:r>
    </w:p>
    <w:p>
      <w:pPr>
        <w:pStyle w:val="FirstParagraph"/>
      </w:pPr>
      <w:r>
        <w:t xml:space="preserve">HARMONi-3（NCT05899608，方案编号AK112-3003/SMT112-3003）是由Summit Therapeutics主导、康方生物承接中国部分的随机、双盲、平行分组、国际多中心注册性III期临床试验</w:t>
      </w:r>
      <w:r>
        <w:rPr>
          <w:vertAlign w:val="superscript"/>
        </w:rPr>
        <w:t xml:space="preserve">89</w:t>
      </w:r>
      <w:r>
        <w:t xml:space="preserve">。该试验评估依沃西单抗联合化疗对比帕博利珠单抗联合化疗一线治疗转移性NSCLC的疗效与安全性，覆盖北美、欧洲及中国</w:t>
      </w:r>
      <w:r>
        <w:rPr>
          <w:vertAlign w:val="superscript"/>
        </w:rPr>
        <w:t xml:space="preserve">8</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具体内容</w:t>
            </w:r>
          </w:p>
        </w:tc>
      </w:tr>
      <w:tr>
        <w:tc>
          <w:tcPr/>
          <w:p>
            <w:pPr>
              <w:pStyle w:val="Compact"/>
              <w:jc w:val="left"/>
            </w:pPr>
            <w:r>
              <w:t xml:space="preserve">试验名称</w:t>
            </w:r>
          </w:p>
        </w:tc>
        <w:tc>
          <w:tcPr/>
          <w:p>
            <w:pPr>
              <w:pStyle w:val="Compact"/>
              <w:jc w:val="left"/>
            </w:pPr>
            <w:r>
              <w:t xml:space="preserve">HARMONi-3 / AK112-3003 / SMT112-3003</w:t>
            </w:r>
          </w:p>
        </w:tc>
      </w:tr>
      <w:tr>
        <w:tc>
          <w:tcPr/>
          <w:p>
            <w:pPr>
              <w:pStyle w:val="Compact"/>
              <w:jc w:val="left"/>
            </w:pPr>
            <w:r>
              <w:t xml:space="preserve">注册编号</w:t>
            </w:r>
          </w:p>
        </w:tc>
        <w:tc>
          <w:tcPr/>
          <w:p>
            <w:pPr>
              <w:pStyle w:val="Compact"/>
              <w:jc w:val="left"/>
            </w:pPr>
            <w:r>
              <w:t xml:space="preserve">NCT05899608</w:t>
            </w:r>
          </w:p>
        </w:tc>
      </w:tr>
      <w:tr>
        <w:tc>
          <w:tcPr/>
          <w:p>
            <w:pPr>
              <w:pStyle w:val="Compact"/>
              <w:jc w:val="left"/>
            </w:pPr>
            <w:r>
              <w:t xml:space="preserve">试验阶段</w:t>
            </w:r>
          </w:p>
        </w:tc>
        <w:tc>
          <w:tcPr/>
          <w:p>
            <w:pPr>
              <w:pStyle w:val="Compact"/>
              <w:jc w:val="left"/>
            </w:pPr>
            <w:r>
              <w:t xml:space="preserve">注册性III期</w:t>
            </w:r>
          </w:p>
        </w:tc>
      </w:tr>
      <w:tr>
        <w:tc>
          <w:tcPr/>
          <w:p>
            <w:pPr>
              <w:pStyle w:val="Compact"/>
              <w:jc w:val="left"/>
            </w:pPr>
            <w:r>
              <w:t xml:space="preserve">设计类型</w:t>
            </w:r>
          </w:p>
        </w:tc>
        <w:tc>
          <w:tcPr/>
          <w:p>
            <w:pPr>
              <w:pStyle w:val="Compact"/>
              <w:jc w:val="left"/>
            </w:pPr>
            <w:r>
              <w:t xml:space="preserve">随机、双盲、平行分组、多区域</w:t>
            </w:r>
          </w:p>
        </w:tc>
      </w:tr>
      <w:tr>
        <w:tc>
          <w:tcPr/>
          <w:p>
            <w:pPr>
              <w:pStyle w:val="Compact"/>
              <w:jc w:val="left"/>
            </w:pPr>
            <w:r>
              <w:t xml:space="preserve">随机化比例</w:t>
            </w:r>
          </w:p>
        </w:tc>
        <w:tc>
          <w:tcPr/>
          <w:p>
            <w:pPr>
              <w:pStyle w:val="Compact"/>
              <w:jc w:val="left"/>
            </w:pPr>
            <w:r>
              <w:t xml:space="preserve">1:1</w:t>
            </w:r>
          </w:p>
        </w:tc>
      </w:tr>
      <w:tr>
        <w:tc>
          <w:tcPr/>
          <w:p>
            <w:pPr>
              <w:pStyle w:val="Compact"/>
              <w:jc w:val="left"/>
            </w:pPr>
            <w:r>
              <w:t xml:space="preserve">主要申办方</w:t>
            </w:r>
          </w:p>
        </w:tc>
        <w:tc>
          <w:tcPr/>
          <w:p>
            <w:pPr>
              <w:pStyle w:val="Compact"/>
              <w:jc w:val="left"/>
            </w:pPr>
            <w:r>
              <w:t xml:space="preserve">Summit Therapeutics（海外）/ 康方生物（中国）</w:t>
            </w:r>
          </w:p>
        </w:tc>
      </w:tr>
      <w:tr>
        <w:tc>
          <w:tcPr/>
          <w:p>
            <w:pPr>
              <w:pStyle w:val="Compact"/>
              <w:jc w:val="left"/>
            </w:pPr>
            <w:r>
              <w:t xml:space="preserve">地区覆盖</w:t>
            </w:r>
          </w:p>
        </w:tc>
        <w:tc>
          <w:tcPr/>
          <w:p>
            <w:pPr>
              <w:pStyle w:val="Compact"/>
              <w:jc w:val="left"/>
            </w:pPr>
            <w:r>
              <w:t xml:space="preserve">北美、欧洲、中国等全球多中心</w:t>
            </w:r>
          </w:p>
        </w:tc>
      </w:tr>
    </w:tbl>
    <w:bookmarkEnd w:id="37"/>
    <w:bookmarkStart w:id="38" w:name="入组标准all-comer设计"/>
    <w:p>
      <w:pPr>
        <w:pStyle w:val="Heading3"/>
      </w:pPr>
      <w:r>
        <w:t xml:space="preserve">2.2.2 入组标准：All-comer设计</w:t>
      </w:r>
    </w:p>
    <w:p>
      <w:pPr>
        <w:pStyle w:val="FirstParagraph"/>
      </w:pPr>
      <w:r>
        <w:t xml:space="preserve">HARMONi-3采用”all-comer”入组策略，核心纳入标准包括：年龄≥18岁；组织学或细胞学确认的转移性（IV期）NSCLC，包括鳞状或非鳞状组织学类型；ECOG体力状态0或1；至少1个可测量的非脑病灶（RECIST 1.1）；未接受过任何针对转移性NSCLC的系统治疗（first-line, treatment-naïve）</w:t>
      </w:r>
      <w:r>
        <w:rPr>
          <w:vertAlign w:val="superscript"/>
        </w:rPr>
        <w:t xml:space="preserve">1011</w:t>
      </w:r>
      <w:r>
        <w:t xml:space="preserve">。</w:t>
      </w:r>
    </w:p>
    <w:p>
      <w:pPr>
        <w:pStyle w:val="BodyText"/>
      </w:pPr>
      <w:r>
        <w:rPr>
          <w:bCs/>
          <w:b/>
        </w:rPr>
        <w:t xml:space="preserve">最为关键的入组特征是不论PD-L1表达水平</w:t>
      </w:r>
      <w:r>
        <w:t xml:space="preserve">（irrespective of PD-L1 expression），要求有肿瘤比例评分（TPS）结果，但TPS≥1%与TPS&lt;1%的患者均可入组</w:t>
      </w:r>
      <w:r>
        <w:rPr>
          <w:vertAlign w:val="superscript"/>
        </w:rPr>
        <w:t xml:space="preserve">1112</w:t>
      </w:r>
      <w:r>
        <w:t xml:space="preserve">。这一设计使HARMONi-3能够覆盖PD-L1阴性/低表达人群，而这类患者恰恰在临床实践中占比最高（约占一线NSCLC的50-60%），是联合化疗方案的主要适用人群</w:t>
      </w:r>
      <w:r>
        <w:rPr>
          <w:vertAlign w:val="superscript"/>
        </w:rPr>
        <w:t xml:space="preserve">13</w:t>
      </w:r>
      <w:r>
        <w:t xml:space="preserve">。</w:t>
      </w:r>
    </w:p>
    <w:p>
      <w:pPr>
        <w:pStyle w:val="BodyText"/>
      </w:pPr>
      <w:r>
        <w:t xml:space="preserve">排除标准方面，已知EGFR、ALK、ROS1等可靶向突变患者被排除；有症状CNS转移、肿瘤侵犯主要血管、活动性自身免疫性疾病等亦为排除条件</w:t>
      </w:r>
      <w:r>
        <w:rPr>
          <w:vertAlign w:val="superscript"/>
        </w:rPr>
        <w:t xml:space="preserve">1011</w:t>
      </w:r>
      <w:r>
        <w:t xml:space="preserve">。</w:t>
      </w:r>
    </w:p>
    <w:bookmarkEnd w:id="38"/>
    <w:bookmarkStart w:id="39" w:name="治疗方案设计"/>
    <w:p>
      <w:pPr>
        <w:pStyle w:val="Heading3"/>
      </w:pPr>
      <w:r>
        <w:t xml:space="preserve">2.2.3 治疗方案设计</w:t>
      </w:r>
    </w:p>
    <w:p>
      <w:pPr>
        <w:pStyle w:val="FirstParagraph"/>
      </w:pPr>
      <w:r>
        <w:t xml:space="preserve">试验按组织学类型分为两个队列，采用不同的化疗骨架：</w:t>
      </w:r>
    </w:p>
    <w:tbl>
      <w:tblPr>
        <w:tblStyle w:val="Table"/>
        <w:tblW w:type="pct" w:w="5000"/>
        <w:tblLook w:firstRow="1" w:lastRow="0" w:firstColumn="0" w:lastColumn="0" w:noHBand="0" w:noVBand="0" w:val="0020"/>
        <w:jc w:val="start"/>
        <w:tblLayout w:type="fixed"/>
      </w:tblPr>
      <w:tblGrid>
        <w:gridCol w:w="1131"/>
        <w:gridCol w:w="1508"/>
        <w:gridCol w:w="1508"/>
        <w:gridCol w:w="1885"/>
        <w:gridCol w:w="1885"/>
      </w:tblGrid>
      <w:tr>
        <w:trPr>
          <w:tblHeader w:val="true"/>
        </w:trPr>
        <w:tc>
          <w:tcPr/>
          <w:p>
            <w:pPr>
              <w:pStyle w:val="Compact"/>
              <w:jc w:val="left"/>
            </w:pPr>
            <w:r>
              <w:t xml:space="preserve">队列</w:t>
            </w:r>
          </w:p>
        </w:tc>
        <w:tc>
          <w:tcPr/>
          <w:p>
            <w:pPr>
              <w:pStyle w:val="Compact"/>
              <w:jc w:val="left"/>
            </w:pPr>
            <w:r>
              <w:t xml:space="preserve">试验组</w:t>
            </w:r>
          </w:p>
        </w:tc>
        <w:tc>
          <w:tcPr/>
          <w:p>
            <w:pPr>
              <w:pStyle w:val="Compact"/>
              <w:jc w:val="left"/>
            </w:pPr>
            <w:r>
              <w:t xml:space="preserve">对照组</w:t>
            </w:r>
          </w:p>
        </w:tc>
        <w:tc>
          <w:tcPr/>
          <w:p>
            <w:pPr>
              <w:pStyle w:val="Compact"/>
              <w:jc w:val="left"/>
            </w:pPr>
            <w:r>
              <w:t xml:space="preserve">化疗方案</w:t>
            </w:r>
          </w:p>
        </w:tc>
        <w:tc>
          <w:tcPr/>
          <w:p>
            <w:pPr>
              <w:pStyle w:val="Compact"/>
              <w:jc w:val="left"/>
            </w:pPr>
            <w:r>
              <w:t xml:space="preserve">维持治疗</w:t>
            </w:r>
          </w:p>
        </w:tc>
      </w:tr>
      <w:tr>
        <w:tc>
          <w:tcPr/>
          <w:p>
            <w:pPr>
              <w:pStyle w:val="Compact"/>
              <w:jc w:val="left"/>
            </w:pPr>
            <w:r>
              <w:t xml:space="preserve">鳞状NSCLC</w:t>
            </w:r>
          </w:p>
        </w:tc>
        <w:tc>
          <w:tcPr/>
          <w:p>
            <w:pPr>
              <w:pStyle w:val="Compact"/>
              <w:jc w:val="left"/>
            </w:pPr>
            <w:r>
              <w:t xml:space="preserve">Ivonescimab 20 mg/kg IV Q3W</w:t>
            </w:r>
          </w:p>
        </w:tc>
        <w:tc>
          <w:tcPr/>
          <w:p>
            <w:pPr>
              <w:pStyle w:val="Compact"/>
              <w:jc w:val="left"/>
            </w:pPr>
            <w:r>
              <w:t xml:space="preserve">Pembrolizumab 200 mg IV Q3W</w:t>
            </w:r>
          </w:p>
        </w:tc>
        <w:tc>
          <w:tcPr/>
          <w:p>
            <w:pPr>
              <w:pStyle w:val="Compact"/>
              <w:jc w:val="left"/>
            </w:pPr>
            <w:r>
              <w:t xml:space="preserve">卡铂AUC 5/6 + 紫杉醇175 mg/m²或nab-紫杉醇100 mg/m²，Q3W × 4周期</w:t>
            </w:r>
            <w:r>
              <w:rPr>
                <w:vertAlign w:val="superscript"/>
              </w:rPr>
              <w:t xml:space="preserve">14</w:t>
            </w:r>
          </w:p>
        </w:tc>
        <w:tc>
          <w:tcPr/>
          <w:p>
            <w:pPr>
              <w:pStyle w:val="Compact"/>
              <w:jc w:val="left"/>
            </w:pPr>
            <w:r>
              <w:t xml:space="preserve">Ivonescimab或Pembrolizumab单药Q3W，至进展或完成24个月</w:t>
            </w:r>
          </w:p>
        </w:tc>
      </w:tr>
      <w:tr>
        <w:tc>
          <w:tcPr/>
          <w:p>
            <w:pPr>
              <w:pStyle w:val="Compact"/>
              <w:jc w:val="left"/>
            </w:pPr>
            <w:r>
              <w:t xml:space="preserve">非鳞状NSCLC</w:t>
            </w:r>
          </w:p>
        </w:tc>
        <w:tc>
          <w:tcPr/>
          <w:p>
            <w:pPr>
              <w:pStyle w:val="Compact"/>
              <w:jc w:val="left"/>
            </w:pPr>
            <w:r>
              <w:t xml:space="preserve">Ivonescimab 20 mg/kg IV Q3W</w:t>
            </w:r>
          </w:p>
        </w:tc>
        <w:tc>
          <w:tcPr/>
          <w:p>
            <w:pPr>
              <w:pStyle w:val="Compact"/>
              <w:jc w:val="left"/>
            </w:pPr>
            <w:r>
              <w:t xml:space="preserve">Pembrolizumab 200 mg IV Q3W</w:t>
            </w:r>
          </w:p>
        </w:tc>
        <w:tc>
          <w:tcPr/>
          <w:p>
            <w:pPr>
              <w:pStyle w:val="Compact"/>
              <w:jc w:val="left"/>
            </w:pPr>
            <w:r>
              <w:t xml:space="preserve">卡铂AUC 5 + 培美曲塞500 mg/m² IV Q3W × 4周期</w:t>
            </w:r>
            <w:r>
              <w:rPr>
                <w:vertAlign w:val="superscript"/>
              </w:rPr>
              <w:t xml:space="preserve">14</w:t>
            </w:r>
          </w:p>
        </w:tc>
        <w:tc>
          <w:tcPr/>
          <w:p>
            <w:pPr>
              <w:pStyle w:val="Compact"/>
              <w:jc w:val="left"/>
            </w:pPr>
            <w:r>
              <w:t xml:space="preserve">Ivonescimab + 培美曲塞或Pembrolizumab + 培美曲塞Q3W，至进展或完成24个月</w:t>
            </w:r>
          </w:p>
        </w:tc>
      </w:tr>
    </w:tbl>
    <w:p>
      <w:pPr>
        <w:pStyle w:val="BodyText"/>
      </w:pPr>
      <w:r>
        <w:t xml:space="preserve">鳞状队列使用紫杉醇/卡铂方案，与当前全球标准KEYNOTE-407一致；非鳞状队列使用培美曲塞/卡铂方案，与KEYNOTE-189对齐。该设计确保试验组与对照组在同一化疗骨架上”头对头”比较，结果具有直接的临床可替换性</w:t>
      </w:r>
      <w:r>
        <w:rPr>
          <w:vertAlign w:val="superscript"/>
        </w:rPr>
        <w:t xml:space="preserve">15</w:t>
      </w:r>
      <w:r>
        <w:t xml:space="preserve">。</w:t>
      </w:r>
    </w:p>
    <w:bookmarkEnd w:id="39"/>
    <w:bookmarkStart w:id="40" w:name="主要终点与次要终点"/>
    <w:p>
      <w:pPr>
        <w:pStyle w:val="Heading3"/>
      </w:pPr>
      <w:r>
        <w:t xml:space="preserve">2.2.4 主要终点与次要终点</w:t>
      </w:r>
    </w:p>
    <w:p>
      <w:pPr>
        <w:pStyle w:val="FirstParagraph"/>
      </w:pPr>
      <w:r>
        <w:t xml:space="preserve">HARMONi-3采用</w:t>
      </w:r>
      <w:r>
        <w:rPr>
          <w:bCs/>
          <w:b/>
        </w:rPr>
        <w:t xml:space="preserve">双主要终点（dual primary endpoints）</w:t>
      </w:r>
      <w:r>
        <w:t xml:space="preserve">设计：无进展生存期（PFS）由研究者或独立影像评审委员会（IRRC/BICR）按RECIST 1.1评估；总生存期（OS）在ITT人群中评估</w:t>
      </w:r>
      <w:r>
        <w:rPr>
          <w:vertAlign w:val="superscript"/>
        </w:rPr>
        <w:t xml:space="preserve">816</w:t>
      </w:r>
      <w:r>
        <w:t xml:space="preserve">。关键设计特点在于”双主要终点”而非”共同主要终点（co-primary）“，意味着PFS或OS任一达到预设统计学显著性即可宣告试验成功</w:t>
      </w:r>
      <w:r>
        <w:rPr>
          <w:vertAlign w:val="superscript"/>
        </w:rPr>
        <w:t xml:space="preserve">17</w:t>
      </w:r>
      <w:r>
        <w:t xml:space="preserve">。次要终点包括客观缓解率（ORR）、缓解持续时间（DOR）、疾病控制率（DCR）、安全性及生活质量（QoL）等</w:t>
      </w:r>
      <w:r>
        <w:rPr>
          <w:vertAlign w:val="superscript"/>
        </w:rPr>
        <w:t xml:space="preserve">811</w:t>
      </w:r>
      <w:r>
        <w:t xml:space="preserve">。</w:t>
      </w:r>
    </w:p>
    <w:bookmarkEnd w:id="40"/>
    <w:bookmarkStart w:id="41" w:name="样本量与统计设计"/>
    <w:p>
      <w:pPr>
        <w:pStyle w:val="Heading3"/>
      </w:pPr>
      <w:r>
        <w:t xml:space="preserve">2.2.5 样本量与统计设计</w:t>
      </w:r>
    </w:p>
    <w:p>
      <w:pPr>
        <w:pStyle w:val="FirstParagraph"/>
      </w:pPr>
      <w:r>
        <w:t xml:space="preserve">HARMONi-3的样本量经历了重要的方案演进：</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原计划总样本量</w:t>
            </w:r>
          </w:p>
        </w:tc>
        <w:tc>
          <w:tcPr/>
          <w:p>
            <w:pPr>
              <w:pStyle w:val="Compact"/>
              <w:jc w:val="left"/>
            </w:pPr>
            <w:r>
              <w:t xml:space="preserve">~400例（仅鳞状NSCLC）</w:t>
            </w:r>
          </w:p>
        </w:tc>
      </w:tr>
      <w:tr>
        <w:tc>
          <w:tcPr/>
          <w:p>
            <w:pPr>
              <w:pStyle w:val="Compact"/>
              <w:jc w:val="left"/>
            </w:pPr>
            <w:r>
              <w:t xml:space="preserve">2024年Q4修订后</w:t>
            </w:r>
          </w:p>
        </w:tc>
        <w:tc>
          <w:tcPr/>
          <w:p>
            <w:pPr>
              <w:pStyle w:val="Compact"/>
              <w:jc w:val="left"/>
            </w:pPr>
            <w:r>
              <w:t xml:space="preserve">扩大至鳞状+非鳞状，总样本量约1,600例</w:t>
            </w:r>
          </w:p>
        </w:tc>
      </w:tr>
      <w:tr>
        <w:tc>
          <w:tcPr/>
          <w:p>
            <w:pPr>
              <w:pStyle w:val="Compact"/>
              <w:jc w:val="left"/>
            </w:pPr>
            <w:r>
              <w:t xml:space="preserve">鳞状队列</w:t>
            </w:r>
          </w:p>
        </w:tc>
        <w:tc>
          <w:tcPr/>
          <w:p>
            <w:pPr>
              <w:pStyle w:val="Compact"/>
              <w:jc w:val="left"/>
            </w:pPr>
            <w:r>
              <w:t xml:space="preserve">~600例</w:t>
            </w:r>
          </w:p>
        </w:tc>
      </w:tr>
      <w:tr>
        <w:tc>
          <w:tcPr/>
          <w:p>
            <w:pPr>
              <w:pStyle w:val="Compact"/>
              <w:jc w:val="left"/>
            </w:pPr>
            <w:r>
              <w:t xml:space="preserve">非鳞状队列</w:t>
            </w:r>
          </w:p>
        </w:tc>
        <w:tc>
          <w:tcPr/>
          <w:p>
            <w:pPr>
              <w:pStyle w:val="Compact"/>
              <w:jc w:val="left"/>
            </w:pPr>
            <w:r>
              <w:t xml:space="preserve">~1,000例</w:t>
            </w:r>
          </w:p>
        </w:tc>
      </w:tr>
      <w:tr>
        <w:tc>
          <w:tcPr/>
          <w:p>
            <w:pPr>
              <w:pStyle w:val="Compact"/>
              <w:jc w:val="left"/>
            </w:pPr>
            <w:r>
              <w:t xml:space="preserve">统计设计</w:t>
            </w:r>
          </w:p>
        </w:tc>
        <w:tc>
          <w:tcPr/>
          <w:p>
            <w:pPr>
              <w:pStyle w:val="Compact"/>
              <w:jc w:val="left"/>
            </w:pPr>
            <w:r>
              <w:t xml:space="preserve">事件驱动（event-driven），分组序贯设计</w:t>
            </w:r>
          </w:p>
        </w:tc>
      </w:tr>
      <w:tr>
        <w:tc>
          <w:tcPr/>
          <w:p>
            <w:pPr>
              <w:pStyle w:val="Compact"/>
              <w:jc w:val="left"/>
            </w:pPr>
            <w:r>
              <w:t xml:space="preserve">盲法</w:t>
            </w:r>
          </w:p>
        </w:tc>
        <w:tc>
          <w:tcPr/>
          <w:p>
            <w:pPr>
              <w:pStyle w:val="Compact"/>
              <w:jc w:val="left"/>
            </w:pPr>
            <w:r>
              <w:t xml:space="preserve">双盲，Summit对试验数据保持盲态以维护研究完整性</w:t>
            </w:r>
            <w:r>
              <w:rPr>
                <w:vertAlign w:val="superscript"/>
              </w:rPr>
              <w:t xml:space="preserve">18</w:t>
            </w:r>
          </w:p>
        </w:tc>
      </w:tr>
    </w:tbl>
    <w:p>
      <w:pPr>
        <w:pStyle w:val="BodyText"/>
      </w:pPr>
      <w:r>
        <w:t xml:space="preserve">2025年10月，方案进一步修订：按组织学类型分别进行</w:t>
      </w:r>
      <w:r>
        <w:rPr>
          <w:bCs/>
          <w:b/>
        </w:rPr>
        <w:t xml:space="preserve">独立的ITT分析</w:t>
      </w:r>
      <w:r>
        <w:t xml:space="preserve">，各自按预设事件数触发分析</w:t>
      </w:r>
      <w:r>
        <w:rPr>
          <w:vertAlign w:val="superscript"/>
        </w:rPr>
        <w:t xml:space="preserve">1619</w:t>
      </w:r>
      <w:r>
        <w:t xml:space="preserve">。该修订使鳞状队列可更早获得数据读出，同时增加非鳞状队列样本量以提升OS统计效力。</w:t>
      </w:r>
    </w:p>
    <w:bookmarkEnd w:id="41"/>
    <w:bookmarkEnd w:id="42"/>
    <w:bookmarkStart w:id="45" w:name="入组进展与关键时间表"/>
    <w:p>
      <w:pPr>
        <w:pStyle w:val="Heading2"/>
      </w:pPr>
      <w:r>
        <w:t xml:space="preserve">2.3 入组进展与关键时间表</w:t>
      </w:r>
    </w:p>
    <w:bookmarkStart w:id="43" w:name="全球入组时间线"/>
    <w:p>
      <w:pPr>
        <w:pStyle w:val="Heading3"/>
      </w:pPr>
      <w:r>
        <w:t xml:space="preserve">2.3.1 全球入组时间线</w:t>
      </w:r>
    </w:p>
    <w:p>
      <w:pPr>
        <w:pStyle w:val="FirstParagraph"/>
      </w:pPr>
      <w:r>
        <w:t xml:space="preserve">HARMONi-3的入组进展如下表所示：</w:t>
      </w:r>
    </w:p>
    <w:tbl>
      <w:tblPr>
        <w:tblStyle w:val="Table"/>
        <w:tblW w:type="pct" w:w="5000"/>
        <w:tblLook w:firstRow="1" w:lastRow="0" w:firstColumn="0" w:lastColumn="0" w:noHBand="0" w:noVBand="0" w:val="0020"/>
        <w:jc w:val="start"/>
        <w:tblLayout w:type="fixed"/>
      </w:tblPr>
      <w:tblGrid>
        <w:gridCol w:w="3600"/>
        <w:gridCol w:w="4320"/>
      </w:tblGrid>
      <w:tr>
        <w:trPr>
          <w:tblHeader w:val="true"/>
        </w:trPr>
        <w:tc>
          <w:tcPr/>
          <w:p>
            <w:pPr>
              <w:pStyle w:val="Compact"/>
              <w:jc w:val="left"/>
            </w:pPr>
            <w:r>
              <w:t xml:space="preserve">时间节点</w:t>
            </w:r>
          </w:p>
        </w:tc>
        <w:tc>
          <w:tcPr/>
          <w:p>
            <w:pPr>
              <w:pStyle w:val="Compact"/>
              <w:jc w:val="left"/>
            </w:pPr>
            <w:r>
              <w:t xml:space="preserve">里程碑事件</w:t>
            </w:r>
          </w:p>
        </w:tc>
      </w:tr>
      <w:tr>
        <w:tc>
          <w:tcPr/>
          <w:p>
            <w:pPr>
              <w:pStyle w:val="Compact"/>
              <w:jc w:val="left"/>
            </w:pPr>
            <w:r>
              <w:t xml:space="preserve">2023年Q4</w:t>
            </w:r>
          </w:p>
        </w:tc>
        <w:tc>
          <w:tcPr/>
          <w:p>
            <w:pPr>
              <w:pStyle w:val="Compact"/>
              <w:jc w:val="left"/>
            </w:pPr>
            <w:r>
              <w:t xml:space="preserve">北美和中国启动研究中心激活，开始入组</w:t>
            </w:r>
            <w:r>
              <w:rPr>
                <w:vertAlign w:val="superscript"/>
              </w:rPr>
              <w:t xml:space="preserve">8</w:t>
            </w:r>
          </w:p>
        </w:tc>
      </w:tr>
      <w:tr>
        <w:tc>
          <w:tcPr/>
          <w:p>
            <w:pPr>
              <w:pStyle w:val="Compact"/>
              <w:jc w:val="left"/>
            </w:pPr>
            <w:r>
              <w:t xml:space="preserve">2024年</w:t>
            </w:r>
          </w:p>
        </w:tc>
        <w:tc>
          <w:tcPr/>
          <w:p>
            <w:pPr>
              <w:pStyle w:val="Compact"/>
              <w:jc w:val="left"/>
            </w:pPr>
            <w:r>
              <w:t xml:space="preserve">欧洲启动；非鳞状NSCLC入组开始</w:t>
            </w:r>
            <w:r>
              <w:rPr>
                <w:vertAlign w:val="superscript"/>
              </w:rPr>
              <w:t xml:space="preserve">19</w:t>
            </w:r>
          </w:p>
        </w:tc>
      </w:tr>
      <w:tr>
        <w:tc>
          <w:tcPr/>
          <w:p>
            <w:pPr>
              <w:pStyle w:val="Compact"/>
              <w:jc w:val="left"/>
            </w:pPr>
            <w:r>
              <w:t xml:space="preserve">2024年10月</w:t>
            </w:r>
          </w:p>
        </w:tc>
        <w:tc>
          <w:tcPr/>
          <w:p>
            <w:pPr>
              <w:pStyle w:val="Compact"/>
              <w:jc w:val="left"/>
            </w:pPr>
            <w:r>
              <w:t xml:space="preserve">方案修订：将入组从仅鳞状扩大至”鳞状+非鳞状”，总样本量从400增至约1,600例</w:t>
            </w:r>
            <w:r>
              <w:rPr>
                <w:vertAlign w:val="superscript"/>
              </w:rPr>
              <w:t xml:space="preserve">19</w:t>
            </w:r>
          </w:p>
        </w:tc>
      </w:tr>
      <w:tr>
        <w:tc>
          <w:tcPr/>
          <w:p>
            <w:pPr>
              <w:pStyle w:val="Compact"/>
              <w:jc w:val="left"/>
            </w:pPr>
            <w:r>
              <w:t xml:space="preserve">2025年10月</w:t>
            </w:r>
          </w:p>
        </w:tc>
        <w:tc>
          <w:tcPr/>
          <w:p>
            <w:pPr>
              <w:pStyle w:val="Compact"/>
              <w:jc w:val="left"/>
            </w:pPr>
            <w:r>
              <w:t xml:space="preserve">方案修订：按组织学类型分别进行独立统计分析</w:t>
            </w:r>
            <w:r>
              <w:rPr>
                <w:vertAlign w:val="superscript"/>
              </w:rPr>
              <w:t xml:space="preserve">16</w:t>
            </w:r>
          </w:p>
        </w:tc>
      </w:tr>
      <w:tr>
        <w:tc>
          <w:tcPr/>
          <w:p>
            <w:pPr>
              <w:pStyle w:val="Compact"/>
              <w:jc w:val="left"/>
            </w:pPr>
            <w:r>
              <w:t xml:space="preserve">2026年Q1</w:t>
            </w:r>
          </w:p>
        </w:tc>
        <w:tc>
          <w:tcPr/>
          <w:p>
            <w:pPr>
              <w:pStyle w:val="Compact"/>
              <w:jc w:val="left"/>
            </w:pPr>
            <w:r>
              <w:t xml:space="preserve">鳞状队列入组计划完成</w:t>
            </w:r>
            <w:r>
              <w:rPr>
                <w:vertAlign w:val="superscript"/>
              </w:rPr>
              <w:t xml:space="preserve">1920</w:t>
            </w:r>
          </w:p>
        </w:tc>
      </w:tr>
      <w:tr>
        <w:tc>
          <w:tcPr/>
          <w:p>
            <w:pPr>
              <w:pStyle w:val="Compact"/>
              <w:jc w:val="left"/>
            </w:pPr>
            <w:r>
              <w:t xml:space="preserve">2026年Q2</w:t>
            </w:r>
          </w:p>
        </w:tc>
        <w:tc>
          <w:tcPr/>
          <w:p>
            <w:pPr>
              <w:pStyle w:val="Compact"/>
              <w:jc w:val="left"/>
            </w:pPr>
            <w:r>
              <w:t xml:space="preserve">鳞状队列PFS期中分析</w:t>
            </w:r>
            <w:r>
              <w:rPr>
                <w:vertAlign w:val="superscript"/>
              </w:rPr>
              <w:t xml:space="preserve">1920</w:t>
            </w:r>
          </w:p>
        </w:tc>
      </w:tr>
      <w:tr>
        <w:tc>
          <w:tcPr/>
          <w:p>
            <w:pPr>
              <w:pStyle w:val="Compact"/>
              <w:jc w:val="left"/>
            </w:pPr>
            <w:r>
              <w:t xml:space="preserve">2026年H2</w:t>
            </w:r>
          </w:p>
        </w:tc>
        <w:tc>
          <w:tcPr/>
          <w:p>
            <w:pPr>
              <w:pStyle w:val="Compact"/>
              <w:jc w:val="left"/>
            </w:pPr>
            <w:r>
              <w:t xml:space="preserve">鳞状队列：最终PFS和OS期中分析；非鳞状队列：入组完成预期</w:t>
            </w:r>
            <w:r>
              <w:rPr>
                <w:vertAlign w:val="superscript"/>
              </w:rPr>
              <w:t xml:space="preserve">1619</w:t>
            </w:r>
          </w:p>
        </w:tc>
      </w:tr>
      <w:tr>
        <w:tc>
          <w:tcPr/>
          <w:p>
            <w:pPr>
              <w:pStyle w:val="Compact"/>
              <w:jc w:val="left"/>
            </w:pPr>
            <w:r>
              <w:t xml:space="preserve">2027年H1</w:t>
            </w:r>
          </w:p>
        </w:tc>
        <w:tc>
          <w:tcPr/>
          <w:p>
            <w:pPr>
              <w:pStyle w:val="Compact"/>
              <w:jc w:val="left"/>
            </w:pPr>
            <w:r>
              <w:t xml:space="preserve">非鳞状队列：最终PFS分析预期</w:t>
            </w:r>
            <w:r>
              <w:rPr>
                <w:vertAlign w:val="superscript"/>
              </w:rPr>
              <w:t xml:space="preserve">1619</w:t>
            </w:r>
          </w:p>
        </w:tc>
      </w:tr>
    </w:tbl>
    <w:bookmarkEnd w:id="43"/>
    <w:bookmarkStart w:id="44" w:name="年4月早期期中分析解读"/>
    <w:p>
      <w:pPr>
        <w:pStyle w:val="Heading3"/>
      </w:pPr>
      <w:r>
        <w:t xml:space="preserve">2.3.2 2026年4月早期期中分析解读</w:t>
      </w:r>
    </w:p>
    <w:p>
      <w:pPr>
        <w:pStyle w:val="FirstParagraph"/>
      </w:pPr>
      <w:r>
        <w:t xml:space="preserve">2026年4月，IDMC完成了鳞状队列预设的</w:t>
      </w:r>
      <w:r>
        <w:rPr>
          <w:bCs/>
          <w:b/>
        </w:rPr>
        <w:t xml:space="preserve">早期期中分析</w:t>
      </w:r>
      <w:r>
        <w:t xml:space="preserve">，结果未达提前终止的优效性统计边界，建议试验按原计划继续，Summit保持数据盲态</w:t>
      </w:r>
      <w:r>
        <w:rPr>
          <w:vertAlign w:val="superscript"/>
        </w:rPr>
        <w:t xml:space="preserve">18</w:t>
      </w:r>
      <w:r>
        <w:t xml:space="preserve">。该分析采用了高度保守的α分配策略，且入组刚完成后数月即进行分析，数据成熟度不足，未达阳性并不意外。这仅消耗了极小的α值，不影响最终分析的统计学效力</w:t>
      </w:r>
      <w:r>
        <w:rPr>
          <w:vertAlign w:val="superscript"/>
        </w:rPr>
        <w:t xml:space="preserve">18</w:t>
      </w:r>
      <w:r>
        <w:t xml:space="preserve">。此事件应定性为”数据尚不成熟，需等待后续分析”，而非试验失败的信号。</w:t>
      </w:r>
    </w:p>
    <w:p>
      <w:pPr>
        <w:numPr>
          <w:ilvl w:val="0"/>
          <w:numId w:val="1002"/>
        </w:numPr>
        <w:pStyle w:val="Compact"/>
      </w:pPr>
      <w:r>
        <w:rPr>
          <w:bCs/>
          <w:b/>
        </w:rPr>
        <w:t xml:space="preserve">2026年H2</w:t>
      </w:r>
      <w:r>
        <w:t xml:space="preserve">：鳞状队列最终PFS和OS期中分析预期读出；非鳞状队列入组完成</w:t>
      </w:r>
    </w:p>
    <w:p>
      <w:pPr>
        <w:numPr>
          <w:ilvl w:val="0"/>
          <w:numId w:val="1002"/>
        </w:numPr>
        <w:pStyle w:val="Compact"/>
      </w:pPr>
      <w:r>
        <w:rPr>
          <w:bCs/>
          <w:b/>
        </w:rPr>
        <w:t xml:space="preserve">2027年H1</w:t>
      </w:r>
      <w:r>
        <w:t xml:space="preserve">：非鳞状队列最终PFS分析预期</w:t>
      </w:r>
    </w:p>
    <w:p>
      <w:pPr>
        <w:pStyle w:val="FirstParagraph"/>
      </w:pPr>
      <w:r>
        <w:t xml:space="preserve">鳞状队列的2026年下半年数据读出是AK112全球化进程中最关键的监管里程碑，其结果将直接决定Summit是否具备向FDA提交一线NSCLC适应症申请的基础。</w:t>
      </w:r>
    </w:p>
    <w:bookmarkEnd w:id="44"/>
    <w:bookmarkEnd w:id="45"/>
    <w:bookmarkStart w:id="49" w:name="harmoni-3在ak112全球战略中的定位"/>
    <w:p>
      <w:pPr>
        <w:pStyle w:val="Heading2"/>
      </w:pPr>
      <w:r>
        <w:t xml:space="preserve">2.4 HARMONi-3在AK112全球战略中的定位</w:t>
      </w:r>
    </w:p>
    <w:p>
      <w:pPr>
        <w:pStyle w:val="FirstParagraph"/>
      </w:pPr>
      <w:r>
        <w:t xml:space="preserve">HARMONi-3并非孤立存在，而是AK112全球注册策略中的核心支柱。康方生物与Summit围绕一线NSCLC构建了互补的试验矩阵：</w:t>
      </w:r>
    </w:p>
    <w:tbl>
      <w:tblPr>
        <w:tblStyle w:val="Table"/>
        <w:tblW w:type="pct" w:w="5000"/>
        <w:tblLook w:firstRow="1" w:lastRow="0" w:firstColumn="0" w:lastColumn="0" w:noHBand="0" w:noVBand="0" w:val="0020"/>
        <w:jc w:val="start"/>
        <w:tblLayout w:type="fixed"/>
      </w:tblPr>
      <w:tblGrid>
        <w:gridCol w:w="698"/>
        <w:gridCol w:w="698"/>
        <w:gridCol w:w="1164"/>
        <w:gridCol w:w="1164"/>
        <w:gridCol w:w="931"/>
        <w:gridCol w:w="1164"/>
        <w:gridCol w:w="931"/>
        <w:gridCol w:w="1164"/>
      </w:tblGrid>
      <w:tr>
        <w:trPr>
          <w:tblHeader w:val="true"/>
        </w:trPr>
        <w:tc>
          <w:tcPr/>
          <w:p>
            <w:pPr>
              <w:pStyle w:val="Compact"/>
              <w:jc w:val="left"/>
            </w:pPr>
            <w:r>
              <w:t xml:space="preserve">试验</w:t>
            </w:r>
          </w:p>
        </w:tc>
        <w:tc>
          <w:tcPr/>
          <w:p>
            <w:pPr>
              <w:pStyle w:val="Compact"/>
              <w:jc w:val="left"/>
            </w:pPr>
            <w:r>
              <w:t xml:space="preserve">地区</w:t>
            </w:r>
          </w:p>
        </w:tc>
        <w:tc>
          <w:tcPr/>
          <w:p>
            <w:pPr>
              <w:pStyle w:val="Compact"/>
              <w:jc w:val="left"/>
            </w:pPr>
            <w:r>
              <w:t xml:space="preserve">入组人群</w:t>
            </w:r>
          </w:p>
        </w:tc>
        <w:tc>
          <w:tcPr/>
          <w:p>
            <w:pPr>
              <w:pStyle w:val="Compact"/>
              <w:jc w:val="left"/>
            </w:pPr>
            <w:r>
              <w:t xml:space="preserve">治疗方案</w:t>
            </w:r>
          </w:p>
        </w:tc>
        <w:tc>
          <w:tcPr/>
          <w:p>
            <w:pPr>
              <w:pStyle w:val="Compact"/>
              <w:jc w:val="left"/>
            </w:pPr>
            <w:r>
              <w:t xml:space="preserve">对照组</w:t>
            </w:r>
          </w:p>
        </w:tc>
        <w:tc>
          <w:tcPr/>
          <w:p>
            <w:pPr>
              <w:pStyle w:val="Compact"/>
              <w:jc w:val="left"/>
            </w:pPr>
            <w:r>
              <w:t xml:space="preserve">主要终点</w:t>
            </w:r>
          </w:p>
        </w:tc>
        <w:tc>
          <w:tcPr/>
          <w:p>
            <w:pPr>
              <w:pStyle w:val="Compact"/>
              <w:jc w:val="left"/>
            </w:pPr>
            <w:r>
              <w:t xml:space="preserve">样本量</w:t>
            </w:r>
          </w:p>
        </w:tc>
        <w:tc>
          <w:tcPr/>
          <w:p>
            <w:pPr>
              <w:pStyle w:val="Compact"/>
              <w:jc w:val="left"/>
            </w:pPr>
            <w:r>
              <w:t xml:space="preserve">当前状态</w:t>
            </w:r>
          </w:p>
        </w:tc>
      </w:tr>
      <w:tr>
        <w:tc>
          <w:tcPr/>
          <w:p>
            <w:pPr>
              <w:pStyle w:val="Compact"/>
              <w:jc w:val="left"/>
            </w:pPr>
            <w:r>
              <w:t xml:space="preserve">HARMONi-2</w:t>
            </w:r>
          </w:p>
        </w:tc>
        <w:tc>
          <w:tcPr/>
          <w:p>
            <w:pPr>
              <w:pStyle w:val="Compact"/>
              <w:jc w:val="left"/>
            </w:pPr>
            <w:r>
              <w:t xml:space="preserve">中国</w:t>
            </w:r>
          </w:p>
        </w:tc>
        <w:tc>
          <w:tcPr/>
          <w:p>
            <w:pPr>
              <w:pStyle w:val="Compact"/>
              <w:jc w:val="left"/>
            </w:pPr>
            <w:r>
              <w:t xml:space="preserve">PD-L1 TPS≥1%</w:t>
            </w:r>
          </w:p>
        </w:tc>
        <w:tc>
          <w:tcPr/>
          <w:p>
            <w:pPr>
              <w:pStyle w:val="Compact"/>
              <w:jc w:val="left"/>
            </w:pPr>
            <w:r>
              <w:t xml:space="preserve">单药 vs 单药</w:t>
            </w:r>
          </w:p>
        </w:tc>
        <w:tc>
          <w:tcPr/>
          <w:p>
            <w:pPr>
              <w:pStyle w:val="Compact"/>
              <w:jc w:val="left"/>
            </w:pPr>
            <w:r>
              <w:t xml:space="preserve">Pembrolizumab单药</w:t>
            </w:r>
          </w:p>
        </w:tc>
        <w:tc>
          <w:tcPr/>
          <w:p>
            <w:pPr>
              <w:pStyle w:val="Compact"/>
              <w:jc w:val="left"/>
            </w:pPr>
            <w:r>
              <w:t xml:space="preserve">PFS</w:t>
            </w:r>
          </w:p>
        </w:tc>
        <w:tc>
          <w:tcPr/>
          <w:p>
            <w:pPr>
              <w:pStyle w:val="Compact"/>
              <w:jc w:val="left"/>
            </w:pPr>
            <w:r>
              <w:t xml:space="preserve">398例</w:t>
            </w:r>
          </w:p>
        </w:tc>
        <w:tc>
          <w:tcPr/>
          <w:p>
            <w:pPr>
              <w:pStyle w:val="Compact"/>
              <w:jc w:val="left"/>
            </w:pPr>
            <w:r>
              <w:t xml:space="preserve">已完成；NMPA已批准</w:t>
            </w:r>
            <w:r>
              <w:rPr>
                <w:vertAlign w:val="superscript"/>
              </w:rPr>
              <w:t xml:space="preserve">5</w:t>
            </w:r>
          </w:p>
        </w:tc>
      </w:tr>
      <w:tr>
        <w:tc>
          <w:tcPr/>
          <w:p>
            <w:pPr>
              <w:pStyle w:val="Compact"/>
              <w:jc w:val="left"/>
            </w:pPr>
            <w:r>
              <w:t xml:space="preserve">HARMONi-6</w:t>
            </w:r>
          </w:p>
        </w:tc>
        <w:tc>
          <w:tcPr/>
          <w:p>
            <w:pPr>
              <w:pStyle w:val="Compact"/>
              <w:jc w:val="left"/>
            </w:pPr>
            <w:r>
              <w:t xml:space="preserve">中国</w:t>
            </w:r>
          </w:p>
        </w:tc>
        <w:tc>
          <w:tcPr/>
          <w:p>
            <w:pPr>
              <w:pStyle w:val="Compact"/>
              <w:jc w:val="left"/>
            </w:pPr>
            <w:r>
              <w:t xml:space="preserve">仅鳞状NSCLC</w:t>
            </w:r>
          </w:p>
        </w:tc>
        <w:tc>
          <w:tcPr/>
          <w:p>
            <w:pPr>
              <w:pStyle w:val="Compact"/>
              <w:jc w:val="left"/>
            </w:pPr>
            <w:r>
              <w:t xml:space="preserve">联合化疗 vs 联合化疗</w:t>
            </w:r>
          </w:p>
        </w:tc>
        <w:tc>
          <w:tcPr/>
          <w:p>
            <w:pPr>
              <w:pStyle w:val="Compact"/>
              <w:jc w:val="left"/>
            </w:pPr>
            <w:r>
              <w:t xml:space="preserve">Tislelizumab+化疗</w:t>
            </w:r>
          </w:p>
        </w:tc>
        <w:tc>
          <w:tcPr/>
          <w:p>
            <w:pPr>
              <w:pStyle w:val="Compact"/>
              <w:jc w:val="left"/>
            </w:pPr>
            <w:r>
              <w:t xml:space="preserve">PFS</w:t>
            </w:r>
          </w:p>
        </w:tc>
        <w:tc>
          <w:tcPr/>
          <w:p>
            <w:pPr>
              <w:pStyle w:val="Compact"/>
              <w:jc w:val="left"/>
            </w:pPr>
            <w:r>
              <w:t xml:space="preserve">532例</w:t>
            </w:r>
          </w:p>
        </w:tc>
        <w:tc>
          <w:tcPr/>
          <w:p>
            <w:pPr>
              <w:pStyle w:val="Compact"/>
              <w:jc w:val="left"/>
            </w:pPr>
            <w:r>
              <w:t xml:space="preserve">已完成；PFS HR 0.60，OS HR 0.66</w:t>
            </w:r>
            <w:r>
              <w:rPr>
                <w:vertAlign w:val="superscript"/>
              </w:rPr>
              <w:t xml:space="preserve">21</w:t>
            </w:r>
          </w:p>
        </w:tc>
      </w:tr>
      <w:tr>
        <w:tc>
          <w:tcPr/>
          <w:p>
            <w:pPr>
              <w:pStyle w:val="Compact"/>
              <w:jc w:val="left"/>
            </w:pPr>
            <w:r>
              <w:t xml:space="preserve">HARMONi-3</w:t>
            </w:r>
          </w:p>
        </w:tc>
        <w:tc>
          <w:tcPr/>
          <w:p>
            <w:pPr>
              <w:pStyle w:val="Compact"/>
              <w:jc w:val="left"/>
            </w:pPr>
            <w:r>
              <w:t xml:space="preserve">全球</w:t>
            </w:r>
          </w:p>
        </w:tc>
        <w:tc>
          <w:tcPr/>
          <w:p>
            <w:pPr>
              <w:pStyle w:val="Compact"/>
              <w:jc w:val="left"/>
            </w:pPr>
            <w:r>
              <w:t xml:space="preserve">不论PD-L1表达</w:t>
            </w:r>
          </w:p>
        </w:tc>
        <w:tc>
          <w:tcPr/>
          <w:p>
            <w:pPr>
              <w:pStyle w:val="Compact"/>
              <w:jc w:val="left"/>
            </w:pPr>
            <w:r>
              <w:t xml:space="preserve">联合化疗 vs 联合化疗</w:t>
            </w:r>
          </w:p>
        </w:tc>
        <w:tc>
          <w:tcPr/>
          <w:p>
            <w:pPr>
              <w:pStyle w:val="Compact"/>
              <w:jc w:val="left"/>
            </w:pPr>
            <w:r>
              <w:t xml:space="preserve">Pembrolizumab+化疗</w:t>
            </w:r>
          </w:p>
        </w:tc>
        <w:tc>
          <w:tcPr/>
          <w:p>
            <w:pPr>
              <w:pStyle w:val="Compact"/>
              <w:jc w:val="left"/>
            </w:pPr>
            <w:r>
              <w:t xml:space="preserve">PFS + OS</w:t>
            </w:r>
          </w:p>
        </w:tc>
        <w:tc>
          <w:tcPr/>
          <w:p>
            <w:pPr>
              <w:pStyle w:val="Compact"/>
              <w:jc w:val="left"/>
            </w:pPr>
            <w:r>
              <w:t xml:space="preserve">~1,600例</w:t>
            </w:r>
          </w:p>
        </w:tc>
        <w:tc>
          <w:tcPr/>
          <w:p>
            <w:pPr>
              <w:pStyle w:val="Compact"/>
              <w:jc w:val="left"/>
            </w:pPr>
            <w:r>
              <w:t xml:space="preserve">进行中</w:t>
            </w:r>
            <w:r>
              <w:rPr>
                <w:vertAlign w:val="superscript"/>
              </w:rPr>
              <w:t xml:space="preserve">8</w:t>
            </w:r>
          </w:p>
        </w:tc>
      </w:tr>
      <w:tr>
        <w:tc>
          <w:tcPr/>
          <w:p>
            <w:pPr>
              <w:pStyle w:val="Compact"/>
              <w:jc w:val="left"/>
            </w:pPr>
            <w:r>
              <w:t xml:space="preserve">HARMONi-7</w:t>
            </w:r>
          </w:p>
        </w:tc>
        <w:tc>
          <w:tcPr/>
          <w:p>
            <w:pPr>
              <w:pStyle w:val="Compact"/>
              <w:jc w:val="left"/>
            </w:pPr>
            <w:r>
              <w:t xml:space="preserve">全球</w:t>
            </w:r>
          </w:p>
        </w:tc>
        <w:tc>
          <w:tcPr/>
          <w:p>
            <w:pPr>
              <w:pStyle w:val="Compact"/>
              <w:jc w:val="left"/>
            </w:pPr>
            <w:r>
              <w:t xml:space="preserve">PD-L1 TPS≥50%</w:t>
            </w:r>
          </w:p>
        </w:tc>
        <w:tc>
          <w:tcPr/>
          <w:p>
            <w:pPr>
              <w:pStyle w:val="Compact"/>
              <w:jc w:val="left"/>
            </w:pPr>
            <w:r>
              <w:t xml:space="preserve">单药 vs 单药</w:t>
            </w:r>
          </w:p>
        </w:tc>
        <w:tc>
          <w:tcPr/>
          <w:p>
            <w:pPr>
              <w:pStyle w:val="Compact"/>
              <w:jc w:val="left"/>
            </w:pPr>
            <w:r>
              <w:t xml:space="preserve">Pembrolizumab单药</w:t>
            </w:r>
          </w:p>
        </w:tc>
        <w:tc>
          <w:tcPr/>
          <w:p>
            <w:pPr>
              <w:pStyle w:val="Compact"/>
              <w:jc w:val="left"/>
            </w:pPr>
            <w:r>
              <w:t xml:space="preserve">PFS + OS</w:t>
            </w:r>
          </w:p>
        </w:tc>
        <w:tc>
          <w:tcPr/>
          <w:p>
            <w:pPr>
              <w:pStyle w:val="Compact"/>
              <w:jc w:val="left"/>
            </w:pPr>
            <w:r>
              <w:t xml:space="preserve">~780例</w:t>
            </w:r>
          </w:p>
        </w:tc>
        <w:tc>
          <w:tcPr/>
          <w:p>
            <w:pPr>
              <w:pStyle w:val="Compact"/>
              <w:jc w:val="left"/>
            </w:pPr>
            <w:r>
              <w:t xml:space="preserve">2025年启动</w:t>
            </w:r>
            <w:r>
              <w:rPr>
                <w:vertAlign w:val="superscript"/>
              </w:rPr>
              <w:t xml:space="preserve">19</w:t>
            </w:r>
          </w:p>
        </w:tc>
      </w:tr>
    </w:tbl>
    <w:bookmarkStart w:id="46" w:name="与harmoni-2的关系从单药到联合化疗的跨越"/>
    <w:p>
      <w:pPr>
        <w:pStyle w:val="Heading3"/>
      </w:pPr>
      <w:r>
        <w:t xml:space="preserve">2.4.1 与HARMONi-2的关系：从单药到联合化疗的跨越</w:t>
      </w:r>
    </w:p>
    <w:p>
      <w:pPr>
        <w:pStyle w:val="FirstParagraph"/>
      </w:pPr>
      <w:r>
        <w:t xml:space="preserve">HARMONi-2（中国，PD-L1≥1%，单药头对头）证明AK112单药在PD-L1阳性患者中显著优于Pembrolizumab单药（mPFS 11.1 vs 5.8月，HR 0.51，P&lt;0.0001）</w:t>
      </w:r>
      <w:r>
        <w:rPr>
          <w:vertAlign w:val="superscript"/>
        </w:rPr>
        <w:t xml:space="preserve">5</w:t>
      </w:r>
      <w:r>
        <w:t xml:space="preserve">。然而，HARMONi-2仅覆盖PD-L1阳性人群，且未使用化疗。HARMONi-3则将验证场景拓展至真实世界中最广泛使用的</w:t>
      </w:r>
      <w:r>
        <w:rPr>
          <w:bCs/>
          <w:b/>
        </w:rPr>
        <w:t xml:space="preserve">联合化疗+all-comer</w:t>
      </w:r>
      <w:r>
        <w:t xml:space="preserve">模式，覆盖PD-L1阴性/低表达患者，这与全球一线NSCLC的临床实践高度一致</w:t>
      </w:r>
      <w:r>
        <w:rPr>
          <w:vertAlign w:val="superscript"/>
        </w:rPr>
        <w:t xml:space="preserve">13</w:t>
      </w:r>
      <w:r>
        <w:t xml:space="preserve">。</w:t>
      </w:r>
    </w:p>
    <w:bookmarkEnd w:id="46"/>
    <w:bookmarkStart w:id="47" w:name="与harmoni-6的关系从中国验证到全球注册"/>
    <w:p>
      <w:pPr>
        <w:pStyle w:val="Heading3"/>
      </w:pPr>
      <w:r>
        <w:t xml:space="preserve">2.4.2 与HARMONi-6的关系：从”中国验证”到”全球注册”</w:t>
      </w:r>
    </w:p>
    <w:p>
      <w:pPr>
        <w:pStyle w:val="FirstParagraph"/>
      </w:pPr>
      <w:r>
        <w:t xml:space="preserve">HARMONi-6（中国，鳞状NSCLC，联合化疗）已取得PFS和OS双阳性结果（PFS HR 0.60，OS HR 0.66，P=0.0017），成为首个在一线NSCLC中头对头击败PD-1联合化疗的III期研究</w:t>
      </w:r>
      <w:r>
        <w:rPr>
          <w:vertAlign w:val="superscript"/>
        </w:rPr>
        <w:t xml:space="preserve">21</w:t>
      </w:r>
      <w:r>
        <w:t xml:space="preserve">。HARMONi-6对照组为Tislelizumab（中国常用PD-1），HARMONi-3对照组为Pembrolizumab（全球标准），两者在中国鳞癌中的疗效相近</w:t>
      </w:r>
      <w:r>
        <w:rPr>
          <w:vertAlign w:val="superscript"/>
        </w:rPr>
        <w:t xml:space="preserve">22</w:t>
      </w:r>
      <w:r>
        <w:t xml:space="preserve">。HARMONi-3的核心任务是验证HARMONi-6的阳性结果能否在</w:t>
      </w:r>
      <w:r>
        <w:rPr>
          <w:bCs/>
          <w:b/>
        </w:rPr>
        <w:t xml:space="preserve">全球多中心、西方人群占相当比例</w:t>
      </w:r>
      <w:r>
        <w:t xml:space="preserve">的人群中复现。若鳞状队列取得阳性，AK112将成为</w:t>
      </w:r>
      <w:r>
        <w:rPr>
          <w:bCs/>
          <w:b/>
        </w:rPr>
        <w:t xml:space="preserve">首个在一线NSCLC中击败Pembrolizumab+化疗的全球标准方案</w:t>
      </w:r>
      <w:r>
        <w:rPr>
          <w:vertAlign w:val="superscript"/>
        </w:rPr>
        <w:t xml:space="preserve">23</w:t>
      </w:r>
      <w:r>
        <w:t xml:space="preserve">。</w:t>
      </w:r>
    </w:p>
    <w:bookmarkEnd w:id="47"/>
    <w:bookmarkStart w:id="48" w:name="全球监管意义"/>
    <w:p>
      <w:pPr>
        <w:pStyle w:val="Heading3"/>
      </w:pPr>
      <w:r>
        <w:t xml:space="preserve">2.4.3 全球监管意义</w:t>
      </w:r>
    </w:p>
    <w:p>
      <w:pPr>
        <w:pStyle w:val="FirstParagraph"/>
      </w:pPr>
      <w:r>
        <w:t xml:space="preserve">HARMONi-3采用全球多中心试验（MRCT）设计，覆盖北美、欧洲及中国，数据可直接支持FDA、EMA、PMDA等全球主要监管机构的注册审批</w:t>
      </w:r>
      <w:r>
        <w:rPr>
          <w:vertAlign w:val="superscript"/>
        </w:rPr>
        <w:t xml:space="preserve">24</w:t>
      </w:r>
      <w:r>
        <w:t xml:space="preserve">。这一设计与HARMONi（EGFR-TKI进展后NSCLC全球研究）类似——后者约38%的患者来自西方国家，符合FDA对全球注册性试验的种族/地理多样性要求</w:t>
      </w:r>
      <w:r>
        <w:rPr>
          <w:vertAlign w:val="superscript"/>
        </w:rPr>
        <w:t xml:space="preserve">24</w:t>
      </w:r>
      <w:r>
        <w:t xml:space="preserve">。相比之下，HARMONi-6仅在中国开展，主要支持NMPA审批；HARMONi-3则承载着AK112从”中国创新药”跃升为”全球一线标准”的终极使命。</w:t>
      </w:r>
    </w:p>
    <w:p>
      <w:r>
        <w:pict>
          <v:rect style="width:0;height:1.5pt" o:hralign="center" o:hrstd="t" o:hr="t"/>
        </w:pict>
      </w:r>
    </w:p>
    <w:bookmarkEnd w:id="48"/>
    <w:bookmarkEnd w:id="49"/>
    <w:bookmarkStart w:id="50" w:name="脚注-1"/>
    <w:p>
      <w:pPr>
        <w:pStyle w:val="Heading2"/>
      </w:pPr>
      <w:r>
        <w:t xml:space="preserve">脚注</w:t>
      </w:r>
    </w:p>
    <w:p>
      <w:r>
        <w:pict>
          <v:rect style="width:0;height:1.5pt" o:hralign="center" o:hrstd="t" o:hr="t"/>
        </w:pict>
      </w:r>
    </w:p>
    <w:bookmarkEnd w:id="50"/>
    <w:bookmarkEnd w:id="51"/>
    <w:bookmarkStart w:id="81" w:name="第三章-历史临床数据深度回顾"/>
    <w:p>
      <w:pPr>
        <w:pStyle w:val="Heading1"/>
      </w:pPr>
      <w:r>
        <w:t xml:space="preserve">第三章 历史临床数据深度回顾</w:t>
      </w:r>
    </w:p>
    <w:p>
      <w:pPr>
        <w:pStyle w:val="FirstParagraph"/>
      </w:pPr>
      <w:r>
        <w:t xml:space="preserve">AK112（依沃西单抗/Ivonescimab）的临床开发路径呈现出清晰而递进的验证逻辑：从EGFR-TKI耐药后线治疗（HARMONi-A）→ 一线PD-L1阳性单药头对头击败帕博利珠单抗（HARMONi-2）→ 一线鳞癌联合化疗头对头击败PD-1+化疗（HARMONi-6）→ 全球一线联合化疗头对头（HARMONi-3）。这一链条上的每一项研究都为下一项研究提供了关键的概念验证、剂量参考和安全性锚定。本章将系统回顾HARMONi-A、HARMONi-2、HARMONi-6三项核心研究的完整临床数据，构建跨试验的疗效一致性证据图谱，为HARMONi-3的结果预测提供坚实的历史参照。</w:t>
      </w:r>
    </w:p>
    <w:p>
      <w:r>
        <w:pict>
          <v:rect style="width:0;height:1.5pt" o:hralign="center" o:hrstd="t" o:hr="t"/>
        </w:pict>
      </w:r>
    </w:p>
    <w:bookmarkStart w:id="58" w:name="harmoni-aegfr-tki耐药nsclc的里程碑"/>
    <w:p>
      <w:pPr>
        <w:pStyle w:val="Heading2"/>
      </w:pPr>
      <w:r>
        <w:t xml:space="preserve">3.1 HARMONi-A：EGFR-TKI耐药NSCLC的里程碑</w:t>
      </w:r>
    </w:p>
    <w:bookmarkStart w:id="52" w:name="研究设计"/>
    <w:p>
      <w:pPr>
        <w:pStyle w:val="Heading3"/>
      </w:pPr>
      <w:r>
        <w:t xml:space="preserve">3.1.1 研究设计</w:t>
      </w:r>
    </w:p>
    <w:p>
      <w:pPr>
        <w:pStyle w:val="FirstParagraph"/>
      </w:pPr>
      <w:r>
        <w:t xml:space="preserve">HARMONi-A（AK112-301，NCT05184712）是一项在中国55个研究中心开展的III期、随机、双盲、安慰剂对照临床试验，旨在评估依沃西单抗（20 mg/kg IV Q3W）联合化疗（培美曲塞500 mg/m² + 卡铂AUC 5）对比安慰剂联合化疗在EGFR-TKI治疗后进展的EGFR突变局部晚期或转移性非鳞状NSCLC（nsq-NSCLC）患者中的疗效与安全性</w:t>
      </w:r>
      <w:r>
        <w:rPr>
          <w:vertAlign w:val="superscript"/>
        </w:rPr>
        <w:t xml:space="preserve">1</w:t>
      </w:r>
      <w:r>
        <w:t xml:space="preserve">。该研究共入组322例患者，按1:1比例随机分配，分层因素包括既往三代EGFR-TKI使用（是/否）和脑转移状态（有/无）。主要终点为独立放射学评审委员会（IRRC）评估的无进展生存期（PFS，RECIST v1.1），关键次要终点为总生存期（OS），采用封闭序贯检验程序：PFS先检验（双侧α=0.05），达到显著性后OS方可检验</w:t>
      </w:r>
      <w:r>
        <w:rPr>
          <w:vertAlign w:val="superscript"/>
        </w:rPr>
        <w:t xml:space="preserve">12</w:t>
      </w:r>
      <w:r>
        <w:t xml:space="preserve">。</w:t>
      </w:r>
    </w:p>
    <w:p>
      <w:pPr>
        <w:pStyle w:val="BodyText"/>
      </w:pPr>
      <w:r>
        <w:t xml:space="preserve">该研究的人群基线高度反映了真实临床实践中EGFR-TKI耐药后的患者特征：三代TKI经治比例高达86.3%，脑转移患者占21.7%，肝转移患者占13.0%，19外显子缺失与L858R突变各占约53%和47%</w:t>
      </w:r>
      <w:r>
        <w:rPr>
          <w:vertAlign w:val="superscript"/>
        </w:rPr>
        <w:t xml:space="preserve">13</w:t>
      </w:r>
      <w:r>
        <w:t xml:space="preserve">。这一基线设计意味着研究结论直接适用于当前临床实践中最棘手的”三代TKI耐药后”治疗困境，无需额外的基线调整。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详情</w:t>
            </w:r>
          </w:p>
        </w:tc>
      </w:tr>
      <w:tr>
        <w:tc>
          <w:tcPr/>
          <w:p>
            <w:pPr>
              <w:pStyle w:val="Compact"/>
              <w:jc w:val="left"/>
            </w:pPr>
            <w:r>
              <w:t xml:space="preserve">研究类型</w:t>
            </w:r>
          </w:p>
        </w:tc>
        <w:tc>
          <w:tcPr/>
          <w:p>
            <w:pPr>
              <w:pStyle w:val="Compact"/>
              <w:jc w:val="left"/>
            </w:pPr>
            <w:r>
              <w:t xml:space="preserve">III期、随机、双盲、安慰剂对照、多中心</w:t>
            </w:r>
          </w:p>
        </w:tc>
      </w:tr>
      <w:tr>
        <w:tc>
          <w:tcPr/>
          <w:p>
            <w:pPr>
              <w:pStyle w:val="Compact"/>
              <w:jc w:val="left"/>
            </w:pPr>
            <w:r>
              <w:t xml:space="preserve">入组人数</w:t>
            </w:r>
          </w:p>
        </w:tc>
        <w:tc>
          <w:tcPr/>
          <w:p>
            <w:pPr>
              <w:pStyle w:val="Compact"/>
              <w:jc w:val="left"/>
            </w:pPr>
            <w:r>
              <w:t xml:space="preserve">322例（1:1随机）</w:t>
            </w:r>
          </w:p>
        </w:tc>
      </w:tr>
      <w:tr>
        <w:tc>
          <w:tcPr/>
          <w:p>
            <w:pPr>
              <w:pStyle w:val="Compact"/>
              <w:jc w:val="left"/>
            </w:pPr>
            <w:r>
              <w:t xml:space="preserve">试验组</w:t>
            </w:r>
          </w:p>
        </w:tc>
        <w:tc>
          <w:tcPr/>
          <w:p>
            <w:pPr>
              <w:pStyle w:val="Compact"/>
              <w:jc w:val="left"/>
            </w:pPr>
            <w:r>
              <w:t xml:space="preserve">依沃西单抗20 mg/kg + 培美曲塞 + 卡铂</w:t>
            </w:r>
          </w:p>
        </w:tc>
      </w:tr>
      <w:tr>
        <w:tc>
          <w:tcPr/>
          <w:p>
            <w:pPr>
              <w:pStyle w:val="Compact"/>
              <w:jc w:val="left"/>
            </w:pPr>
            <w:r>
              <w:t xml:space="preserve">对照组</w:t>
            </w:r>
          </w:p>
        </w:tc>
        <w:tc>
          <w:tcPr/>
          <w:p>
            <w:pPr>
              <w:pStyle w:val="Compact"/>
              <w:jc w:val="left"/>
            </w:pPr>
            <w:r>
              <w:t xml:space="preserve">安慰剂 + 培美曲塞 + 卡铂</w:t>
            </w:r>
          </w:p>
        </w:tc>
      </w:tr>
      <w:tr>
        <w:tc>
          <w:tcPr/>
          <w:p>
            <w:pPr>
              <w:pStyle w:val="Compact"/>
              <w:jc w:val="left"/>
            </w:pPr>
            <w:r>
              <w:t xml:space="preserve">主要终点</w:t>
            </w:r>
          </w:p>
        </w:tc>
        <w:tc>
          <w:tcPr/>
          <w:p>
            <w:pPr>
              <w:pStyle w:val="Compact"/>
              <w:jc w:val="left"/>
            </w:pPr>
            <w:r>
              <w:t xml:space="preserve">IRRC评估的PFS（RECIST v1.1）</w:t>
            </w:r>
          </w:p>
        </w:tc>
      </w:tr>
      <w:tr>
        <w:tc>
          <w:tcPr/>
          <w:p>
            <w:pPr>
              <w:pStyle w:val="Compact"/>
              <w:jc w:val="left"/>
            </w:pPr>
            <w:r>
              <w:t xml:space="preserve">关键次要终点</w:t>
            </w:r>
          </w:p>
        </w:tc>
        <w:tc>
          <w:tcPr/>
          <w:p>
            <w:pPr>
              <w:pStyle w:val="Compact"/>
              <w:jc w:val="left"/>
            </w:pPr>
            <w:r>
              <w:t xml:space="preserve">总生存期（OS）</w:t>
            </w:r>
          </w:p>
        </w:tc>
      </w:tr>
      <w:tr>
        <w:tc>
          <w:tcPr/>
          <w:p>
            <w:pPr>
              <w:pStyle w:val="Compact"/>
              <w:jc w:val="left"/>
            </w:pPr>
            <w:r>
              <w:t xml:space="preserve">分层因素</w:t>
            </w:r>
          </w:p>
        </w:tc>
        <w:tc>
          <w:tcPr/>
          <w:p>
            <w:pPr>
              <w:pStyle w:val="Compact"/>
              <w:jc w:val="left"/>
            </w:pPr>
            <w:r>
              <w:t xml:space="preserve">既往三代EGFR-TKI使用、脑转移状态</w:t>
            </w:r>
          </w:p>
        </w:tc>
      </w:tr>
      <w:tr>
        <w:tc>
          <w:tcPr/>
          <w:p>
            <w:pPr>
              <w:pStyle w:val="Compact"/>
              <w:jc w:val="left"/>
            </w:pPr>
            <w:r>
              <w:t xml:space="preserve">统计方法</w:t>
            </w:r>
          </w:p>
        </w:tc>
        <w:tc>
          <w:tcPr/>
          <w:p>
            <w:pPr>
              <w:pStyle w:val="Compact"/>
              <w:jc w:val="left"/>
            </w:pPr>
            <w:r>
              <w:t xml:space="preserve">封闭序贯检验（PFS→OS）</w:t>
            </w:r>
          </w:p>
        </w:tc>
      </w:tr>
    </w:tbl>
    <w:bookmarkEnd w:id="52"/>
    <w:bookmarkStart w:id="53" w:name="pfs数据疗效基石的奠定"/>
    <w:p>
      <w:pPr>
        <w:pStyle w:val="Heading3"/>
      </w:pPr>
      <w:r>
        <w:t xml:space="preserve">3.1.2 PFS数据：疗效基石的奠定</w:t>
      </w:r>
    </w:p>
    <w:p>
      <w:pPr>
        <w:pStyle w:val="FirstParagraph"/>
      </w:pPr>
      <w:r>
        <w:t xml:space="preserve">HARMONi-A的PFS期中分析（数据截止于2023年3月，中位随访7.89个月）达到了预设的主要终点，依沃西联合化疗显示出具有统计学意义和临床意义的显著改善</w:t>
      </w:r>
      <w:r>
        <w:rPr>
          <w:vertAlign w:val="superscript"/>
        </w:rPr>
        <w:t xml:space="preserve">12</w:t>
      </w:r>
      <w:r>
        <w:t xml:space="preserve">。</w:t>
      </w:r>
    </w:p>
    <w:tbl>
      <w:tblPr>
        <w:tblStyle w:val="Table"/>
        <w:tblW w:type="pct" w:w="5000"/>
        <w:tblLook w:firstRow="1" w:lastRow="0" w:firstColumn="0" w:lastColumn="0" w:noHBand="0" w:noVBand="0" w:val="0020"/>
        <w:jc w:val="start"/>
        <w:tblLayout w:type="fixed"/>
      </w:tblPr>
      <w:tblGrid>
        <w:gridCol w:w="2299"/>
        <w:gridCol w:w="2810"/>
        <w:gridCol w:w="2810"/>
      </w:tblGrid>
      <w:tr>
        <w:trPr>
          <w:tblHeader w:val="true"/>
        </w:trPr>
        <w:tc>
          <w:tcPr/>
          <w:p>
            <w:pPr>
              <w:pStyle w:val="Compact"/>
              <w:jc w:val="left"/>
            </w:pPr>
            <w:r>
              <w:t xml:space="preserve">PFS指标</w:t>
            </w:r>
          </w:p>
        </w:tc>
        <w:tc>
          <w:tcPr/>
          <w:p>
            <w:pPr>
              <w:pStyle w:val="Compact"/>
              <w:jc w:val="left"/>
            </w:pPr>
            <w:r>
              <w:t xml:space="preserve">依沃西+化疗</w:t>
            </w:r>
          </w:p>
        </w:tc>
        <w:tc>
          <w:tcPr/>
          <w:p>
            <w:pPr>
              <w:pStyle w:val="Compact"/>
              <w:jc w:val="left"/>
            </w:pPr>
            <w:r>
              <w:t xml:space="preserve">安慰剂+化疗</w:t>
            </w:r>
          </w:p>
        </w:tc>
      </w:tr>
      <w:tr>
        <w:tc>
          <w:tcPr/>
          <w:p>
            <w:pPr>
              <w:pStyle w:val="Compact"/>
              <w:jc w:val="left"/>
            </w:pPr>
            <w:r>
              <w:t xml:space="preserve">中位PFS（月）</w:t>
            </w:r>
          </w:p>
        </w:tc>
        <w:tc>
          <w:tcPr/>
          <w:p>
            <w:pPr>
              <w:pStyle w:val="Compact"/>
              <w:jc w:val="left"/>
            </w:pPr>
            <w:r>
              <w:t xml:space="preserve">7.10（95% CI: 5.90–8.70）</w:t>
            </w:r>
          </w:p>
        </w:tc>
        <w:tc>
          <w:tcPr/>
          <w:p>
            <w:pPr>
              <w:pStyle w:val="Compact"/>
              <w:jc w:val="left"/>
            </w:pPr>
            <w:r>
              <w:t xml:space="preserve">4.80（95% CI: 4.20–5.60）</w:t>
            </w:r>
          </w:p>
        </w:tc>
      </w:tr>
      <w:tr>
        <w:tc>
          <w:tcPr/>
          <w:p>
            <w:pPr>
              <w:pStyle w:val="Compact"/>
              <w:jc w:val="left"/>
            </w:pPr>
            <w:r>
              <w:t xml:space="preserve">HR（95% CI）</w:t>
            </w:r>
          </w:p>
        </w:tc>
        <w:tc>
          <w:tcPr/>
          <w:p>
            <w:pPr>
              <w:pStyle w:val="Compact"/>
              <w:jc w:val="left"/>
            </w:pPr>
            <w:r>
              <w:t xml:space="preserve">0.46（0.34–0.62）</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&lt;0.001</w:t>
            </w:r>
          </w:p>
        </w:tc>
        <w:tc>
          <w:tcPr/>
          <w:p>
            <w:pPr>
              <w:pStyle w:val="Compact"/>
              <w:jc w:val="left"/>
            </w:pPr>
            <w:r>
              <w:t xml:space="preserve">—</w:t>
            </w:r>
          </w:p>
        </w:tc>
      </w:tr>
      <w:tr>
        <w:tc>
          <w:tcPr/>
          <w:p>
            <w:pPr>
              <w:pStyle w:val="Compact"/>
              <w:jc w:val="left"/>
            </w:pPr>
            <w:r>
              <w:t xml:space="preserve">6个月PFS率</w:t>
            </w:r>
          </w:p>
        </w:tc>
        <w:tc>
          <w:tcPr/>
          <w:p>
            <w:pPr>
              <w:pStyle w:val="Compact"/>
              <w:jc w:val="left"/>
            </w:pPr>
            <w:r>
              <w:t xml:space="preserve">55.40%</w:t>
            </w:r>
          </w:p>
        </w:tc>
        <w:tc>
          <w:tcPr/>
          <w:p>
            <w:pPr>
              <w:pStyle w:val="Compact"/>
              <w:jc w:val="left"/>
            </w:pPr>
            <w:r>
              <w:t xml:space="preserve">33.10%</w:t>
            </w:r>
          </w:p>
        </w:tc>
      </w:tr>
      <w:tr>
        <w:tc>
          <w:tcPr/>
          <w:p>
            <w:pPr>
              <w:pStyle w:val="Compact"/>
              <w:jc w:val="left"/>
            </w:pPr>
            <w:r>
              <w:t xml:space="preserve">9个月PFS率</w:t>
            </w:r>
          </w:p>
        </w:tc>
        <w:tc>
          <w:tcPr/>
          <w:p>
            <w:pPr>
              <w:pStyle w:val="Compact"/>
              <w:jc w:val="left"/>
            </w:pPr>
            <w:r>
              <w:t xml:space="preserve">37.90%</w:t>
            </w:r>
          </w:p>
        </w:tc>
        <w:tc>
          <w:tcPr/>
          <w:p>
            <w:pPr>
              <w:pStyle w:val="Compact"/>
              <w:jc w:val="left"/>
            </w:pPr>
            <w:r>
              <w:t xml:space="preserve">18.30%</w:t>
            </w:r>
          </w:p>
        </w:tc>
      </w:tr>
      <w:tr>
        <w:tc>
          <w:tcPr/>
          <w:p>
            <w:pPr>
              <w:pStyle w:val="Compact"/>
              <w:jc w:val="left"/>
            </w:pPr>
            <w:r>
              <w:t xml:space="preserve">绝对获益</w:t>
            </w:r>
          </w:p>
        </w:tc>
        <w:tc>
          <w:tcPr/>
          <w:p>
            <w:pPr>
              <w:pStyle w:val="Compact"/>
              <w:jc w:val="left"/>
            </w:pPr>
            <w:r>
              <w:t xml:space="preserve">+2.30个月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54.00%</w:t>
            </w:r>
          </w:p>
        </w:tc>
        <w:tc>
          <w:tcPr/>
          <w:p>
            <w:pPr>
              <w:pStyle w:val="Compact"/>
              <w:jc w:val="left"/>
            </w:pPr>
            <w:r>
              <w:t xml:space="preserve">—</w:t>
            </w:r>
          </w:p>
        </w:tc>
      </w:tr>
    </w:tbl>
    <w:p>
      <w:pPr>
        <w:pStyle w:val="BodyText"/>
      </w:pPr>
      <w:r>
        <w:t xml:space="preserve">从PFS数据可以提取三个关键临床信号：第一，中位PFS从4.80个月延长至7.10个月，2.30个月的绝对改善在EGFR-TKI耐药这一难治人群中具有重要临床价值；第二，HR=0.46是EGFR-TKI耐药NSCLC领域中迄今为止报告的最优PFS风险比，显著优于ORIENT-31三药组（HR=0.72）和KEYNOTE-789（HR=0.80）</w:t>
      </w:r>
      <w:r>
        <w:rPr>
          <w:vertAlign w:val="superscript"/>
        </w:rPr>
        <w:t xml:space="preserve">45</w:t>
      </w:r>
      <w:r>
        <w:t xml:space="preserve">；第三，PFS曲线从治疗初期即显示明显分离，提示依沃西联合化疗可快速产生抗肿瘤效应，不受EGFR-TKI耐药后”免疫沙漠”微环境的显著制约。9个月PFS率的巨大差异（37.90% vs 18.30%）表明依沃西的优势不仅体现在中位值上，更体现在长期疾病控制人群的扩增上。</w:t>
      </w:r>
    </w:p>
    <w:bookmarkEnd w:id="53"/>
    <w:bookmarkStart w:id="54" w:name="os最终分析双阳性终点的历史突破"/>
    <w:p>
      <w:pPr>
        <w:pStyle w:val="Heading3"/>
      </w:pPr>
      <w:r>
        <w:t xml:space="preserve">3.1.3 OS最终分析：双阳性终点的历史突破</w:t>
      </w:r>
    </w:p>
    <w:p>
      <w:pPr>
        <w:pStyle w:val="FirstParagraph"/>
      </w:pPr>
      <w:r>
        <w:t xml:space="preserve">OS最终分析是HARMONi-A最具临床意义的突破性结果。该分析于2025年4月（数据截止）完成，中位随访时间32.50个月，于2025年11月在SITC年会上以LBA形式报告，并于2026年1月纳入中国NMPA标签更新</w:t>
      </w:r>
      <w:r>
        <w:rPr>
          <w:vertAlign w:val="superscript"/>
        </w:rPr>
        <w:t xml:space="preserve">26</w:t>
      </w:r>
      <w:r>
        <w:t xml:space="preserve">。</w:t>
      </w:r>
    </w:p>
    <w:tbl>
      <w:tblPr>
        <w:tblStyle w:val="Table"/>
        <w:tblW w:type="pct" w:w="5000"/>
        <w:tblLook w:firstRow="1" w:lastRow="0" w:firstColumn="0" w:lastColumn="0" w:noHBand="0" w:noVBand="0" w:val="0020"/>
        <w:jc w:val="start"/>
        <w:tblLayout w:type="fixed"/>
      </w:tblPr>
      <w:tblGrid>
        <w:gridCol w:w="2299"/>
        <w:gridCol w:w="2810"/>
        <w:gridCol w:w="2810"/>
      </w:tblGrid>
      <w:tr>
        <w:trPr>
          <w:tblHeader w:val="true"/>
        </w:trPr>
        <w:tc>
          <w:tcPr/>
          <w:p>
            <w:pPr>
              <w:pStyle w:val="Compact"/>
              <w:jc w:val="left"/>
            </w:pPr>
            <w:r>
              <w:t xml:space="preserve">OS指标</w:t>
            </w:r>
          </w:p>
        </w:tc>
        <w:tc>
          <w:tcPr/>
          <w:p>
            <w:pPr>
              <w:pStyle w:val="Compact"/>
              <w:jc w:val="left"/>
            </w:pPr>
            <w:r>
              <w:t xml:space="preserve">依沃西+化疗</w:t>
            </w:r>
          </w:p>
        </w:tc>
        <w:tc>
          <w:tcPr/>
          <w:p>
            <w:pPr>
              <w:pStyle w:val="Compact"/>
              <w:jc w:val="left"/>
            </w:pPr>
            <w:r>
              <w:t xml:space="preserve">安慰剂+化疗</w:t>
            </w:r>
          </w:p>
        </w:tc>
      </w:tr>
      <w:tr>
        <w:tc>
          <w:tcPr/>
          <w:p>
            <w:pPr>
              <w:pStyle w:val="Compact"/>
              <w:jc w:val="left"/>
            </w:pPr>
            <w:r>
              <w:t xml:space="preserve">中位OS（月）</w:t>
            </w:r>
          </w:p>
        </w:tc>
        <w:tc>
          <w:tcPr/>
          <w:p>
            <w:pPr>
              <w:pStyle w:val="Compact"/>
              <w:jc w:val="left"/>
            </w:pPr>
            <w:r>
              <w:t xml:space="preserve">16.80（95% CI: 14.50–20.00）</w:t>
            </w:r>
          </w:p>
        </w:tc>
        <w:tc>
          <w:tcPr/>
          <w:p>
            <w:pPr>
              <w:pStyle w:val="Compact"/>
              <w:jc w:val="left"/>
            </w:pPr>
            <w:r>
              <w:t xml:space="preserve">14.10（95% CI: 12.80–16.30）</w:t>
            </w:r>
          </w:p>
        </w:tc>
      </w:tr>
      <w:tr>
        <w:tc>
          <w:tcPr/>
          <w:p>
            <w:pPr>
              <w:pStyle w:val="Compact"/>
              <w:jc w:val="left"/>
            </w:pPr>
            <w:r>
              <w:t xml:space="preserve">HR（95% CI）</w:t>
            </w:r>
          </w:p>
        </w:tc>
        <w:tc>
          <w:tcPr/>
          <w:p>
            <w:pPr>
              <w:pStyle w:val="Compact"/>
              <w:jc w:val="left"/>
            </w:pPr>
            <w:r>
              <w:t xml:space="preserve">0.74（0.58–0.95）</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0.019</w:t>
            </w:r>
          </w:p>
        </w:tc>
        <w:tc>
          <w:tcPr/>
          <w:p>
            <w:pPr>
              <w:pStyle w:val="Compact"/>
              <w:jc w:val="left"/>
            </w:pPr>
            <w:r>
              <w:t xml:space="preserve">—</w:t>
            </w:r>
          </w:p>
        </w:tc>
      </w:tr>
      <w:tr>
        <w:tc>
          <w:tcPr/>
          <w:p>
            <w:pPr>
              <w:pStyle w:val="Compact"/>
              <w:jc w:val="left"/>
            </w:pPr>
            <w:r>
              <w:t xml:space="preserve">数据成熟度</w:t>
            </w:r>
          </w:p>
        </w:tc>
        <w:tc>
          <w:tcPr/>
          <w:p>
            <w:pPr>
              <w:pStyle w:val="Compact"/>
              <w:jc w:val="left"/>
            </w:pPr>
            <w:r>
              <w:t xml:space="preserve">77.00%</w:t>
            </w:r>
          </w:p>
        </w:tc>
        <w:tc>
          <w:tcPr/>
          <w:p>
            <w:pPr>
              <w:pStyle w:val="Compact"/>
              <w:jc w:val="left"/>
            </w:pPr>
            <w:r>
              <w:t xml:space="preserve">—</w:t>
            </w:r>
          </w:p>
        </w:tc>
      </w:tr>
      <w:tr>
        <w:tc>
          <w:tcPr/>
          <w:p>
            <w:pPr>
              <w:pStyle w:val="Compact"/>
              <w:jc w:val="left"/>
            </w:pPr>
            <w:r>
              <w:t xml:space="preserve">中位随访（月）</w:t>
            </w:r>
          </w:p>
        </w:tc>
        <w:tc>
          <w:tcPr/>
          <w:p>
            <w:pPr>
              <w:pStyle w:val="Compact"/>
              <w:jc w:val="left"/>
            </w:pPr>
            <w:r>
              <w:t xml:space="preserve">32.50</w:t>
            </w:r>
          </w:p>
        </w:tc>
        <w:tc>
          <w:tcPr/>
          <w:p>
            <w:pPr>
              <w:pStyle w:val="Compact"/>
              <w:jc w:val="left"/>
            </w:pPr>
            <w:r>
              <w:t xml:space="preserve">—</w:t>
            </w:r>
          </w:p>
        </w:tc>
      </w:tr>
      <w:tr>
        <w:tc>
          <w:tcPr/>
          <w:p>
            <w:pPr>
              <w:pStyle w:val="Compact"/>
              <w:jc w:val="left"/>
            </w:pPr>
            <w:r>
              <w:t xml:space="preserve">12个月OS率</w:t>
            </w:r>
          </w:p>
        </w:tc>
        <w:tc>
          <w:tcPr/>
          <w:p>
            <w:pPr>
              <w:pStyle w:val="Compact"/>
              <w:jc w:val="left"/>
            </w:pPr>
            <w:r>
              <w:t xml:space="preserve">65.00%</w:t>
            </w:r>
          </w:p>
        </w:tc>
        <w:tc>
          <w:tcPr/>
          <w:p>
            <w:pPr>
              <w:pStyle w:val="Compact"/>
              <w:jc w:val="left"/>
            </w:pPr>
            <w:r>
              <w:t xml:space="preserve">60.00%</w:t>
            </w:r>
          </w:p>
        </w:tc>
      </w:tr>
      <w:tr>
        <w:tc>
          <w:tcPr/>
          <w:p>
            <w:pPr>
              <w:pStyle w:val="Compact"/>
              <w:jc w:val="left"/>
            </w:pPr>
            <w:r>
              <w:t xml:space="preserve">24个月OS率</w:t>
            </w:r>
          </w:p>
        </w:tc>
        <w:tc>
          <w:tcPr/>
          <w:p>
            <w:pPr>
              <w:pStyle w:val="Compact"/>
              <w:jc w:val="left"/>
            </w:pPr>
            <w:r>
              <w:t xml:space="preserve">35.30%</w:t>
            </w:r>
          </w:p>
        </w:tc>
        <w:tc>
          <w:tcPr/>
          <w:p>
            <w:pPr>
              <w:pStyle w:val="Compact"/>
              <w:jc w:val="left"/>
            </w:pPr>
            <w:r>
              <w:t xml:space="preserve">28.80%</w:t>
            </w:r>
          </w:p>
        </w:tc>
      </w:tr>
      <w:tr>
        <w:tc>
          <w:tcPr/>
          <w:p>
            <w:pPr>
              <w:pStyle w:val="Compact"/>
              <w:jc w:val="left"/>
            </w:pPr>
            <w:r>
              <w:t xml:space="preserve">30个月OS率</w:t>
            </w:r>
          </w:p>
        </w:tc>
        <w:tc>
          <w:tcPr/>
          <w:p>
            <w:pPr>
              <w:pStyle w:val="Compact"/>
              <w:jc w:val="left"/>
            </w:pPr>
            <w:r>
              <w:t xml:space="preserve">29.10%</w:t>
            </w:r>
          </w:p>
        </w:tc>
        <w:tc>
          <w:tcPr/>
          <w:p>
            <w:pPr>
              <w:pStyle w:val="Compact"/>
              <w:jc w:val="left"/>
            </w:pPr>
            <w:r>
              <w:t xml:space="preserve">18.40%</w:t>
            </w:r>
          </w:p>
        </w:tc>
      </w:tr>
      <w:tr>
        <w:tc>
          <w:tcPr/>
          <w:p>
            <w:pPr>
              <w:pStyle w:val="Compact"/>
              <w:jc w:val="left"/>
            </w:pPr>
            <w:r>
              <w:t xml:space="preserve">绝对获益</w:t>
            </w:r>
          </w:p>
        </w:tc>
        <w:tc>
          <w:tcPr/>
          <w:p>
            <w:pPr>
              <w:pStyle w:val="Compact"/>
              <w:jc w:val="left"/>
            </w:pPr>
            <w:r>
              <w:t xml:space="preserve">+2.70个月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26.00%</w:t>
            </w:r>
          </w:p>
        </w:tc>
        <w:tc>
          <w:tcPr/>
          <w:p>
            <w:pPr>
              <w:pStyle w:val="Compact"/>
              <w:jc w:val="left"/>
            </w:pPr>
            <w:r>
              <w:t xml:space="preserve">—</w:t>
            </w:r>
          </w:p>
        </w:tc>
      </w:tr>
    </w:tbl>
    <w:p>
      <w:pPr>
        <w:pStyle w:val="BodyText"/>
      </w:pPr>
      <w:r>
        <w:t xml:space="preserve">OS获益的临床解读需要从三个维度展开：统计学与临床意义的双重突破（OS HR=0.74，P=0.019，在预设α=0.05水平上达到显著，这是EGFR-TKI耐药NSCLC领域免疫治疗的首次OS突破）；长期随访获益的放大效应（30个月OS率差异从早期接近到最终扩大至29.10% vs 18.40%，差异10.70个百分点）；以及对照历史研究的独特性（此前KEYNOTE-789的OS HR=0.84，P=0.036，未达预设边界0.0117；ORIENT-31的OS最终分析无显著获益）</w:t>
      </w:r>
      <w:r>
        <w:rPr>
          <w:vertAlign w:val="superscript"/>
        </w:rPr>
        <w:t xml:space="preserve">45</w:t>
      </w:r>
      <w:r>
        <w:t xml:space="preserve">。HARMONi-A由此成为全球首个在EGFR-TKI耐药nsq-NSCLC中同时实现PFS和OS统计学显著阳性的III期免疫治疗研究。</w:t>
      </w:r>
    </w:p>
    <w:bookmarkEnd w:id="54"/>
    <w:bookmarkStart w:id="55" w:name="orrdcr与dor缓解质量的全面提升"/>
    <w:p>
      <w:pPr>
        <w:pStyle w:val="Heading3"/>
      </w:pPr>
      <w:r>
        <w:t xml:space="preserve">3.1.4 ORR、DCR与DoR：缓解质量的全面提升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安慰剂+化疗</w:t>
            </w:r>
          </w:p>
        </w:tc>
        <w:tc>
          <w:tcPr/>
          <w:p>
            <w:pPr>
              <w:pStyle w:val="Compact"/>
              <w:jc w:val="left"/>
            </w:pPr>
            <w:r>
              <w:t xml:space="preserve">P值</w:t>
            </w:r>
          </w:p>
        </w:tc>
      </w:tr>
      <w:tr>
        <w:tc>
          <w:tcPr/>
          <w:p>
            <w:pPr>
              <w:pStyle w:val="Compact"/>
              <w:jc w:val="left"/>
            </w:pPr>
            <w:r>
              <w:t xml:space="preserve">ORR</w:t>
            </w:r>
          </w:p>
        </w:tc>
        <w:tc>
          <w:tcPr/>
          <w:p>
            <w:pPr>
              <w:pStyle w:val="Compact"/>
              <w:jc w:val="left"/>
            </w:pPr>
            <w:r>
              <w:t xml:space="preserve">50.60%（42.60%–58.60%）</w:t>
            </w:r>
          </w:p>
        </w:tc>
        <w:tc>
          <w:tcPr/>
          <w:p>
            <w:pPr>
              <w:pStyle w:val="Compact"/>
              <w:jc w:val="left"/>
            </w:pPr>
            <w:r>
              <w:t xml:space="preserve">35.40%（28.00%–43.30%）</w:t>
            </w:r>
          </w:p>
        </w:tc>
        <w:tc>
          <w:tcPr/>
          <w:p>
            <w:pPr>
              <w:pStyle w:val="Compact"/>
              <w:jc w:val="left"/>
            </w:pPr>
            <w:r>
              <w:t xml:space="preserve">0.006</w:t>
            </w:r>
          </w:p>
        </w:tc>
      </w:tr>
      <w:tr>
        <w:tc>
          <w:tcPr/>
          <w:p>
            <w:pPr>
              <w:pStyle w:val="Compact"/>
              <w:jc w:val="left"/>
            </w:pPr>
            <w:r>
              <w:t xml:space="preserve">DCR</w:t>
            </w:r>
          </w:p>
        </w:tc>
        <w:tc>
          <w:tcPr/>
          <w:p>
            <w:pPr>
              <w:pStyle w:val="Compact"/>
              <w:jc w:val="left"/>
            </w:pPr>
            <w:r>
              <w:t xml:space="preserve">93.10%（88.00%–96.50%）</w:t>
            </w:r>
          </w:p>
        </w:tc>
        <w:tc>
          <w:tcPr/>
          <w:p>
            <w:pPr>
              <w:pStyle w:val="Compact"/>
              <w:jc w:val="left"/>
            </w:pPr>
            <w:r>
              <w:t xml:space="preserve">83.20%（76.50%–88.60%）</w:t>
            </w:r>
          </w:p>
        </w:tc>
        <w:tc>
          <w:tcPr/>
          <w:p>
            <w:pPr>
              <w:pStyle w:val="Compact"/>
              <w:jc w:val="left"/>
            </w:pPr>
            <w:r>
              <w:t xml:space="preserve">—</w:t>
            </w:r>
          </w:p>
        </w:tc>
      </w:tr>
      <w:tr>
        <w:tc>
          <w:tcPr/>
          <w:p>
            <w:pPr>
              <w:pStyle w:val="Compact"/>
              <w:jc w:val="left"/>
            </w:pPr>
            <w:r>
              <w:t xml:space="preserve">中位DoR（月）</w:t>
            </w:r>
          </w:p>
        </w:tc>
        <w:tc>
          <w:tcPr/>
          <w:p>
            <w:pPr>
              <w:pStyle w:val="Compact"/>
              <w:jc w:val="left"/>
            </w:pPr>
            <w:r>
              <w:t xml:space="preserve">6.90</w:t>
            </w:r>
          </w:p>
        </w:tc>
        <w:tc>
          <w:tcPr/>
          <w:p>
            <w:pPr>
              <w:pStyle w:val="Compact"/>
              <w:jc w:val="left"/>
            </w:pPr>
            <w:r>
              <w:t xml:space="preserve">6.90</w:t>
            </w:r>
          </w:p>
        </w:tc>
        <w:tc>
          <w:tcPr/>
          <w:p>
            <w:pPr>
              <w:pStyle w:val="Compact"/>
              <w:jc w:val="left"/>
            </w:pPr>
            <w:r>
              <w:t xml:space="preserve">—</w:t>
            </w:r>
          </w:p>
        </w:tc>
      </w:tr>
      <w:tr>
        <w:tc>
          <w:tcPr/>
          <w:p>
            <w:pPr>
              <w:pStyle w:val="Compact"/>
              <w:jc w:val="left"/>
            </w:pPr>
            <w:r>
              <w:t xml:space="preserve">ORR绝对提升</w:t>
            </w:r>
          </w:p>
        </w:tc>
        <w:tc>
          <w:tcPr/>
          <w:p>
            <w:pPr>
              <w:pStyle w:val="Compact"/>
              <w:jc w:val="left"/>
            </w:pPr>
            <w:r>
              <w:t xml:space="preserve">+15.20个百分点</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ORR相对提升</w:t>
            </w:r>
          </w:p>
        </w:tc>
        <w:tc>
          <w:tcPr/>
          <w:p>
            <w:pPr>
              <w:pStyle w:val="Compact"/>
              <w:jc w:val="left"/>
            </w:pPr>
            <w:r>
              <w:t xml:space="preserve">43.00%</w:t>
            </w:r>
          </w:p>
        </w:tc>
        <w:tc>
          <w:tcPr/>
          <w:p>
            <w:pPr>
              <w:pStyle w:val="Compact"/>
              <w:jc w:val="left"/>
            </w:pPr>
            <w:r>
              <w:t xml:space="preserve">—</w:t>
            </w:r>
          </w:p>
        </w:tc>
        <w:tc>
          <w:tcPr/>
          <w:p>
            <w:pPr>
              <w:pStyle w:val="Compact"/>
              <w:jc w:val="left"/>
            </w:pPr>
            <w:r>
              <w:t xml:space="preserve">—</w:t>
            </w:r>
          </w:p>
        </w:tc>
      </w:tr>
    </w:tbl>
    <w:p>
      <w:pPr>
        <w:pStyle w:val="BodyText"/>
      </w:pPr>
      <w:r>
        <w:t xml:space="preserve">ORR提升15.20个百分点（相对提升43.00%），表明依沃西不仅延长了疾病控制时间，还显著提高了肿瘤退缩深度。DCR高达93.10%，意味着超过九成的患者可从依沃西联合化疗中获得临床获益（CR+PR+SD）。DoR在两组间相近（均为6.90个月），提示依沃西的主要优势在于提高缓解率而非延长单次缓解持续时间，但考虑到后续维持治疗的交叉效应，该数据可能被低估</w:t>
      </w:r>
      <w:r>
        <w:rPr>
          <w:vertAlign w:val="superscript"/>
        </w:rPr>
        <w:t xml:space="preserve">12</w:t>
      </w:r>
      <w:r>
        <w:t xml:space="preserve">。</w:t>
      </w:r>
    </w:p>
    <w:bookmarkEnd w:id="55"/>
    <w:bookmarkStart w:id="56" w:name="亚组分析关键人群的获益一致性"/>
    <w:p>
      <w:pPr>
        <w:pStyle w:val="Heading3"/>
      </w:pPr>
      <w:r>
        <w:t xml:space="preserve">3.1.5 亚组分析：关键人群的获益一致性</w:t>
      </w:r>
    </w:p>
    <w:p>
      <w:pPr>
        <w:pStyle w:val="FirstParagraph"/>
      </w:pPr>
      <w:r>
        <w:t xml:space="preserve">HARMONi-A的预设亚组分析显示，依沃西联合化疗的PFS获益在几乎所有关键临床亚组中保持一致。</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亚组</w:t>
            </w:r>
          </w:p>
        </w:tc>
        <w:tc>
          <w:tcPr/>
          <w:p>
            <w:pPr>
              <w:pStyle w:val="Compact"/>
              <w:jc w:val="left"/>
            </w:pPr>
            <w:r>
              <w:t xml:space="preserve">PFS HR</w:t>
            </w:r>
          </w:p>
        </w:tc>
        <w:tc>
          <w:tcPr/>
          <w:p>
            <w:pPr>
              <w:pStyle w:val="Compact"/>
              <w:jc w:val="left"/>
            </w:pPr>
            <w:r>
              <w:t xml:space="preserve">95% CI</w:t>
            </w:r>
          </w:p>
        </w:tc>
        <w:tc>
          <w:tcPr/>
          <w:p>
            <w:pPr>
              <w:pStyle w:val="Compact"/>
              <w:jc w:val="left"/>
            </w:pPr>
            <w:r>
              <w:t xml:space="preserve">OS HR</w:t>
            </w:r>
          </w:p>
        </w:tc>
        <w:tc>
          <w:tcPr/>
          <w:p>
            <w:pPr>
              <w:pStyle w:val="Compact"/>
              <w:jc w:val="left"/>
            </w:pPr>
            <w:r>
              <w:t xml:space="preserve">临床意义</w:t>
            </w:r>
          </w:p>
        </w:tc>
      </w:tr>
      <w:tr>
        <w:tc>
          <w:tcPr/>
          <w:p>
            <w:pPr>
              <w:pStyle w:val="Compact"/>
              <w:jc w:val="left"/>
            </w:pPr>
            <w:r>
              <w:t xml:space="preserve">总人群</w:t>
            </w:r>
          </w:p>
        </w:tc>
        <w:tc>
          <w:tcPr/>
          <w:p>
            <w:pPr>
              <w:pStyle w:val="Compact"/>
              <w:jc w:val="left"/>
            </w:pPr>
            <w:r>
              <w:t xml:space="preserve">0.46</w:t>
            </w:r>
          </w:p>
        </w:tc>
        <w:tc>
          <w:tcPr/>
          <w:p>
            <w:pPr>
              <w:pStyle w:val="Compact"/>
              <w:jc w:val="left"/>
            </w:pPr>
            <w:r>
              <w:t xml:space="preserve">0.34–0.62</w:t>
            </w:r>
          </w:p>
        </w:tc>
        <w:tc>
          <w:tcPr/>
          <w:p>
            <w:pPr>
              <w:pStyle w:val="Compact"/>
              <w:jc w:val="left"/>
            </w:pPr>
            <w:r>
              <w:t xml:space="preserve">0.74</w:t>
            </w:r>
          </w:p>
        </w:tc>
        <w:tc>
          <w:tcPr/>
          <w:p>
            <w:pPr>
              <w:pStyle w:val="Compact"/>
              <w:jc w:val="left"/>
            </w:pPr>
            <w:r>
              <w:t xml:space="preserve">基准获益</w:t>
            </w:r>
          </w:p>
        </w:tc>
      </w:tr>
      <w:tr>
        <w:tc>
          <w:tcPr/>
          <w:p>
            <w:pPr>
              <w:pStyle w:val="Compact"/>
              <w:jc w:val="left"/>
            </w:pPr>
            <w:r>
              <w:t xml:space="preserve">三代TKI进展</w:t>
            </w:r>
          </w:p>
        </w:tc>
        <w:tc>
          <w:tcPr/>
          <w:p>
            <w:pPr>
              <w:pStyle w:val="Compact"/>
              <w:jc w:val="left"/>
            </w:pPr>
            <w:r>
              <w:t xml:space="preserve">0.48</w:t>
            </w:r>
          </w:p>
        </w:tc>
        <w:tc>
          <w:tcPr/>
          <w:p>
            <w:pPr>
              <w:pStyle w:val="Compact"/>
              <w:jc w:val="left"/>
            </w:pPr>
            <w:r>
              <w:t xml:space="preserve">0.35–0.66</w:t>
            </w:r>
          </w:p>
        </w:tc>
        <w:tc>
          <w:tcPr/>
          <w:p>
            <w:pPr>
              <w:pStyle w:val="Compact"/>
              <w:jc w:val="left"/>
            </w:pPr>
            <w:r>
              <w:t xml:space="preserve">—</w:t>
            </w:r>
          </w:p>
        </w:tc>
        <w:tc>
          <w:tcPr/>
          <w:p>
            <w:pPr>
              <w:pStyle w:val="Compact"/>
              <w:jc w:val="left"/>
            </w:pPr>
            <w:r>
              <w:t xml:space="preserve">核心临床人群一致获益</w:t>
            </w:r>
          </w:p>
        </w:tc>
      </w:tr>
      <w:tr>
        <w:tc>
          <w:tcPr/>
          <w:p>
            <w:pPr>
              <w:pStyle w:val="Compact"/>
              <w:jc w:val="left"/>
            </w:pPr>
            <w:r>
              <w:t xml:space="preserve">脑转移</w:t>
            </w:r>
          </w:p>
        </w:tc>
        <w:tc>
          <w:tcPr/>
          <w:p>
            <w:pPr>
              <w:pStyle w:val="Compact"/>
              <w:jc w:val="left"/>
            </w:pPr>
            <w:r>
              <w:t xml:space="preserve">0.40</w:t>
            </w:r>
          </w:p>
        </w:tc>
        <w:tc>
          <w:tcPr/>
          <w:p>
            <w:pPr>
              <w:pStyle w:val="Compact"/>
              <w:jc w:val="left"/>
            </w:pPr>
            <w:r>
              <w:t xml:space="preserve">0.22–0.73</w:t>
            </w:r>
          </w:p>
        </w:tc>
        <w:tc>
          <w:tcPr/>
          <w:p>
            <w:pPr>
              <w:pStyle w:val="Compact"/>
              <w:jc w:val="left"/>
            </w:pPr>
            <w:r>
              <w:t xml:space="preserve">0.61</w:t>
            </w:r>
          </w:p>
        </w:tc>
        <w:tc>
          <w:tcPr/>
          <w:p>
            <w:pPr>
              <w:pStyle w:val="Compact"/>
              <w:jc w:val="left"/>
            </w:pPr>
            <w:r>
              <w:t xml:space="preserve">颅内/颅外控制均显著</w:t>
            </w:r>
          </w:p>
        </w:tc>
      </w:tr>
      <w:tr>
        <w:tc>
          <w:tcPr/>
          <w:p>
            <w:pPr>
              <w:pStyle w:val="Compact"/>
              <w:jc w:val="left"/>
            </w:pPr>
            <w:r>
              <w:t xml:space="preserve">无脑转移</w:t>
            </w:r>
          </w:p>
        </w:tc>
        <w:tc>
          <w:tcPr/>
          <w:p>
            <w:pPr>
              <w:pStyle w:val="Compact"/>
              <w:jc w:val="left"/>
            </w:pPr>
            <w:r>
              <w:t xml:space="preserve">0.59</w:t>
            </w:r>
          </w:p>
        </w:tc>
        <w:tc>
          <w:tcPr/>
          <w:p>
            <w:pPr>
              <w:pStyle w:val="Compact"/>
              <w:jc w:val="left"/>
            </w:pPr>
            <w:r>
              <w:t xml:space="preserve">0.45–0.77</w:t>
            </w:r>
          </w:p>
        </w:tc>
        <w:tc>
          <w:tcPr/>
          <w:p>
            <w:pPr>
              <w:pStyle w:val="Compact"/>
              <w:jc w:val="left"/>
            </w:pPr>
            <w:r>
              <w:t xml:space="preserve">0.77</w:t>
            </w:r>
          </w:p>
        </w:tc>
        <w:tc>
          <w:tcPr/>
          <w:p>
            <w:pPr>
              <w:pStyle w:val="Compact"/>
              <w:jc w:val="left"/>
            </w:pPr>
            <w:r>
              <w:t xml:space="preserve">标准人群获益</w:t>
            </w:r>
          </w:p>
        </w:tc>
      </w:tr>
      <w:tr>
        <w:tc>
          <w:tcPr/>
          <w:p>
            <w:pPr>
              <w:pStyle w:val="Compact"/>
              <w:jc w:val="left"/>
            </w:pPr>
            <w:r>
              <w:t xml:space="preserve">19外显子缺失</w:t>
            </w:r>
          </w:p>
        </w:tc>
        <w:tc>
          <w:tcPr/>
          <w:p>
            <w:pPr>
              <w:pStyle w:val="Compact"/>
              <w:jc w:val="left"/>
            </w:pPr>
            <w:r>
              <w:t xml:space="preserve">0.48</w:t>
            </w:r>
          </w:p>
        </w:tc>
        <w:tc>
          <w:tcPr/>
          <w:p>
            <w:pPr>
              <w:pStyle w:val="Compact"/>
              <w:jc w:val="left"/>
            </w:pPr>
            <w:r>
              <w:t xml:space="preserve">0.32–0.73</w:t>
            </w:r>
          </w:p>
        </w:tc>
        <w:tc>
          <w:tcPr/>
          <w:p>
            <w:pPr>
              <w:pStyle w:val="Compact"/>
              <w:jc w:val="left"/>
            </w:pPr>
            <w:r>
              <w:t xml:space="preserve">0.83</w:t>
            </w:r>
          </w:p>
        </w:tc>
        <w:tc>
          <w:tcPr/>
          <w:p>
            <w:pPr>
              <w:pStyle w:val="Compact"/>
              <w:jc w:val="left"/>
            </w:pPr>
            <w:r>
              <w:t xml:space="preserve">最常见突变亚型获益</w:t>
            </w:r>
          </w:p>
        </w:tc>
      </w:tr>
      <w:tr>
        <w:tc>
          <w:tcPr/>
          <w:p>
            <w:pPr>
              <w:pStyle w:val="Compact"/>
              <w:jc w:val="left"/>
            </w:pPr>
            <w:r>
              <w:t xml:space="preserve">L858R突变</w:t>
            </w:r>
          </w:p>
        </w:tc>
        <w:tc>
          <w:tcPr/>
          <w:p>
            <w:pPr>
              <w:pStyle w:val="Compact"/>
              <w:jc w:val="left"/>
            </w:pPr>
            <w:r>
              <w:t xml:space="preserve">0.43</w:t>
            </w:r>
          </w:p>
        </w:tc>
        <w:tc>
          <w:tcPr/>
          <w:p>
            <w:pPr>
              <w:pStyle w:val="Compact"/>
              <w:jc w:val="left"/>
            </w:pPr>
            <w:r>
              <w:t xml:space="preserve">—</w:t>
            </w:r>
          </w:p>
        </w:tc>
        <w:tc>
          <w:tcPr/>
          <w:p>
            <w:pPr>
              <w:pStyle w:val="Compact"/>
              <w:jc w:val="left"/>
            </w:pPr>
            <w:r>
              <w:t xml:space="preserve">0.60</w:t>
            </w:r>
          </w:p>
        </w:tc>
        <w:tc>
          <w:tcPr/>
          <w:p>
            <w:pPr>
              <w:pStyle w:val="Compact"/>
              <w:jc w:val="left"/>
            </w:pPr>
            <w:r>
              <w:t xml:space="preserve">预后较差亚型获益更优</w:t>
            </w:r>
          </w:p>
        </w:tc>
      </w:tr>
      <w:tr>
        <w:tc>
          <w:tcPr/>
          <w:p>
            <w:pPr>
              <w:pStyle w:val="Compact"/>
              <w:jc w:val="left"/>
            </w:pPr>
            <w:r>
              <w:t xml:space="preserve">T790M阳性</w:t>
            </w:r>
          </w:p>
        </w:tc>
        <w:tc>
          <w:tcPr/>
          <w:p>
            <w:pPr>
              <w:pStyle w:val="Compact"/>
              <w:jc w:val="left"/>
            </w:pPr>
            <w:r>
              <w:t xml:space="preserve">0.22</w:t>
            </w:r>
          </w:p>
        </w:tc>
        <w:tc>
          <w:tcPr/>
          <w:p>
            <w:pPr>
              <w:pStyle w:val="Compact"/>
              <w:jc w:val="left"/>
            </w:pPr>
            <w:r>
              <w:t xml:space="preserve">0.09–0.54</w:t>
            </w:r>
          </w:p>
        </w:tc>
        <w:tc>
          <w:tcPr/>
          <w:p>
            <w:pPr>
              <w:pStyle w:val="Compact"/>
              <w:jc w:val="left"/>
            </w:pPr>
            <w:r>
              <w:t xml:space="preserve">—</w:t>
            </w:r>
          </w:p>
        </w:tc>
        <w:tc>
          <w:tcPr/>
          <w:p>
            <w:pPr>
              <w:pStyle w:val="Compact"/>
              <w:jc w:val="left"/>
            </w:pPr>
            <w:r>
              <w:t xml:space="preserve">最突出获益亚组</w:t>
            </w:r>
          </w:p>
        </w:tc>
      </w:tr>
      <w:tr>
        <w:tc>
          <w:tcPr/>
          <w:p>
            <w:pPr>
              <w:pStyle w:val="Compact"/>
              <w:jc w:val="left"/>
            </w:pPr>
            <w:r>
              <w:t xml:space="preserve">既往1种TKI</w:t>
            </w:r>
          </w:p>
        </w:tc>
        <w:tc>
          <w:tcPr/>
          <w:p>
            <w:pPr>
              <w:pStyle w:val="Compact"/>
              <w:jc w:val="left"/>
            </w:pPr>
            <w:r>
              <w:t xml:space="preserve">0.47</w:t>
            </w:r>
          </w:p>
        </w:tc>
        <w:tc>
          <w:tcPr/>
          <w:p>
            <w:pPr>
              <w:pStyle w:val="Compact"/>
              <w:jc w:val="left"/>
            </w:pPr>
            <w:r>
              <w:t xml:space="preserve">—</w:t>
            </w:r>
          </w:p>
        </w:tc>
        <w:tc>
          <w:tcPr/>
          <w:p>
            <w:pPr>
              <w:pStyle w:val="Compact"/>
              <w:jc w:val="left"/>
            </w:pPr>
            <w:r>
              <w:t xml:space="preserve">—</w:t>
            </w:r>
          </w:p>
        </w:tc>
        <w:tc>
          <w:tcPr/>
          <w:p>
            <w:pPr>
              <w:pStyle w:val="Compact"/>
              <w:jc w:val="left"/>
            </w:pPr>
            <w:r>
              <w:t xml:space="preserve">标准二线人群获益</w:t>
            </w:r>
          </w:p>
        </w:tc>
      </w:tr>
    </w:tbl>
    <w:p>
      <w:pPr>
        <w:pStyle w:val="BodyText"/>
      </w:pPr>
      <w:r>
        <w:t xml:space="preserve">三个亚组值得特别关注：T790M突变阳性患者的PFS HR=0.22，是全部亚组中最优的，意味着获益幅度是总人群的2倍以上，提示VEGF阻断介导的肿瘤微环境重塑可能间接抑制了残余EGFR信号传导的促生存效应；脑转移患者OS HR=0.61，是OS亚组中最突出的获益信号，死亡风险降低近40%；L858R突变在PFS（HR=0.43）和OS（HR=0.60）上均优于19外显子缺失，提示依沃西对预后较差的”冷肿瘤”亚型具有更强的微环境激活能力</w:t>
      </w:r>
      <w:r>
        <w:rPr>
          <w:vertAlign w:val="superscript"/>
        </w:rPr>
        <w:t xml:space="preserve">123</w:t>
      </w:r>
      <w:r>
        <w:t xml:space="preserve">。</w:t>
      </w:r>
    </w:p>
    <w:bookmarkEnd w:id="56"/>
    <w:bookmarkStart w:id="57" w:name="全球harmoni研究一致性验证"/>
    <w:p>
      <w:pPr>
        <w:pStyle w:val="Heading3"/>
      </w:pPr>
      <w:r>
        <w:t xml:space="preserve">3.1.6 全球HARMONi研究一致性验证</w:t>
      </w:r>
    </w:p>
    <w:p>
      <w:pPr>
        <w:pStyle w:val="FirstParagraph"/>
      </w:pPr>
      <w:r>
        <w:t xml:space="preserve">HARMONi（AK112-301全球部分，NCT06396065）是HARMONi-A的国际多中心扩展，纳入约38%的北美和欧洲患者，为评估跨人种/跨区域疗效一致性提供了关键数据</w:t>
      </w:r>
      <w:r>
        <w:rPr>
          <w:vertAlign w:val="superscript"/>
        </w:rPr>
        <w:t xml:space="preserve">67</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HARMONi-A（中国）</w:t>
            </w:r>
          </w:p>
        </w:tc>
        <w:tc>
          <w:tcPr/>
          <w:p>
            <w:pPr>
              <w:pStyle w:val="Compact"/>
              <w:jc w:val="left"/>
            </w:pPr>
            <w:r>
              <w:t xml:space="preserve">HARMONi（全球）</w:t>
            </w:r>
          </w:p>
        </w:tc>
      </w:tr>
      <w:tr>
        <w:tc>
          <w:tcPr/>
          <w:p>
            <w:pPr>
              <w:pStyle w:val="Compact"/>
              <w:jc w:val="left"/>
            </w:pPr>
            <w:r>
              <w:t xml:space="preserve">入组人数</w:t>
            </w:r>
          </w:p>
        </w:tc>
        <w:tc>
          <w:tcPr/>
          <w:p>
            <w:pPr>
              <w:pStyle w:val="Compact"/>
              <w:jc w:val="left"/>
            </w:pPr>
            <w:r>
              <w:t xml:space="preserve">322</w:t>
            </w:r>
          </w:p>
        </w:tc>
        <w:tc>
          <w:tcPr/>
          <w:p>
            <w:pPr>
              <w:pStyle w:val="Compact"/>
              <w:jc w:val="left"/>
            </w:pPr>
            <w:r>
              <w:t xml:space="preserve">438</w:t>
            </w:r>
          </w:p>
        </w:tc>
      </w:tr>
      <w:tr>
        <w:tc>
          <w:tcPr/>
          <w:p>
            <w:pPr>
              <w:pStyle w:val="Compact"/>
              <w:jc w:val="left"/>
            </w:pPr>
            <w:r>
              <w:t xml:space="preserve">欧美患者比例</w:t>
            </w:r>
          </w:p>
        </w:tc>
        <w:tc>
          <w:tcPr/>
          <w:p>
            <w:pPr>
              <w:pStyle w:val="Compact"/>
              <w:jc w:val="left"/>
            </w:pPr>
            <w:r>
              <w:t xml:space="preserve">~0.00%</w:t>
            </w:r>
          </w:p>
        </w:tc>
        <w:tc>
          <w:tcPr/>
          <w:p>
            <w:pPr>
              <w:pStyle w:val="Compact"/>
              <w:jc w:val="left"/>
            </w:pPr>
            <w:r>
              <w:t xml:space="preserve">~38.00%</w:t>
            </w:r>
          </w:p>
        </w:tc>
      </w:tr>
      <w:tr>
        <w:tc>
          <w:tcPr/>
          <w:p>
            <w:pPr>
              <w:pStyle w:val="Compact"/>
              <w:jc w:val="left"/>
            </w:pPr>
            <w:r>
              <w:t xml:space="preserve">mPFS（月）</w:t>
            </w:r>
          </w:p>
        </w:tc>
        <w:tc>
          <w:tcPr/>
          <w:p>
            <w:pPr>
              <w:pStyle w:val="Compact"/>
              <w:jc w:val="left"/>
            </w:pPr>
            <w:r>
              <w:t xml:space="preserve">7.10 vs 4.80</w:t>
            </w:r>
          </w:p>
        </w:tc>
        <w:tc>
          <w:tcPr/>
          <w:p>
            <w:pPr>
              <w:pStyle w:val="Compact"/>
              <w:jc w:val="left"/>
            </w:pPr>
            <w:r>
              <w:t xml:space="preserve">6.80 vs 4.40</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0.52</w:t>
            </w:r>
          </w:p>
        </w:tc>
      </w:tr>
      <w:tr>
        <w:tc>
          <w:tcPr/>
          <w:p>
            <w:pPr>
              <w:pStyle w:val="Compact"/>
              <w:jc w:val="left"/>
            </w:pPr>
            <w:r>
              <w:t xml:space="preserve">PFS P值</w:t>
            </w:r>
          </w:p>
        </w:tc>
        <w:tc>
          <w:tcPr/>
          <w:p>
            <w:pPr>
              <w:pStyle w:val="Compact"/>
              <w:jc w:val="left"/>
            </w:pPr>
            <w:r>
              <w:t xml:space="preserve">&lt;0.001</w:t>
            </w:r>
          </w:p>
        </w:tc>
        <w:tc>
          <w:tcPr/>
          <w:p>
            <w:pPr>
              <w:pStyle w:val="Compact"/>
              <w:jc w:val="left"/>
            </w:pPr>
            <w:r>
              <w:t xml:space="preserve">&lt;0.00001</w:t>
            </w:r>
          </w:p>
        </w:tc>
      </w:tr>
      <w:tr>
        <w:tc>
          <w:tcPr/>
          <w:p>
            <w:pPr>
              <w:pStyle w:val="Compact"/>
              <w:jc w:val="left"/>
            </w:pPr>
            <w:r>
              <w:t xml:space="preserve">mOS（月，最终）</w:t>
            </w:r>
          </w:p>
        </w:tc>
        <w:tc>
          <w:tcPr/>
          <w:p>
            <w:pPr>
              <w:pStyle w:val="Compact"/>
              <w:jc w:val="left"/>
            </w:pPr>
            <w:r>
              <w:t xml:space="preserve">16.80 vs 14.10</w:t>
            </w:r>
          </w:p>
        </w:tc>
        <w:tc>
          <w:tcPr/>
          <w:p>
            <w:pPr>
              <w:pStyle w:val="Compact"/>
              <w:jc w:val="left"/>
            </w:pPr>
            <w:r>
              <w:t xml:space="preserve">更新中</w:t>
            </w:r>
          </w:p>
        </w:tc>
      </w:tr>
      <w:tr>
        <w:tc>
          <w:tcPr/>
          <w:p>
            <w:pPr>
              <w:pStyle w:val="Compact"/>
              <w:jc w:val="left"/>
            </w:pPr>
            <w:r>
              <w:t xml:space="preserve">OS HR（最终）</w:t>
            </w:r>
          </w:p>
        </w:tc>
        <w:tc>
          <w:tcPr/>
          <w:p>
            <w:pPr>
              <w:pStyle w:val="Compact"/>
              <w:jc w:val="left"/>
            </w:pPr>
            <w:r>
              <w:t xml:space="preserve">0.74</w:t>
            </w:r>
          </w:p>
        </w:tc>
        <w:tc>
          <w:tcPr/>
          <w:p>
            <w:pPr>
              <w:pStyle w:val="Compact"/>
              <w:jc w:val="left"/>
            </w:pPr>
            <w:r>
              <w:t xml:space="preserve">0.78（更新）</w:t>
            </w:r>
          </w:p>
        </w:tc>
      </w:tr>
      <w:tr>
        <w:tc>
          <w:tcPr/>
          <w:p>
            <w:pPr>
              <w:pStyle w:val="Compact"/>
              <w:jc w:val="left"/>
            </w:pPr>
            <w:r>
              <w:t xml:space="preserve">脑转移PFS HR</w:t>
            </w:r>
          </w:p>
        </w:tc>
        <w:tc>
          <w:tcPr/>
          <w:p>
            <w:pPr>
              <w:pStyle w:val="Compact"/>
              <w:jc w:val="left"/>
            </w:pPr>
            <w:r>
              <w:t xml:space="preserve">0.40</w:t>
            </w:r>
          </w:p>
        </w:tc>
        <w:tc>
          <w:tcPr/>
          <w:p>
            <w:pPr>
              <w:pStyle w:val="Compact"/>
              <w:jc w:val="left"/>
            </w:pPr>
            <w:r>
              <w:t xml:space="preserve">0.34</w:t>
            </w:r>
          </w:p>
        </w:tc>
      </w:tr>
      <w:tr>
        <w:tc>
          <w:tcPr/>
          <w:p>
            <w:pPr>
              <w:pStyle w:val="Compact"/>
              <w:jc w:val="left"/>
            </w:pPr>
            <w:r>
              <w:t xml:space="preserve">ORR</w:t>
            </w:r>
          </w:p>
        </w:tc>
        <w:tc>
          <w:tcPr/>
          <w:p>
            <w:pPr>
              <w:pStyle w:val="Compact"/>
              <w:jc w:val="left"/>
            </w:pPr>
            <w:r>
              <w:t xml:space="preserve">50.60%</w:t>
            </w:r>
          </w:p>
        </w:tc>
        <w:tc>
          <w:tcPr/>
          <w:p>
            <w:pPr>
              <w:pStyle w:val="Compact"/>
              <w:jc w:val="left"/>
            </w:pPr>
            <w:r>
              <w:t xml:space="preserve">44.70%</w:t>
            </w:r>
          </w:p>
        </w:tc>
      </w:tr>
      <w:tr>
        <w:tc>
          <w:tcPr/>
          <w:p>
            <w:pPr>
              <w:pStyle w:val="Compact"/>
              <w:jc w:val="left"/>
            </w:pPr>
            <w:r>
              <w:t xml:space="preserve">DoR（月）</w:t>
            </w:r>
          </w:p>
        </w:tc>
        <w:tc>
          <w:tcPr/>
          <w:p>
            <w:pPr>
              <w:pStyle w:val="Compact"/>
              <w:jc w:val="left"/>
            </w:pPr>
            <w:r>
              <w:t xml:space="preserve">6.90</w:t>
            </w:r>
          </w:p>
        </w:tc>
        <w:tc>
          <w:tcPr/>
          <w:p>
            <w:pPr>
              <w:pStyle w:val="Compact"/>
              <w:jc w:val="left"/>
            </w:pPr>
            <w:r>
              <w:t xml:space="preserve">7.60</w:t>
            </w:r>
          </w:p>
        </w:tc>
      </w:tr>
    </w:tbl>
    <w:p>
      <w:pPr>
        <w:pStyle w:val="BodyText"/>
      </w:pPr>
      <w:r>
        <w:t xml:space="preserve">PFS HR高度一致（中国0.46 vs 全球0.52），两者在95%置信区间范围内高度重叠，证实依沃西疗效不受人种/地域差异影响。值得注意的是，HARMONi WCLC 2025更新显示北美人群OS HR=0.70，对照组mOS=14.00个月，试验组mOS尚未达到，提示依沃西在欧美人群中可能具有更优的OS趋势</w:t>
      </w:r>
      <w:r>
        <w:rPr>
          <w:vertAlign w:val="superscript"/>
        </w:rPr>
        <w:t xml:space="preserve">78</w:t>
      </w:r>
      <w:r>
        <w:t xml:space="preserve">。全球研究中脑转移患者PFS HR=0.34与中国数据HR=0.40一致，且颅内PFS在基线脑转移患者中达10.10月 vs 6.50月，进一步支持依沃西在中枢神经系统受累患者中的治疗价值。</w:t>
      </w:r>
    </w:p>
    <w:p>
      <w:r>
        <w:pict>
          <v:rect style="width:0;height:1.5pt" o:hralign="center" o:hrstd="t" o:hr="t"/>
        </w:pict>
      </w:r>
    </w:p>
    <w:bookmarkEnd w:id="57"/>
    <w:bookmarkEnd w:id="58"/>
    <w:bookmarkStart w:id="66" w:name="harmoni-2全球首个头对头击败k药的phase-3"/>
    <w:p>
      <w:pPr>
        <w:pStyle w:val="Heading2"/>
      </w:pPr>
      <w:r>
        <w:t xml:space="preserve">3.2 HARMONi-2：全球首个头对头击败K药的Phase 3</w:t>
      </w:r>
    </w:p>
    <w:bookmarkStart w:id="59" w:name="研究设计-1"/>
    <w:p>
      <w:pPr>
        <w:pStyle w:val="Heading3"/>
      </w:pPr>
      <w:r>
        <w:t xml:space="preserve">3.2.1 研究设计</w:t>
      </w:r>
    </w:p>
    <w:p>
      <w:pPr>
        <w:pStyle w:val="FirstParagraph"/>
      </w:pPr>
      <w:r>
        <w:t xml:space="preserve">HARMONi-2（AK112-303，NCT05499390）是一项在中国55家医院开展的随机、双盲、III期临床试验，旨在评估依沃西单抗单药对比帕博利珠单抗（K药）单药一线治疗PD-L1表达阳性（TPS≥1%）局部晚期或转移性NSCLC的疗效与安全性</w:t>
      </w:r>
      <w:r>
        <w:rPr>
          <w:vertAlign w:val="superscript"/>
        </w:rPr>
        <w:t xml:space="preserve">910</w:t>
      </w:r>
      <w:r>
        <w:t xml:space="preserve">。该研究于2022年11月启动，2023年8月完成入组，共随机分配398例患者（依沃西组198例，帕博利珠组200例）。数据截止于2024年1月29日，中位随访时间为8.67个月。2024年9月，研究结果被选为WCLC Presidential Symposium口头报告；2025年3月，完整结果发表于</w:t>
      </w:r>
      <w:r>
        <w:rPr>
          <w:iCs/>
          <w:i/>
        </w:rPr>
        <w:t xml:space="preserve">The Lancet</w:t>
      </w:r>
      <w:r>
        <w:rPr>
          <w:vertAlign w:val="superscript"/>
        </w:rPr>
        <w:t xml:space="preserve">911</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详情</w:t>
            </w:r>
          </w:p>
        </w:tc>
      </w:tr>
      <w:tr>
        <w:tc>
          <w:tcPr/>
          <w:p>
            <w:pPr>
              <w:pStyle w:val="Compact"/>
              <w:jc w:val="left"/>
            </w:pPr>
            <w:r>
              <w:t xml:space="preserve">研究类型</w:t>
            </w:r>
          </w:p>
        </w:tc>
        <w:tc>
          <w:tcPr/>
          <w:p>
            <w:pPr>
              <w:pStyle w:val="Compact"/>
              <w:jc w:val="left"/>
            </w:pPr>
            <w:r>
              <w:t xml:space="preserve">III期、随机、双盲、阳性对照</w:t>
            </w:r>
          </w:p>
        </w:tc>
      </w:tr>
      <w:tr>
        <w:tc>
          <w:tcPr/>
          <w:p>
            <w:pPr>
              <w:pStyle w:val="Compact"/>
              <w:jc w:val="left"/>
            </w:pPr>
            <w:r>
              <w:t xml:space="preserve">入组人数</w:t>
            </w:r>
          </w:p>
        </w:tc>
        <w:tc>
          <w:tcPr/>
          <w:p>
            <w:pPr>
              <w:pStyle w:val="Compact"/>
              <w:jc w:val="left"/>
            </w:pPr>
            <w:r>
              <w:t xml:space="preserve">398例（1:1随机）</w:t>
            </w:r>
          </w:p>
        </w:tc>
      </w:tr>
      <w:tr>
        <w:tc>
          <w:tcPr/>
          <w:p>
            <w:pPr>
              <w:pStyle w:val="Compact"/>
              <w:jc w:val="left"/>
            </w:pPr>
            <w:r>
              <w:t xml:space="preserve">试验组</w:t>
            </w:r>
          </w:p>
        </w:tc>
        <w:tc>
          <w:tcPr/>
          <w:p>
            <w:pPr>
              <w:pStyle w:val="Compact"/>
              <w:jc w:val="left"/>
            </w:pPr>
            <w:r>
              <w:t xml:space="preserve">依沃西单抗单药</w:t>
            </w:r>
          </w:p>
        </w:tc>
      </w:tr>
      <w:tr>
        <w:tc>
          <w:tcPr/>
          <w:p>
            <w:pPr>
              <w:pStyle w:val="Compact"/>
              <w:jc w:val="left"/>
            </w:pPr>
            <w:r>
              <w:t xml:space="preserve">对照组</w:t>
            </w:r>
          </w:p>
        </w:tc>
        <w:tc>
          <w:tcPr/>
          <w:p>
            <w:pPr>
              <w:pStyle w:val="Compact"/>
              <w:jc w:val="left"/>
            </w:pPr>
            <w:r>
              <w:t xml:space="preserve">帕博利珠单抗200 mg Q3W</w:t>
            </w:r>
          </w:p>
        </w:tc>
      </w:tr>
      <w:tr>
        <w:tc>
          <w:tcPr/>
          <w:p>
            <w:pPr>
              <w:pStyle w:val="Compact"/>
              <w:jc w:val="left"/>
            </w:pPr>
            <w:r>
              <w:t xml:space="preserve">主要终点</w:t>
            </w:r>
          </w:p>
        </w:tc>
        <w:tc>
          <w:tcPr/>
          <w:p>
            <w:pPr>
              <w:pStyle w:val="Compact"/>
              <w:jc w:val="left"/>
            </w:pPr>
            <w:r>
              <w:t xml:space="preserve">IRRC评估的PFS（RECIST v1.1）</w:t>
            </w:r>
          </w:p>
        </w:tc>
      </w:tr>
      <w:tr>
        <w:tc>
          <w:tcPr/>
          <w:p>
            <w:pPr>
              <w:pStyle w:val="Compact"/>
              <w:jc w:val="left"/>
            </w:pPr>
            <w:r>
              <w:t xml:space="preserve">PD-L1 TPS 1-49%</w:t>
            </w:r>
          </w:p>
        </w:tc>
        <w:tc>
          <w:tcPr/>
          <w:p>
            <w:pPr>
              <w:pStyle w:val="Compact"/>
              <w:jc w:val="left"/>
            </w:pPr>
            <w:r>
              <w:t xml:space="preserve">57.80%</w:t>
            </w:r>
          </w:p>
        </w:tc>
      </w:tr>
      <w:tr>
        <w:tc>
          <w:tcPr/>
          <w:p>
            <w:pPr>
              <w:pStyle w:val="Compact"/>
              <w:jc w:val="left"/>
            </w:pPr>
            <w:r>
              <w:t xml:space="preserve">PD-L1 TPS≥50%</w:t>
            </w:r>
          </w:p>
        </w:tc>
        <w:tc>
          <w:tcPr/>
          <w:p>
            <w:pPr>
              <w:pStyle w:val="Compact"/>
              <w:jc w:val="left"/>
            </w:pPr>
            <w:r>
              <w:t xml:space="preserve">42.20%</w:t>
            </w:r>
          </w:p>
        </w:tc>
      </w:tr>
      <w:tr>
        <w:tc>
          <w:tcPr/>
          <w:p>
            <w:pPr>
              <w:pStyle w:val="Compact"/>
              <w:jc w:val="left"/>
            </w:pPr>
            <w:r>
              <w:t xml:space="preserve">鳞癌</w:t>
            </w:r>
          </w:p>
        </w:tc>
        <w:tc>
          <w:tcPr/>
          <w:p>
            <w:pPr>
              <w:pStyle w:val="Compact"/>
              <w:jc w:val="left"/>
            </w:pPr>
            <w:r>
              <w:t xml:space="preserve">45.50%</w:t>
            </w:r>
          </w:p>
        </w:tc>
      </w:tr>
      <w:tr>
        <w:tc>
          <w:tcPr/>
          <w:p>
            <w:pPr>
              <w:pStyle w:val="Compact"/>
              <w:jc w:val="left"/>
            </w:pPr>
            <w:r>
              <w:t xml:space="preserve">非鳞癌</w:t>
            </w:r>
          </w:p>
        </w:tc>
        <w:tc>
          <w:tcPr/>
          <w:p>
            <w:pPr>
              <w:pStyle w:val="Compact"/>
              <w:jc w:val="left"/>
            </w:pPr>
            <w:r>
              <w:t xml:space="preserve">54.50%</w:t>
            </w:r>
          </w:p>
        </w:tc>
      </w:tr>
    </w:tbl>
    <w:bookmarkEnd w:id="59"/>
    <w:bookmarkStart w:id="60" w:name="pfs数据历史性的头对头胜利"/>
    <w:p>
      <w:pPr>
        <w:pStyle w:val="Heading3"/>
      </w:pPr>
      <w:r>
        <w:t xml:space="preserve">3.2.2 PFS数据：历史性的头对头胜利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PFS指标</w:t>
            </w:r>
          </w:p>
        </w:tc>
        <w:tc>
          <w:tcPr/>
          <w:p>
            <w:pPr>
              <w:pStyle w:val="Compact"/>
              <w:jc w:val="left"/>
            </w:pPr>
            <w:r>
              <w:t xml:space="preserve">依沃西单抗（n=198）</w:t>
            </w:r>
          </w:p>
        </w:tc>
        <w:tc>
          <w:tcPr/>
          <w:p>
            <w:pPr>
              <w:pStyle w:val="Compact"/>
              <w:jc w:val="left"/>
            </w:pPr>
            <w:r>
              <w:t xml:space="preserve">帕博利珠单抗（n=200）</w:t>
            </w:r>
          </w:p>
        </w:tc>
      </w:tr>
      <w:tr>
        <w:tc>
          <w:tcPr/>
          <w:p>
            <w:pPr>
              <w:pStyle w:val="Compact"/>
              <w:jc w:val="left"/>
            </w:pPr>
            <w:r>
              <w:t xml:space="preserve">中位PFS（月）</w:t>
            </w:r>
          </w:p>
        </w:tc>
        <w:tc>
          <w:tcPr/>
          <w:p>
            <w:pPr>
              <w:pStyle w:val="Compact"/>
              <w:jc w:val="left"/>
            </w:pPr>
            <w:r>
              <w:t xml:space="preserve">11.14（95% CI: 7.33–NE）</w:t>
            </w:r>
          </w:p>
        </w:tc>
        <w:tc>
          <w:tcPr/>
          <w:p>
            <w:pPr>
              <w:pStyle w:val="Compact"/>
              <w:jc w:val="left"/>
            </w:pPr>
            <w:r>
              <w:t xml:space="preserve">5.82（95% CI: 5.03–8.21）</w:t>
            </w:r>
          </w:p>
        </w:tc>
      </w:tr>
      <w:tr>
        <w:tc>
          <w:tcPr/>
          <w:p>
            <w:pPr>
              <w:pStyle w:val="Compact"/>
              <w:jc w:val="left"/>
            </w:pPr>
            <w:r>
              <w:t xml:space="preserve">PFS HR</w:t>
            </w:r>
          </w:p>
        </w:tc>
        <w:tc>
          <w:tcPr/>
          <w:p>
            <w:pPr>
              <w:pStyle w:val="Compact"/>
              <w:jc w:val="left"/>
            </w:pPr>
            <w:r>
              <w:t xml:space="preserve">0.51（95% CI: 0.38–0.69）</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&lt;0.0001</w:t>
            </w:r>
          </w:p>
        </w:tc>
        <w:tc>
          <w:tcPr/>
          <w:p>
            <w:pPr>
              <w:pStyle w:val="Compact"/>
              <w:jc w:val="left"/>
            </w:pPr>
            <w:r>
              <w:t xml:space="preserve">—</w:t>
            </w:r>
          </w:p>
        </w:tc>
      </w:tr>
      <w:tr>
        <w:tc>
          <w:tcPr/>
          <w:p>
            <w:pPr>
              <w:pStyle w:val="Compact"/>
              <w:jc w:val="left"/>
            </w:pPr>
            <w:r>
              <w:t xml:space="preserve">6个月PFS率</w:t>
            </w:r>
          </w:p>
        </w:tc>
        <w:tc>
          <w:tcPr/>
          <w:p>
            <w:pPr>
              <w:pStyle w:val="Compact"/>
              <w:jc w:val="left"/>
            </w:pPr>
            <w:r>
              <w:t xml:space="preserve">~70.00%</w:t>
            </w:r>
          </w:p>
        </w:tc>
        <w:tc>
          <w:tcPr/>
          <w:p>
            <w:pPr>
              <w:pStyle w:val="Compact"/>
              <w:jc w:val="left"/>
            </w:pPr>
            <w:r>
              <w:t xml:space="preserve">~50.00%</w:t>
            </w:r>
          </w:p>
        </w:tc>
      </w:tr>
      <w:tr>
        <w:tc>
          <w:tcPr/>
          <w:p>
            <w:pPr>
              <w:pStyle w:val="Compact"/>
              <w:jc w:val="left"/>
            </w:pPr>
            <w:r>
              <w:t xml:space="preserve">9个月PFS率</w:t>
            </w:r>
          </w:p>
        </w:tc>
        <w:tc>
          <w:tcPr/>
          <w:p>
            <w:pPr>
              <w:pStyle w:val="Compact"/>
              <w:jc w:val="left"/>
            </w:pPr>
            <w:r>
              <w:t xml:space="preserve">56.00%（47.00–64.00）</w:t>
            </w:r>
          </w:p>
        </w:tc>
        <w:tc>
          <w:tcPr/>
          <w:p>
            <w:pPr>
              <w:pStyle w:val="Compact"/>
              <w:jc w:val="left"/>
            </w:pPr>
            <w:r>
              <w:t xml:space="preserve">40.00%（32.00–48.00）</w:t>
            </w:r>
          </w:p>
        </w:tc>
      </w:tr>
      <w:tr>
        <w:tc>
          <w:tcPr/>
          <w:p>
            <w:pPr>
              <w:pStyle w:val="Compact"/>
              <w:jc w:val="left"/>
            </w:pPr>
            <w:r>
              <w:t xml:space="preserve">绝对获益</w:t>
            </w:r>
          </w:p>
        </w:tc>
        <w:tc>
          <w:tcPr/>
          <w:p>
            <w:pPr>
              <w:pStyle w:val="Compact"/>
              <w:jc w:val="left"/>
            </w:pPr>
            <w:r>
              <w:t xml:space="preserve">+5.32个月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49.00%</w:t>
            </w:r>
          </w:p>
        </w:tc>
        <w:tc>
          <w:tcPr/>
          <w:p>
            <w:pPr>
              <w:pStyle w:val="Compact"/>
              <w:jc w:val="left"/>
            </w:pPr>
            <w:r>
              <w:t xml:space="preserve">—</w:t>
            </w:r>
          </w:p>
        </w:tc>
      </w:tr>
    </w:tbl>
    <w:p>
      <w:pPr>
        <w:pStyle w:val="BodyText"/>
      </w:pPr>
      <w:r>
        <w:t xml:space="preserve">依沃西单抗将疾病进展或死亡风险降低49%，中位PFS绝对延长5.32个月，这一幅度在NSCLC一线免疫治疗头对头研究中前所未有。作为参照，既往PD-1单抗在相似人群中的mPFS约为5.00–7.00个月，与HARMONi-2中帕博利珠组的表现一致（KEYNOTE-042全球数据mPFS 6.40个月，中国扩展组mPFS 6.30个月）</w:t>
      </w:r>
      <w:r>
        <w:rPr>
          <w:vertAlign w:val="superscript"/>
        </w:rPr>
        <w:t xml:space="preserve">912</w:t>
      </w:r>
      <w:r>
        <w:t xml:space="preserve">。</w:t>
      </w:r>
    </w:p>
    <w:bookmarkEnd w:id="60"/>
    <w:bookmarkStart w:id="61" w:name="os期中分析方向性获益的早期信号"/>
    <w:p>
      <w:pPr>
        <w:pStyle w:val="Heading3"/>
      </w:pPr>
      <w:r>
        <w:t xml:space="preserve">3.2.3 OS期中分析：方向性获益的早期信号</w:t>
      </w:r>
    </w:p>
    <w:p>
      <w:pPr>
        <w:pStyle w:val="FirstParagraph"/>
      </w:pPr>
      <w:r>
        <w:t xml:space="preserve">HARMONi-2的主要终点为PFS，OS为次要终点。在2025年4月NMPA批准适应症时，首次公布了OS期中分析数据：OS成熟度为39%（约157个死亡事件），OS HR=0.777，降低死亡风险22.30%</w:t>
      </w:r>
      <w:r>
        <w:rPr>
          <w:vertAlign w:val="superscript"/>
        </w:rPr>
        <w:t xml:space="preserve">913</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OS分析要点</w:t>
            </w:r>
          </w:p>
        </w:tc>
        <w:tc>
          <w:tcPr/>
          <w:p>
            <w:pPr>
              <w:pStyle w:val="Compact"/>
              <w:jc w:val="left"/>
            </w:pPr>
            <w:r>
              <w:t xml:space="preserve">数据</w:t>
            </w:r>
          </w:p>
        </w:tc>
      </w:tr>
      <w:tr>
        <w:tc>
          <w:tcPr/>
          <w:p>
            <w:pPr>
              <w:pStyle w:val="Compact"/>
              <w:jc w:val="left"/>
            </w:pPr>
            <w:r>
              <w:t xml:space="preserve">OS成熟度</w:t>
            </w:r>
          </w:p>
        </w:tc>
        <w:tc>
          <w:tcPr/>
          <w:p>
            <w:pPr>
              <w:pStyle w:val="Compact"/>
              <w:jc w:val="left"/>
            </w:pPr>
            <w:r>
              <w:t xml:space="preserve">39.00%</w:t>
            </w:r>
          </w:p>
        </w:tc>
      </w:tr>
      <w:tr>
        <w:tc>
          <w:tcPr/>
          <w:p>
            <w:pPr>
              <w:pStyle w:val="Compact"/>
              <w:jc w:val="left"/>
            </w:pPr>
            <w:r>
              <w:t xml:space="preserve">OS HR</w:t>
            </w:r>
          </w:p>
        </w:tc>
        <w:tc>
          <w:tcPr/>
          <w:p>
            <w:pPr>
              <w:pStyle w:val="Compact"/>
              <w:jc w:val="left"/>
            </w:pPr>
            <w:r>
              <w:t xml:space="preserve">0.777</w:t>
            </w:r>
          </w:p>
        </w:tc>
      </w:tr>
      <w:tr>
        <w:tc>
          <w:tcPr/>
          <w:p>
            <w:pPr>
              <w:pStyle w:val="Compact"/>
              <w:jc w:val="left"/>
            </w:pPr>
            <w:r>
              <w:t xml:space="preserve">死亡风险降低</w:t>
            </w:r>
          </w:p>
        </w:tc>
        <w:tc>
          <w:tcPr/>
          <w:p>
            <w:pPr>
              <w:pStyle w:val="Compact"/>
              <w:jc w:val="left"/>
            </w:pPr>
            <w:r>
              <w:t xml:space="preserve">22.30%</w:t>
            </w:r>
          </w:p>
        </w:tc>
      </w:tr>
      <w:tr>
        <w:tc>
          <w:tcPr/>
          <w:p>
            <w:pPr>
              <w:pStyle w:val="Compact"/>
              <w:jc w:val="left"/>
            </w:pPr>
            <w:r>
              <w:t xml:space="preserve">α分配值</w:t>
            </w:r>
          </w:p>
        </w:tc>
        <w:tc>
          <w:tcPr/>
          <w:p>
            <w:pPr>
              <w:pStyle w:val="Compact"/>
              <w:jc w:val="left"/>
            </w:pPr>
            <w:r>
              <w:t xml:space="preserve">0.0001（非常保守）</w:t>
            </w:r>
          </w:p>
        </w:tc>
      </w:tr>
      <w:tr>
        <w:tc>
          <w:tcPr/>
          <w:p>
            <w:pPr>
              <w:pStyle w:val="Compact"/>
              <w:jc w:val="left"/>
            </w:pPr>
            <w:r>
              <w:t xml:space="preserve">统计学显著性</w:t>
            </w:r>
          </w:p>
        </w:tc>
        <w:tc>
          <w:tcPr/>
          <w:p>
            <w:pPr>
              <w:pStyle w:val="Compact"/>
              <w:jc w:val="left"/>
            </w:pPr>
            <w:r>
              <w:t xml:space="preserve">未达预设边界</w:t>
            </w:r>
          </w:p>
        </w:tc>
      </w:tr>
      <w:tr>
        <w:tc>
          <w:tcPr/>
          <w:p>
            <w:pPr>
              <w:pStyle w:val="Compact"/>
              <w:jc w:val="left"/>
            </w:pPr>
            <w:r>
              <w:t xml:space="preserve">与K药历史对比</w:t>
            </w:r>
          </w:p>
        </w:tc>
        <w:tc>
          <w:tcPr/>
          <w:p>
            <w:pPr>
              <w:pStyle w:val="Compact"/>
              <w:jc w:val="left"/>
            </w:pPr>
            <w:r>
              <w:t xml:space="preserve">KEYNOTE-042/189中OS HR约0.75–0.82</w:t>
            </w:r>
          </w:p>
        </w:tc>
      </w:tr>
    </w:tbl>
    <w:p>
      <w:pPr>
        <w:pStyle w:val="BodyText"/>
      </w:pPr>
      <w:r>
        <w:t xml:space="preserve">从临床角度，OS HR=0.777在39%成熟度时是一个积极信号：方向确定性明确（HR点估计&lt;0.80且远离1.0），与PFS HR=0.51方向一致，符合免疫治疗的获益传导规律。参照HARMONi-A的演变轨迹（30%成熟度时OS HR=0.72，不显著→52%成熟度时OS HR=0.80，不显著→最终分析达到统计学显著获益），提示依沃西的OS获益需要时间显现</w:t>
      </w:r>
      <w:r>
        <w:rPr>
          <w:vertAlign w:val="superscript"/>
        </w:rPr>
        <w:t xml:space="preserve">214</w:t>
      </w:r>
      <w:r>
        <w:t xml:space="preserve">。JP Morgan在2025年3月报告中预计HARMONi-2初步OS HR约为0.80，实际39%成熟度时读数为0.777，已优于预期</w:t>
      </w:r>
      <w:r>
        <w:rPr>
          <w:vertAlign w:val="superscript"/>
        </w:rPr>
        <w:t xml:space="preserve">1315</w:t>
      </w:r>
      <w:r>
        <w:t xml:space="preserve">。</w:t>
      </w:r>
    </w:p>
    <w:bookmarkEnd w:id="61"/>
    <w:bookmarkStart w:id="62" w:name="orrdcr与dor"/>
    <w:p>
      <w:pPr>
        <w:pStyle w:val="Heading3"/>
      </w:pPr>
      <w:r>
        <w:t xml:space="preserve">3.2.4 ORR、DCR与DoR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依沃西单抗</w:t>
            </w:r>
          </w:p>
        </w:tc>
        <w:tc>
          <w:tcPr/>
          <w:p>
            <w:pPr>
              <w:pStyle w:val="Compact"/>
              <w:jc w:val="left"/>
            </w:pPr>
            <w:r>
              <w:t xml:space="preserve">帕博利珠单抗</w:t>
            </w:r>
          </w:p>
        </w:tc>
      </w:tr>
      <w:tr>
        <w:tc>
          <w:tcPr/>
          <w:p>
            <w:pPr>
              <w:pStyle w:val="Compact"/>
              <w:jc w:val="left"/>
            </w:pPr>
            <w:r>
              <w:t xml:space="preserve">ORR</w:t>
            </w:r>
          </w:p>
        </w:tc>
        <w:tc>
          <w:tcPr/>
          <w:p>
            <w:pPr>
              <w:pStyle w:val="Compact"/>
              <w:jc w:val="left"/>
            </w:pPr>
            <w:r>
              <w:t xml:space="preserve">50.00%（95% CI: 42.80–57.20）</w:t>
            </w:r>
          </w:p>
        </w:tc>
        <w:tc>
          <w:tcPr/>
          <w:p>
            <w:pPr>
              <w:pStyle w:val="Compact"/>
              <w:jc w:val="left"/>
            </w:pPr>
            <w:r>
              <w:t xml:space="preserve">38.50%（95% CI: 31.70–45.60）</w:t>
            </w:r>
          </w:p>
        </w:tc>
      </w:tr>
      <w:tr>
        <w:tc>
          <w:tcPr/>
          <w:p>
            <w:pPr>
              <w:pStyle w:val="Compact"/>
              <w:jc w:val="left"/>
            </w:pPr>
            <w:r>
              <w:t xml:space="preserve">DCR</w:t>
            </w:r>
          </w:p>
        </w:tc>
        <w:tc>
          <w:tcPr/>
          <w:p>
            <w:pPr>
              <w:pStyle w:val="Compact"/>
              <w:jc w:val="left"/>
            </w:pPr>
            <w:r>
              <w:t xml:space="preserve">89.90%（95% CI: 84.80–93.70）</w:t>
            </w:r>
          </w:p>
        </w:tc>
        <w:tc>
          <w:tcPr/>
          <w:p>
            <w:pPr>
              <w:pStyle w:val="Compact"/>
              <w:jc w:val="left"/>
            </w:pPr>
            <w:r>
              <w:t xml:space="preserve">70.50%（95% CI: 63.70–76.70）</w:t>
            </w:r>
          </w:p>
        </w:tc>
      </w:tr>
      <w:tr>
        <w:tc>
          <w:tcPr/>
          <w:p>
            <w:pPr>
              <w:pStyle w:val="Compact"/>
              <w:jc w:val="left"/>
            </w:pPr>
            <w:r>
              <w:t xml:space="preserve">中位DoR</w:t>
            </w:r>
          </w:p>
        </w:tc>
        <w:tc>
          <w:tcPr/>
          <w:p>
            <w:pPr>
              <w:pStyle w:val="Compact"/>
              <w:jc w:val="left"/>
            </w:pPr>
            <w:r>
              <w:t xml:space="preserve">未达到（NE–NE）</w:t>
            </w:r>
          </w:p>
        </w:tc>
        <w:tc>
          <w:tcPr/>
          <w:p>
            <w:pPr>
              <w:pStyle w:val="Compact"/>
              <w:jc w:val="left"/>
            </w:pPr>
            <w:r>
              <w:t xml:space="preserve">未达到（8.28–NE）</w:t>
            </w:r>
          </w:p>
        </w:tc>
      </w:tr>
      <w:tr>
        <w:tc>
          <w:tcPr/>
          <w:p>
            <w:pPr>
              <w:pStyle w:val="Compact"/>
              <w:jc w:val="left"/>
            </w:pPr>
            <w:r>
              <w:t xml:space="preserve">中位TTR（月）</w:t>
            </w:r>
          </w:p>
        </w:tc>
        <w:tc>
          <w:tcPr/>
          <w:p>
            <w:pPr>
              <w:pStyle w:val="Compact"/>
              <w:jc w:val="left"/>
            </w:pPr>
            <w:r>
              <w:t xml:space="preserve">1.50</w:t>
            </w:r>
          </w:p>
        </w:tc>
        <w:tc>
          <w:tcPr/>
          <w:p>
            <w:pPr>
              <w:pStyle w:val="Compact"/>
              <w:jc w:val="left"/>
            </w:pPr>
            <w:r>
              <w:t xml:space="preserve">2.50</w:t>
            </w:r>
          </w:p>
        </w:tc>
      </w:tr>
      <w:tr>
        <w:tc>
          <w:tcPr/>
          <w:p>
            <w:pPr>
              <w:pStyle w:val="Compact"/>
              <w:jc w:val="left"/>
            </w:pPr>
            <w:r>
              <w:t xml:space="preserve">ORR绝对提升</w:t>
            </w:r>
          </w:p>
        </w:tc>
        <w:tc>
          <w:tcPr/>
          <w:p>
            <w:pPr>
              <w:pStyle w:val="Compact"/>
              <w:jc w:val="left"/>
            </w:pPr>
            <w:r>
              <w:t xml:space="preserve">+11.50个百分点</w:t>
            </w:r>
          </w:p>
        </w:tc>
        <w:tc>
          <w:tcPr/>
          <w:p>
            <w:pPr>
              <w:pStyle w:val="Compact"/>
              <w:jc w:val="left"/>
            </w:pPr>
            <w:r>
              <w:t xml:space="preserve">—</w:t>
            </w:r>
          </w:p>
        </w:tc>
      </w:tr>
      <w:tr>
        <w:tc>
          <w:tcPr/>
          <w:p>
            <w:pPr>
              <w:pStyle w:val="Compact"/>
              <w:jc w:val="left"/>
            </w:pPr>
            <w:r>
              <w:t xml:space="preserve">DCR绝对提升</w:t>
            </w:r>
          </w:p>
        </w:tc>
        <w:tc>
          <w:tcPr/>
          <w:p>
            <w:pPr>
              <w:pStyle w:val="Compact"/>
              <w:jc w:val="left"/>
            </w:pPr>
            <w:r>
              <w:t xml:space="preserve">+19.40个百分点</w:t>
            </w:r>
          </w:p>
        </w:tc>
        <w:tc>
          <w:tcPr/>
          <w:p>
            <w:pPr>
              <w:pStyle w:val="Compact"/>
              <w:jc w:val="left"/>
            </w:pPr>
            <w:r>
              <w:t xml:space="preserve">—</w:t>
            </w:r>
          </w:p>
        </w:tc>
      </w:tr>
    </w:tbl>
    <w:p>
      <w:pPr>
        <w:pStyle w:val="BodyText"/>
      </w:pPr>
      <w:r>
        <w:t xml:space="preserve">依沃西在ORR和DCR上均显著优于帕博利珠，且起效更快（中位TTR 1.50 vs 2.50个月）。DoR数据尚不成熟，但两组均未达到中位值，考虑到依沃西组的PFS优势更大，其DoR最终读数可能优于对照组</w:t>
      </w:r>
      <w:r>
        <w:rPr>
          <w:vertAlign w:val="superscript"/>
        </w:rPr>
        <w:t xml:space="preserve">911</w:t>
      </w:r>
      <w:r>
        <w:t xml:space="preserve">。</w:t>
      </w:r>
    </w:p>
    <w:bookmarkEnd w:id="62"/>
    <w:bookmarkStart w:id="63" w:name="亚组分析跨人群的获益一致性"/>
    <w:p>
      <w:pPr>
        <w:pStyle w:val="Heading3"/>
      </w:pPr>
      <w:r>
        <w:t xml:space="preserve">3.2.5 亚组分析：跨人群的获益一致性</w:t>
      </w:r>
    </w:p>
    <w:p>
      <w:pPr>
        <w:pStyle w:val="FirstParagraph"/>
      </w:pPr>
      <w:r>
        <w:rPr>
          <w:bCs/>
          <w:b/>
        </w:rPr>
        <w:t xml:space="preserve">PD-L1表达亚组</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PD-L1亚组</w:t>
            </w:r>
          </w:p>
        </w:tc>
        <w:tc>
          <w:tcPr/>
          <w:p>
            <w:pPr>
              <w:pStyle w:val="Compact"/>
              <w:jc w:val="left"/>
            </w:pPr>
            <w:r>
              <w:t xml:space="preserve">依沃西 n</w:t>
            </w:r>
          </w:p>
        </w:tc>
        <w:tc>
          <w:tcPr/>
          <w:p>
            <w:pPr>
              <w:pStyle w:val="Compact"/>
              <w:jc w:val="left"/>
            </w:pPr>
            <w:r>
              <w:t xml:space="preserve">帕博利珠 n</w:t>
            </w:r>
          </w:p>
        </w:tc>
        <w:tc>
          <w:tcPr/>
          <w:p>
            <w:pPr>
              <w:pStyle w:val="Compact"/>
              <w:jc w:val="left"/>
            </w:pPr>
            <w:r>
              <w:t xml:space="preserve">PFS HR（95% CI）</w:t>
            </w:r>
          </w:p>
        </w:tc>
      </w:tr>
      <w:tr>
        <w:tc>
          <w:tcPr/>
          <w:p>
            <w:pPr>
              <w:pStyle w:val="Compact"/>
              <w:jc w:val="left"/>
            </w:pPr>
            <w:r>
              <w:t xml:space="preserve">TPS≥50%</w:t>
            </w:r>
          </w:p>
        </w:tc>
        <w:tc>
          <w:tcPr/>
          <w:p>
            <w:pPr>
              <w:pStyle w:val="Compact"/>
              <w:jc w:val="left"/>
            </w:pPr>
            <w:r>
              <w:t xml:space="preserve">83</w:t>
            </w:r>
          </w:p>
        </w:tc>
        <w:tc>
          <w:tcPr/>
          <w:p>
            <w:pPr>
              <w:pStyle w:val="Compact"/>
              <w:jc w:val="left"/>
            </w:pPr>
            <w:r>
              <w:t xml:space="preserve">85</w:t>
            </w:r>
          </w:p>
        </w:tc>
        <w:tc>
          <w:tcPr/>
          <w:p>
            <w:pPr>
              <w:pStyle w:val="Compact"/>
              <w:jc w:val="left"/>
            </w:pPr>
            <w:r>
              <w:t xml:space="preserve">0.46（0.28–0.75）</w:t>
            </w:r>
          </w:p>
        </w:tc>
      </w:tr>
      <w:tr>
        <w:tc>
          <w:tcPr/>
          <w:p>
            <w:pPr>
              <w:pStyle w:val="Compact"/>
              <w:jc w:val="left"/>
            </w:pPr>
            <w:r>
              <w:t xml:space="preserve">TPS 1-49%</w:t>
            </w:r>
          </w:p>
        </w:tc>
        <w:tc>
          <w:tcPr/>
          <w:p>
            <w:pPr>
              <w:pStyle w:val="Compact"/>
              <w:jc w:val="left"/>
            </w:pPr>
            <w:r>
              <w:t xml:space="preserve">115</w:t>
            </w:r>
          </w:p>
        </w:tc>
        <w:tc>
          <w:tcPr/>
          <w:p>
            <w:pPr>
              <w:pStyle w:val="Compact"/>
              <w:jc w:val="left"/>
            </w:pPr>
            <w:r>
              <w:t xml:space="preserve">115</w:t>
            </w:r>
          </w:p>
        </w:tc>
        <w:tc>
          <w:tcPr/>
          <w:p>
            <w:pPr>
              <w:pStyle w:val="Compact"/>
              <w:jc w:val="left"/>
            </w:pPr>
            <w:r>
              <w:t xml:space="preserve">0.54（0.37–0.79）</w:t>
            </w:r>
          </w:p>
        </w:tc>
      </w:tr>
    </w:tbl>
    <w:p>
      <w:pPr>
        <w:pStyle w:val="BodyText"/>
      </w:pPr>
      <w:r>
        <w:t xml:space="preserve">两个PD-L1亚组均显示显著PFS获益，高表达组（TPS≥50%）的HR点估计更低（0.46 vs 0.54），提示依沃西在PD-L1高表达人群中可能具有更优的疗效。对于PD-L1低表达（TPS 1-49%）人群，依沃西仍取得HR=0.54的显著获益，提示PD-1/VEGF双抗的协同机制可能部分克服PD-L1低表达带来的免疫治疗抵抗，VEGF阻断可通过改善肿瘤血管正常化、促进T细胞浸润来增强抗肿瘤免疫</w:t>
      </w:r>
      <w:r>
        <w:rPr>
          <w:vertAlign w:val="superscript"/>
        </w:rPr>
        <w:t xml:space="preserve">916</w:t>
      </w:r>
      <w:r>
        <w:t xml:space="preserve">。</w:t>
      </w:r>
    </w:p>
    <w:p>
      <w:pPr>
        <w:pStyle w:val="BodyText"/>
      </w:pPr>
      <w:r>
        <w:rPr>
          <w:bCs/>
          <w:b/>
        </w:rPr>
        <w:t xml:space="preserve">组织学类型亚组</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组织学类型</w:t>
            </w:r>
          </w:p>
        </w:tc>
        <w:tc>
          <w:tcPr/>
          <w:p>
            <w:pPr>
              <w:pStyle w:val="Compact"/>
              <w:jc w:val="left"/>
            </w:pPr>
            <w:r>
              <w:t xml:space="preserve">依沃西 n</w:t>
            </w:r>
          </w:p>
        </w:tc>
        <w:tc>
          <w:tcPr/>
          <w:p>
            <w:pPr>
              <w:pStyle w:val="Compact"/>
              <w:jc w:val="left"/>
            </w:pPr>
            <w:r>
              <w:t xml:space="preserve">帕博利珠 n</w:t>
            </w:r>
          </w:p>
        </w:tc>
        <w:tc>
          <w:tcPr/>
          <w:p>
            <w:pPr>
              <w:pStyle w:val="Compact"/>
              <w:jc w:val="left"/>
            </w:pPr>
            <w:r>
              <w:t xml:space="preserve">PFS HR（95% CI）</w:t>
            </w:r>
          </w:p>
        </w:tc>
      </w:tr>
      <w:tr>
        <w:tc>
          <w:tcPr/>
          <w:p>
            <w:pPr>
              <w:pStyle w:val="Compact"/>
              <w:jc w:val="left"/>
            </w:pPr>
            <w:r>
              <w:t xml:space="preserve">鳞癌（sq-NSCLC）</w:t>
            </w:r>
          </w:p>
        </w:tc>
        <w:tc>
          <w:tcPr/>
          <w:p>
            <w:pPr>
              <w:pStyle w:val="Compact"/>
              <w:jc w:val="left"/>
            </w:pPr>
            <w:r>
              <w:t xml:space="preserve">90</w:t>
            </w:r>
          </w:p>
        </w:tc>
        <w:tc>
          <w:tcPr/>
          <w:p>
            <w:pPr>
              <w:pStyle w:val="Compact"/>
              <w:jc w:val="left"/>
            </w:pPr>
            <w:r>
              <w:t xml:space="preserve">91</w:t>
            </w:r>
          </w:p>
        </w:tc>
        <w:tc>
          <w:tcPr/>
          <w:p>
            <w:pPr>
              <w:pStyle w:val="Compact"/>
              <w:jc w:val="left"/>
            </w:pPr>
            <w:r>
              <w:t xml:space="preserve">0.48（0.31–0.74）</w:t>
            </w:r>
          </w:p>
        </w:tc>
      </w:tr>
      <w:tr>
        <w:tc>
          <w:tcPr/>
          <w:p>
            <w:pPr>
              <w:pStyle w:val="Compact"/>
              <w:jc w:val="left"/>
            </w:pPr>
            <w:r>
              <w:t xml:space="preserve">非鳞癌（nsq-NSCLC）</w:t>
            </w:r>
          </w:p>
        </w:tc>
        <w:tc>
          <w:tcPr/>
          <w:p>
            <w:pPr>
              <w:pStyle w:val="Compact"/>
              <w:jc w:val="left"/>
            </w:pPr>
            <w:r>
              <w:t xml:space="preserve">108</w:t>
            </w:r>
          </w:p>
        </w:tc>
        <w:tc>
          <w:tcPr/>
          <w:p>
            <w:pPr>
              <w:pStyle w:val="Compact"/>
              <w:jc w:val="left"/>
            </w:pPr>
            <w:r>
              <w:t xml:space="preserve">109</w:t>
            </w:r>
          </w:p>
        </w:tc>
        <w:tc>
          <w:tcPr/>
          <w:p>
            <w:pPr>
              <w:pStyle w:val="Compact"/>
              <w:jc w:val="left"/>
            </w:pPr>
            <w:r>
              <w:t xml:space="preserve">0.54（0.36–0.82）</w:t>
            </w:r>
          </w:p>
        </w:tc>
      </w:tr>
    </w:tbl>
    <w:p>
      <w:pPr>
        <w:pStyle w:val="BodyText"/>
      </w:pPr>
      <w:r>
        <w:t xml:space="preserve">鳞癌与非鳞癌亚组均获益显著，鳞癌亚组的PFS HR为0.48，中位PFS约9.70个月（vs 帕博利珠组约4.00–5.00个月），绝对获益约5.00个月。传统上，抗血管生成药物（如贝伐珠单抗）因出血风险在鳞癌NSCLC中受限，而依沃西作为双抗在鳞癌中展现了优异的疗效和可控的安全性，为鳞癌患者提供了新的治疗选择</w:t>
      </w:r>
      <w:r>
        <w:rPr>
          <w:vertAlign w:val="superscript"/>
        </w:rPr>
        <w:t xml:space="preserve">917</w:t>
      </w:r>
      <w:r>
        <w:t xml:space="preserve">。</w:t>
      </w:r>
    </w:p>
    <w:p>
      <w:pPr>
        <w:pStyle w:val="BodyText"/>
      </w:pPr>
      <w:r>
        <w:rPr>
          <w:bCs/>
          <w:b/>
        </w:rPr>
        <w:t xml:space="preserve">转移状态亚组</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转移状态</w:t>
            </w:r>
          </w:p>
        </w:tc>
        <w:tc>
          <w:tcPr/>
          <w:p>
            <w:pPr>
              <w:pStyle w:val="Compact"/>
              <w:jc w:val="left"/>
            </w:pPr>
            <w:r>
              <w:t xml:space="preserve">PFS HR</w:t>
            </w:r>
          </w:p>
        </w:tc>
      </w:tr>
      <w:tr>
        <w:tc>
          <w:tcPr/>
          <w:p>
            <w:pPr>
              <w:pStyle w:val="Compact"/>
              <w:jc w:val="left"/>
            </w:pPr>
            <w:r>
              <w:t xml:space="preserve">肝转移（Yes）</w:t>
            </w:r>
          </w:p>
        </w:tc>
        <w:tc>
          <w:tcPr/>
          <w:p>
            <w:pPr>
              <w:pStyle w:val="Compact"/>
              <w:jc w:val="left"/>
            </w:pPr>
            <w:r>
              <w:t xml:space="preserve">0.47</w:t>
            </w:r>
          </w:p>
        </w:tc>
      </w:tr>
      <w:tr>
        <w:tc>
          <w:tcPr/>
          <w:p>
            <w:pPr>
              <w:pStyle w:val="Compact"/>
              <w:jc w:val="left"/>
            </w:pPr>
            <w:r>
              <w:t xml:space="preserve">无肝转移（No）</w:t>
            </w:r>
          </w:p>
        </w:tc>
        <w:tc>
          <w:tcPr/>
          <w:p>
            <w:pPr>
              <w:pStyle w:val="Compact"/>
              <w:jc w:val="left"/>
            </w:pPr>
            <w:r>
              <w:t xml:space="preserve">0.53</w:t>
            </w:r>
          </w:p>
        </w:tc>
      </w:tr>
      <w:tr>
        <w:tc>
          <w:tcPr/>
          <w:p>
            <w:pPr>
              <w:pStyle w:val="Compact"/>
              <w:jc w:val="left"/>
            </w:pPr>
            <w:r>
              <w:t xml:space="preserve">脑转移（Yes）</w:t>
            </w:r>
          </w:p>
        </w:tc>
        <w:tc>
          <w:tcPr/>
          <w:p>
            <w:pPr>
              <w:pStyle w:val="Compact"/>
              <w:jc w:val="left"/>
            </w:pPr>
            <w:r>
              <w:t xml:space="preserve">0.55</w:t>
            </w:r>
          </w:p>
        </w:tc>
      </w:tr>
      <w:tr>
        <w:tc>
          <w:tcPr/>
          <w:p>
            <w:pPr>
              <w:pStyle w:val="Compact"/>
              <w:jc w:val="left"/>
            </w:pPr>
            <w:r>
              <w:t xml:space="preserve">无脑转移（No）</w:t>
            </w:r>
          </w:p>
        </w:tc>
        <w:tc>
          <w:tcPr/>
          <w:p>
            <w:pPr>
              <w:pStyle w:val="Compact"/>
              <w:jc w:val="left"/>
            </w:pPr>
            <w:r>
              <w:t xml:space="preserve">0.53</w:t>
            </w:r>
          </w:p>
        </w:tc>
      </w:tr>
    </w:tbl>
    <w:p>
      <w:pPr>
        <w:pStyle w:val="BodyText"/>
      </w:pPr>
      <w:r>
        <w:t xml:space="preserve">依沃西在肝转移和脑转移等难治性亚组中均保持显著获益。肝转移亚组HR=0.47，获益尤为突出，这与VEGF阻断机制相关——肝转移病灶往往伴随高度血管化和免疫抑制微环境，VEGF抑制可改善血管通透性、促进免疫细胞浸润。脑转移亚组中，依沃西也显示了获益趋势（HR=0.55），此前II期研究显示含依沃西方案对未治疗脑转移患者的颅内mPFS可达19.30个月，颅内ORR达39%（含25%完全缓解）</w:t>
      </w:r>
      <w:r>
        <w:rPr>
          <w:vertAlign w:val="superscript"/>
        </w:rPr>
        <w:t xml:space="preserve">918</w:t>
      </w:r>
      <w:r>
        <w:t xml:space="preserve">。</w:t>
      </w:r>
    </w:p>
    <w:bookmarkEnd w:id="63"/>
    <w:bookmarkStart w:id="64" w:name="鳞癌亚组特别关注安全性突破"/>
    <w:p>
      <w:pPr>
        <w:pStyle w:val="Heading3"/>
      </w:pPr>
      <w:r>
        <w:t xml:space="preserve">3.2.6 鳞癌亚组特别关注：安全性突破</w:t>
      </w:r>
    </w:p>
    <w:p>
      <w:pPr>
        <w:pStyle w:val="FirstParagraph"/>
      </w:pPr>
      <w:r>
        <w:t xml:space="preserve">出血风险是抗血管生成药物用于鳞癌的主要顾虑。贝伐珠单抗因严重出血事件被禁用于鳞癌NSCLC。依沃西在HARMONi-2鳞癌亚组中展现了突破性的安全性特征：依沃西组鳞癌患者未发生≥3级出血事件，HARMONi-2中报告的2例≥3级出血事件均发生在非鳞癌患者中</w:t>
      </w:r>
      <w:r>
        <w:rPr>
          <w:vertAlign w:val="superscript"/>
        </w:rPr>
        <w:t xml:space="preserve">91719</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安全性指标</w:t>
            </w:r>
          </w:p>
        </w:tc>
        <w:tc>
          <w:tcPr/>
          <w:p>
            <w:pPr>
              <w:pStyle w:val="Compact"/>
              <w:jc w:val="left"/>
            </w:pPr>
            <w:r>
              <w:t xml:space="preserve">依沃西鳞癌亚组（n=90）</w:t>
            </w:r>
          </w:p>
        </w:tc>
        <w:tc>
          <w:tcPr/>
          <w:p>
            <w:pPr>
              <w:pStyle w:val="Compact"/>
              <w:jc w:val="left"/>
            </w:pPr>
            <w:r>
              <w:t xml:space="preserve">帕博利珠鳞癌亚组（n=91）</w:t>
            </w:r>
          </w:p>
        </w:tc>
      </w:tr>
      <w:tr>
        <w:tc>
          <w:tcPr/>
          <w:p>
            <w:pPr>
              <w:pStyle w:val="Compact"/>
              <w:jc w:val="left"/>
            </w:pPr>
            <w:r>
              <w:t xml:space="preserve">任何级别TRAEs</w:t>
            </w:r>
          </w:p>
        </w:tc>
        <w:tc>
          <w:tcPr/>
          <w:p>
            <w:pPr>
              <w:pStyle w:val="Compact"/>
              <w:jc w:val="left"/>
            </w:pPr>
            <w:r>
              <w:t xml:space="preserve">85.60%</w:t>
            </w:r>
          </w:p>
        </w:tc>
        <w:tc>
          <w:tcPr/>
          <w:p>
            <w:pPr>
              <w:pStyle w:val="Compact"/>
              <w:jc w:val="left"/>
            </w:pPr>
            <w:r>
              <w:t xml:space="preserve">80.20%</w:t>
            </w:r>
          </w:p>
        </w:tc>
      </w:tr>
      <w:tr>
        <w:tc>
          <w:tcPr/>
          <w:p>
            <w:pPr>
              <w:pStyle w:val="Compact"/>
              <w:jc w:val="left"/>
            </w:pPr>
            <w:r>
              <w:t xml:space="preserve">≥3级TRAEs</w:t>
            </w:r>
          </w:p>
        </w:tc>
        <w:tc>
          <w:tcPr/>
          <w:p>
            <w:pPr>
              <w:pStyle w:val="Compact"/>
              <w:jc w:val="left"/>
            </w:pPr>
            <w:r>
              <w:t xml:space="preserve">22.20%</w:t>
            </w:r>
          </w:p>
        </w:tc>
        <w:tc>
          <w:tcPr/>
          <w:p>
            <w:pPr>
              <w:pStyle w:val="Compact"/>
              <w:jc w:val="left"/>
            </w:pPr>
            <w:r>
              <w:t xml:space="preserve">18.70%</w:t>
            </w:r>
          </w:p>
        </w:tc>
      </w:tr>
      <w:tr>
        <w:tc>
          <w:tcPr/>
          <w:p>
            <w:pPr>
              <w:pStyle w:val="Compact"/>
              <w:jc w:val="left"/>
            </w:pPr>
            <w:r>
              <w:t xml:space="preserve">严重TRAEs</w:t>
            </w:r>
          </w:p>
        </w:tc>
        <w:tc>
          <w:tcPr/>
          <w:p>
            <w:pPr>
              <w:pStyle w:val="Compact"/>
              <w:jc w:val="left"/>
            </w:pPr>
            <w:r>
              <w:t xml:space="preserve">18.90%</w:t>
            </w:r>
          </w:p>
        </w:tc>
        <w:tc>
          <w:tcPr/>
          <w:p>
            <w:pPr>
              <w:pStyle w:val="Compact"/>
              <w:jc w:val="left"/>
            </w:pPr>
            <w:r>
              <w:t xml:space="preserve">18.70%</w:t>
            </w:r>
          </w:p>
        </w:tc>
      </w:tr>
      <w:tr>
        <w:tc>
          <w:tcPr/>
          <w:p>
            <w:pPr>
              <w:pStyle w:val="Compact"/>
              <w:jc w:val="left"/>
            </w:pPr>
            <w:r>
              <w:t xml:space="preserve">因TRAE停药</w:t>
            </w:r>
          </w:p>
        </w:tc>
        <w:tc>
          <w:tcPr/>
          <w:p>
            <w:pPr>
              <w:pStyle w:val="Compact"/>
              <w:jc w:val="left"/>
            </w:pPr>
            <w:r>
              <w:t xml:space="preserve">2.20%</w:t>
            </w:r>
          </w:p>
        </w:tc>
        <w:tc>
          <w:tcPr/>
          <w:p>
            <w:pPr>
              <w:pStyle w:val="Compact"/>
              <w:jc w:val="left"/>
            </w:pPr>
            <w:r>
              <w:t xml:space="preserve">3.30%</w:t>
            </w:r>
          </w:p>
        </w:tc>
      </w:tr>
      <w:tr>
        <w:tc>
          <w:tcPr/>
          <w:p>
            <w:pPr>
              <w:pStyle w:val="Compact"/>
              <w:jc w:val="left"/>
            </w:pPr>
            <w:r>
              <w:t xml:space="preserve">≥3级出血事件</w:t>
            </w:r>
          </w:p>
        </w:tc>
        <w:tc>
          <w:tcPr/>
          <w:p>
            <w:pPr>
              <w:pStyle w:val="Compact"/>
              <w:jc w:val="left"/>
            </w:pPr>
            <w:r>
              <w:t xml:space="preserve">0.00%</w:t>
            </w:r>
          </w:p>
        </w:tc>
        <w:tc>
          <w:tcPr/>
          <w:p>
            <w:pPr>
              <w:pStyle w:val="Compact"/>
              <w:jc w:val="left"/>
            </w:pPr>
            <w:r>
              <w:t xml:space="preserve">—</w:t>
            </w:r>
          </w:p>
        </w:tc>
      </w:tr>
    </w:tbl>
    <w:p>
      <w:pPr>
        <w:pStyle w:val="BodyText"/>
      </w:pPr>
      <w:r>
        <w:t xml:space="preserve">这一安全性优势可能归因于依沃西的分子设计：四价协同结合使PD-1组分将抗体锚定于肿瘤微环境，减少系统性VEGF阻断；较短半衰期（6–7天 vs 贝伐珠单抗20天）允许VEGF水平在用药间隔期间恢复；Fc-null设计减少ADCC/ADCP/CDC效应，降低免疫相关毒性</w:t>
      </w:r>
      <w:r>
        <w:rPr>
          <w:vertAlign w:val="superscript"/>
        </w:rPr>
        <w:t xml:space="preserve">1617</w:t>
      </w:r>
      <w:r>
        <w:t xml:space="preserve">。</w:t>
      </w:r>
    </w:p>
    <w:bookmarkEnd w:id="64"/>
    <w:bookmarkStart w:id="65" w:name="生活质量数据去化疗方案的临床价值"/>
    <w:p>
      <w:pPr>
        <w:pStyle w:val="Heading3"/>
      </w:pPr>
      <w:r>
        <w:t xml:space="preserve">3.2.7 生活质量数据：去化疗方案的临床价值</w:t>
      </w:r>
    </w:p>
    <w:p>
      <w:pPr>
        <w:pStyle w:val="FirstParagraph"/>
      </w:pPr>
      <w:r>
        <w:t xml:space="preserve">HARMONi-2的生活质量（HRQoL）分析于2026年3月ELCC大会以海报形式公布，采用QLQ-C30、QLQ-LC13和EQ-5D-5L量表评估</w:t>
      </w:r>
      <w:r>
        <w:rPr>
          <w:vertAlign w:val="superscript"/>
        </w:rPr>
        <w:t xml:space="preserve">2021</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依沃西</w:t>
            </w:r>
          </w:p>
        </w:tc>
        <w:tc>
          <w:tcPr/>
          <w:p>
            <w:pPr>
              <w:pStyle w:val="Compact"/>
              <w:jc w:val="left"/>
            </w:pPr>
            <w:r>
              <w:t xml:space="preserve">帕博利珠</w:t>
            </w:r>
          </w:p>
        </w:tc>
      </w:tr>
      <w:tr>
        <w:tc>
          <w:tcPr/>
          <w:p>
            <w:pPr>
              <w:pStyle w:val="Compact"/>
              <w:jc w:val="left"/>
            </w:pPr>
            <w:r>
              <w:t xml:space="preserve">中位恶化时间（TTD）</w:t>
            </w:r>
          </w:p>
        </w:tc>
        <w:tc>
          <w:tcPr/>
          <w:p>
            <w:pPr>
              <w:pStyle w:val="Compact"/>
              <w:jc w:val="left"/>
            </w:pPr>
            <w:r>
              <w:t xml:space="preserve">未达到</w:t>
            </w:r>
          </w:p>
        </w:tc>
        <w:tc>
          <w:tcPr/>
          <w:p>
            <w:pPr>
              <w:pStyle w:val="Compact"/>
              <w:jc w:val="left"/>
            </w:pPr>
            <w:r>
              <w:t xml:space="preserve">9.90个月</w:t>
            </w:r>
          </w:p>
        </w:tc>
      </w:tr>
      <w:tr>
        <w:tc>
          <w:tcPr/>
          <w:p>
            <w:pPr>
              <w:pStyle w:val="Compact"/>
              <w:jc w:val="left"/>
            </w:pPr>
            <w:r>
              <w:t xml:space="preserve">12个月无恶化率</w:t>
            </w:r>
          </w:p>
        </w:tc>
        <w:tc>
          <w:tcPr/>
          <w:p>
            <w:pPr>
              <w:pStyle w:val="Compact"/>
              <w:jc w:val="left"/>
            </w:pPr>
            <w:r>
              <w:t xml:space="preserve">51.00%</w:t>
            </w:r>
          </w:p>
        </w:tc>
        <w:tc>
          <w:tcPr/>
          <w:p>
            <w:pPr>
              <w:pStyle w:val="Compact"/>
              <w:jc w:val="left"/>
            </w:pPr>
            <w:r>
              <w:t xml:space="preserve">46.00%</w:t>
            </w:r>
          </w:p>
        </w:tc>
      </w:tr>
      <w:tr>
        <w:tc>
          <w:tcPr/>
          <w:p>
            <w:pPr>
              <w:pStyle w:val="Compact"/>
              <w:jc w:val="left"/>
            </w:pPr>
            <w:r>
              <w:t xml:space="preserve">基线GHS/QoL评分</w:t>
            </w:r>
          </w:p>
        </w:tc>
        <w:tc>
          <w:tcPr/>
          <w:p>
            <w:pPr>
              <w:pStyle w:val="Compact"/>
              <w:jc w:val="left"/>
            </w:pPr>
            <w:r>
              <w:t xml:space="preserve">71.80（SD 17.60）</w:t>
            </w:r>
          </w:p>
        </w:tc>
        <w:tc>
          <w:tcPr/>
          <w:p>
            <w:pPr>
              <w:pStyle w:val="Compact"/>
              <w:jc w:val="left"/>
            </w:pPr>
            <w:r>
              <w:t xml:space="preserve">73.60（SD 17.50）</w:t>
            </w:r>
          </w:p>
        </w:tc>
      </w:tr>
      <w:tr>
        <w:tc>
          <w:tcPr/>
          <w:p>
            <w:pPr>
              <w:pStyle w:val="Compact"/>
              <w:jc w:val="left"/>
            </w:pPr>
            <w:r>
              <w:t xml:space="preserve">第12周评分</w:t>
            </w:r>
          </w:p>
        </w:tc>
        <w:tc>
          <w:tcPr/>
          <w:p>
            <w:pPr>
              <w:pStyle w:val="Compact"/>
              <w:jc w:val="left"/>
            </w:pPr>
            <w:r>
              <w:t xml:space="preserve">78.50（SD 15.90）</w:t>
            </w:r>
          </w:p>
        </w:tc>
        <w:tc>
          <w:tcPr/>
          <w:p>
            <w:pPr>
              <w:pStyle w:val="Compact"/>
              <w:jc w:val="left"/>
            </w:pPr>
            <w:r>
              <w:t xml:space="preserve">76.70（SD 16.60）</w:t>
            </w:r>
          </w:p>
        </w:tc>
      </w:tr>
      <w:tr>
        <w:tc>
          <w:tcPr/>
          <w:p>
            <w:pPr>
              <w:pStyle w:val="Compact"/>
              <w:jc w:val="left"/>
            </w:pPr>
            <w:r>
              <w:t xml:space="preserve">第30周评分</w:t>
            </w:r>
          </w:p>
        </w:tc>
        <w:tc>
          <w:tcPr/>
          <w:p>
            <w:pPr>
              <w:pStyle w:val="Compact"/>
              <w:jc w:val="left"/>
            </w:pPr>
            <w:r>
              <w:t xml:space="preserve">78.50（SD 16.00）</w:t>
            </w:r>
          </w:p>
        </w:tc>
        <w:tc>
          <w:tcPr/>
          <w:p>
            <w:pPr>
              <w:pStyle w:val="Compact"/>
              <w:jc w:val="left"/>
            </w:pPr>
            <w:r>
              <w:t xml:space="preserve">76.50（SD 16.90）</w:t>
            </w:r>
          </w:p>
        </w:tc>
      </w:tr>
    </w:tbl>
    <w:p>
      <w:pPr>
        <w:pStyle w:val="BodyText"/>
      </w:pPr>
      <w:r>
        <w:t xml:space="preserve">在无化疗的情况下，依沃西不仅显著延长PFS，还带来了有意义的生活质量改善。依沃西组GHS/QoL评分从基线持续改善并稳定在高水平，而帕博利珠组在第30周略有下降。肺癌症状控制方面，咳嗽中位TTD未达到，第30周从29.90降至19.60；咯血从7.20降至2.90；呼吸困难从17.50降至12.10，显示更优的长期控制趋势。EQ-5D-5L VAS评分从基线81.90提升至第12周84.30，并维持至第30周83.70，健康效用值维持在约0.90（SD 0.10）的高水平</w:t>
      </w:r>
      <w:r>
        <w:rPr>
          <w:vertAlign w:val="superscript"/>
        </w:rPr>
        <w:t xml:space="preserve">2021</w:t>
      </w:r>
      <w:r>
        <w:t xml:space="preserve">。生活质量数据支持依沃西作为”去化疗”一线方案的临床价值：在无化疗负担的情况下，患者获得更长的PFS同时保持甚至改善生活质量。</w:t>
      </w:r>
    </w:p>
    <w:p>
      <w:r>
        <w:pict>
          <v:rect style="width:0;height:1.5pt" o:hralign="center" o:hrstd="t" o:hr="t"/>
        </w:pict>
      </w:r>
    </w:p>
    <w:bookmarkEnd w:id="65"/>
    <w:bookmarkEnd w:id="66"/>
    <w:bookmarkStart w:id="73" w:name="harmoni-6一线鳞状nsclc的pfsos双阳性"/>
    <w:p>
      <w:pPr>
        <w:pStyle w:val="Heading2"/>
      </w:pPr>
      <w:r>
        <w:t xml:space="preserve">3.3 HARMONi-6：一线鳞状NSCLC的PFS+OS双阳性</w:t>
      </w:r>
    </w:p>
    <w:bookmarkStart w:id="67" w:name="研究设计-2"/>
    <w:p>
      <w:pPr>
        <w:pStyle w:val="Heading3"/>
      </w:pPr>
      <w:r>
        <w:t xml:space="preserve">3.3.1 研究设计</w:t>
      </w:r>
    </w:p>
    <w:p>
      <w:pPr>
        <w:pStyle w:val="FirstParagraph"/>
      </w:pPr>
      <w:r>
        <w:t xml:space="preserve">HARMONi-6（AK112-306，NCT05840016）是一项在中国开展的随机、双盲、平行对照III期临床试验，由上海胸科医院陆舜教授担任主要研究者。该研究于2023年8月17日至2025年1月21日期间，在中国多家研究中心共筛选761例患者，最终入组532例（各266例）既往未接受系统治疗的局部晚期（IIIB/IIIC期）或转移性（IV期）鳞状非小细胞肺癌（sq-NSCLC）患者，按1:1比例随机分配至依沃西联合化疗组或替雷利珠单抗联合化疗组</w:t>
      </w:r>
      <w:r>
        <w:rPr>
          <w:vertAlign w:val="superscript"/>
        </w:rPr>
        <w:t xml:space="preserve">1922</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详细内容</w:t>
            </w:r>
          </w:p>
        </w:tc>
      </w:tr>
      <w:tr>
        <w:tc>
          <w:tcPr/>
          <w:p>
            <w:pPr>
              <w:pStyle w:val="Compact"/>
              <w:jc w:val="left"/>
            </w:pPr>
            <w:r>
              <w:t xml:space="preserve">试验类型</w:t>
            </w:r>
          </w:p>
        </w:tc>
        <w:tc>
          <w:tcPr/>
          <w:p>
            <w:pPr>
              <w:pStyle w:val="Compact"/>
              <w:jc w:val="left"/>
            </w:pPr>
            <w:r>
              <w:t xml:space="preserve">随机、双盲、平行对照、III期</w:t>
            </w:r>
          </w:p>
        </w:tc>
      </w:tr>
      <w:tr>
        <w:tc>
          <w:tcPr/>
          <w:p>
            <w:pPr>
              <w:pStyle w:val="Compact"/>
              <w:jc w:val="left"/>
            </w:pPr>
            <w:r>
              <w:t xml:space="preserve">总入组/筛选</w:t>
            </w:r>
          </w:p>
        </w:tc>
        <w:tc>
          <w:tcPr/>
          <w:p>
            <w:pPr>
              <w:pStyle w:val="Compact"/>
              <w:jc w:val="left"/>
            </w:pPr>
            <w:r>
              <w:t xml:space="preserve">532例 / 761例（70.00%入组率）</w:t>
            </w:r>
          </w:p>
        </w:tc>
      </w:tr>
      <w:tr>
        <w:tc>
          <w:tcPr/>
          <w:p>
            <w:pPr>
              <w:pStyle w:val="Compact"/>
              <w:jc w:val="left"/>
            </w:pPr>
            <w:r>
              <w:t xml:space="preserve">随机比例</w:t>
            </w:r>
          </w:p>
        </w:tc>
        <w:tc>
          <w:tcPr/>
          <w:p>
            <w:pPr>
              <w:pStyle w:val="Compact"/>
              <w:jc w:val="left"/>
            </w:pPr>
            <w:r>
              <w:t xml:space="preserve">1:1（各266例）</w:t>
            </w:r>
          </w:p>
        </w:tc>
      </w:tr>
      <w:tr>
        <w:tc>
          <w:tcPr/>
          <w:p>
            <w:pPr>
              <w:pStyle w:val="Compact"/>
              <w:jc w:val="left"/>
            </w:pPr>
            <w:r>
              <w:t xml:space="preserve">试验组</w:t>
            </w:r>
          </w:p>
        </w:tc>
        <w:tc>
          <w:tcPr/>
          <w:p>
            <w:pPr>
              <w:pStyle w:val="Compact"/>
              <w:jc w:val="left"/>
            </w:pPr>
            <w:r>
              <w:t xml:space="preserve">依沃西单抗20 mg/kg + 卡铂AUC 5 + 紫杉醇175 mg/m²，Q3W</w:t>
            </w:r>
          </w:p>
        </w:tc>
      </w:tr>
      <w:tr>
        <w:tc>
          <w:tcPr/>
          <w:p>
            <w:pPr>
              <w:pStyle w:val="Compact"/>
              <w:jc w:val="left"/>
            </w:pPr>
            <w:r>
              <w:t xml:space="preserve">对照组</w:t>
            </w:r>
          </w:p>
        </w:tc>
        <w:tc>
          <w:tcPr/>
          <w:p>
            <w:pPr>
              <w:pStyle w:val="Compact"/>
              <w:jc w:val="left"/>
            </w:pPr>
            <w:r>
              <w:t xml:space="preserve">替雷利珠单抗200 mg + 卡铂AUC 5 + 紫杉醇175 mg/m²，Q3W</w:t>
            </w:r>
          </w:p>
        </w:tc>
      </w:tr>
      <w:tr>
        <w:tc>
          <w:tcPr/>
          <w:p>
            <w:pPr>
              <w:pStyle w:val="Compact"/>
              <w:jc w:val="left"/>
            </w:pPr>
            <w:r>
              <w:t xml:space="preserve">分层因素</w:t>
            </w:r>
          </w:p>
        </w:tc>
        <w:tc>
          <w:tcPr/>
          <w:p>
            <w:pPr>
              <w:pStyle w:val="Compact"/>
              <w:jc w:val="left"/>
            </w:pPr>
            <w:r>
              <w:t xml:space="preserve">疾病分期（IIIB/IIIC vs IV）；PD-L1 TPS（≥1% vs &lt;1%）</w:t>
            </w:r>
          </w:p>
        </w:tc>
      </w:tr>
      <w:tr>
        <w:tc>
          <w:tcPr/>
          <w:p>
            <w:pPr>
              <w:pStyle w:val="Compact"/>
              <w:jc w:val="left"/>
            </w:pPr>
            <w:r>
              <w:t xml:space="preserve">主要终点</w:t>
            </w:r>
          </w:p>
        </w:tc>
        <w:tc>
          <w:tcPr/>
          <w:p>
            <w:pPr>
              <w:pStyle w:val="Compact"/>
              <w:jc w:val="left"/>
            </w:pPr>
            <w:r>
              <w:t xml:space="preserve">BICR评估的PFS</w:t>
            </w:r>
          </w:p>
        </w:tc>
      </w:tr>
      <w:tr>
        <w:tc>
          <w:tcPr/>
          <w:p>
            <w:pPr>
              <w:pStyle w:val="Compact"/>
              <w:jc w:val="left"/>
            </w:pPr>
            <w:r>
              <w:t xml:space="preserve">关键次要终点</w:t>
            </w:r>
          </w:p>
        </w:tc>
        <w:tc>
          <w:tcPr/>
          <w:p>
            <w:pPr>
              <w:pStyle w:val="Compact"/>
              <w:jc w:val="left"/>
            </w:pPr>
            <w:r>
              <w:t xml:space="preserve">OS、ORR、DOR、DCR、安全性</w:t>
            </w:r>
          </w:p>
        </w:tc>
      </w:tr>
      <w:tr>
        <w:tc>
          <w:tcPr/>
          <w:p>
            <w:pPr>
              <w:pStyle w:val="Compact"/>
              <w:jc w:val="left"/>
            </w:pPr>
            <w:r>
              <w:t xml:space="preserve">PFS数据截止</w:t>
            </w:r>
          </w:p>
        </w:tc>
        <w:tc>
          <w:tcPr/>
          <w:p>
            <w:pPr>
              <w:pStyle w:val="Compact"/>
              <w:jc w:val="left"/>
            </w:pPr>
            <w:r>
              <w:t xml:space="preserve">2025年2月28日（中位随访10.30个月）</w:t>
            </w:r>
          </w:p>
        </w:tc>
      </w:tr>
      <w:tr>
        <w:tc>
          <w:tcPr/>
          <w:p>
            <w:pPr>
              <w:pStyle w:val="Compact"/>
              <w:jc w:val="left"/>
            </w:pPr>
            <w:r>
              <w:t xml:space="preserve">OS数据截止</w:t>
            </w:r>
          </w:p>
        </w:tc>
        <w:tc>
          <w:tcPr/>
          <w:p>
            <w:pPr>
              <w:pStyle w:val="Compact"/>
              <w:jc w:val="left"/>
            </w:pPr>
            <w:r>
              <w:t xml:space="preserve">2026年2月27日（中位随访21.40个月）</w:t>
            </w:r>
          </w:p>
        </w:tc>
      </w:tr>
    </w:tbl>
    <w:p>
      <w:pPr>
        <w:pStyle w:val="BodyText"/>
      </w:pPr>
      <w:r>
        <w:t xml:space="preserve">该研究基线特征显示，约63%的患者为中央型鳞癌，31%有咯血史，9%存在肿瘤空洞，18%有大血管包绕，39%为PD-L1 TPS&lt;1%，33.8%存在多部位转移/肝转移/脑转移。这一入组特征反映了真实世界中sq-NSCLC患者的高风险特征，尤其是抗血管生成治疗传统上被视为禁忌的出血高危人群占比极高</w:t>
      </w:r>
      <w:r>
        <w:rPr>
          <w:vertAlign w:val="superscript"/>
        </w:rPr>
        <w:t xml:space="preserve">1923</w:t>
      </w:r>
      <w:r>
        <w:t xml:space="preserve">。</w:t>
      </w:r>
    </w:p>
    <w:bookmarkEnd w:id="67"/>
    <w:bookmarkStart w:id="68" w:name="pfs数据主要终点的阳性达成"/>
    <w:p>
      <w:pPr>
        <w:pStyle w:val="Heading3"/>
      </w:pPr>
      <w:r>
        <w:t xml:space="preserve">3.3.2 PFS数据：主要终点的阳性达成</w:t>
      </w:r>
    </w:p>
    <w:p>
      <w:pPr>
        <w:pStyle w:val="FirstParagraph"/>
      </w:pPr>
      <w:r>
        <w:t xml:space="preserve">HARMONi-6在首次预设期中分析中即达到PFS主要终点，结果具有统计学显著性和临床意义</w:t>
      </w:r>
      <w:r>
        <w:rPr>
          <w:vertAlign w:val="superscript"/>
        </w:rPr>
        <w:t xml:space="preserve">1922</w:t>
      </w:r>
      <w:r>
        <w:t xml:space="preserve">。</w:t>
      </w:r>
    </w:p>
    <w:tbl>
      <w:tblPr>
        <w:tblStyle w:val="Table"/>
        <w:tblW w:type="pct" w:w="5000"/>
        <w:tblLook w:firstRow="1" w:lastRow="0" w:firstColumn="0" w:lastColumn="0" w:noHBand="0" w:noVBand="0" w:val="0020"/>
        <w:jc w:val="start"/>
        <w:tblLayout w:type="fixed"/>
      </w:tblPr>
      <w:tblGrid>
        <w:gridCol w:w="766"/>
        <w:gridCol w:w="2427"/>
        <w:gridCol w:w="2427"/>
        <w:gridCol w:w="1532"/>
        <w:gridCol w:w="766"/>
      </w:tblGrid>
      <w:tr>
        <w:trPr>
          <w:tblHeader w:val="true"/>
        </w:trPr>
        <w:tc>
          <w:tcPr/>
          <w:p>
            <w:pPr>
              <w:pStyle w:val="Compact"/>
              <w:jc w:val="left"/>
            </w:pPr>
            <w:r>
              <w:t xml:space="preserve">指标</w:t>
            </w:r>
          </w:p>
        </w:tc>
        <w:tc>
          <w:tcPr/>
          <w:p>
            <w:pPr>
              <w:pStyle w:val="Compact"/>
              <w:jc w:val="left"/>
            </w:pPr>
            <w:r>
              <w:t xml:space="preserve">依沃西+化疗（n=266）</w:t>
            </w:r>
          </w:p>
        </w:tc>
        <w:tc>
          <w:tcPr/>
          <w:p>
            <w:pPr>
              <w:pStyle w:val="Compact"/>
              <w:jc w:val="left"/>
            </w:pPr>
            <w:r>
              <w:t xml:space="preserve">替雷利珠+化疗（n=266）</w:t>
            </w:r>
          </w:p>
        </w:tc>
        <w:tc>
          <w:tcPr/>
          <w:p>
            <w:pPr>
              <w:pStyle w:val="Compact"/>
              <w:jc w:val="left"/>
            </w:pPr>
            <w:r>
              <w:t xml:space="preserve">HR（95% CI）</w:t>
            </w:r>
          </w:p>
        </w:tc>
        <w:tc>
          <w:tcPr/>
          <w:p>
            <w:pPr>
              <w:pStyle w:val="Compact"/>
              <w:jc w:val="left"/>
            </w:pPr>
            <w:r>
              <w:t xml:space="preserve">P值</w:t>
            </w:r>
          </w:p>
        </w:tc>
      </w:tr>
      <w:tr>
        <w:tc>
          <w:tcPr/>
          <w:p>
            <w:pPr>
              <w:pStyle w:val="Compact"/>
              <w:jc w:val="left"/>
            </w:pPr>
            <w:r>
              <w:t xml:space="preserve">中位PFS（月）</w:t>
            </w:r>
          </w:p>
        </w:tc>
        <w:tc>
          <w:tcPr/>
          <w:p>
            <w:pPr>
              <w:pStyle w:val="Compact"/>
              <w:jc w:val="left"/>
            </w:pPr>
            <w:r>
              <w:t xml:space="preserve">11.10（9.90–NE）</w:t>
            </w:r>
          </w:p>
        </w:tc>
        <w:tc>
          <w:tcPr/>
          <w:p>
            <w:pPr>
              <w:pStyle w:val="Compact"/>
              <w:jc w:val="left"/>
            </w:pPr>
            <w:r>
              <w:t xml:space="preserve">6.90（5.80–8.60）</w:t>
            </w:r>
          </w:p>
        </w:tc>
        <w:tc>
          <w:tcPr/>
          <w:p>
            <w:pPr>
              <w:pStyle w:val="Compact"/>
              <w:jc w:val="left"/>
            </w:pPr>
            <w:r>
              <w:t xml:space="preserve">0.60（0.46–0.78）</w:t>
            </w:r>
          </w:p>
        </w:tc>
        <w:tc>
          <w:tcPr/>
          <w:p>
            <w:pPr>
              <w:pStyle w:val="Compact"/>
              <w:jc w:val="left"/>
            </w:pPr>
            <w:r>
              <w:t xml:space="preserve">&lt;0.0001</w:t>
            </w:r>
          </w:p>
        </w:tc>
      </w:tr>
      <w:tr>
        <w:tc>
          <w:tcPr/>
          <w:p>
            <w:pPr>
              <w:pStyle w:val="Compact"/>
              <w:jc w:val="left"/>
            </w:pPr>
            <w:r>
              <w:t xml:space="preserve">研究者评估mPFS（月）</w:t>
            </w:r>
          </w:p>
        </w:tc>
        <w:tc>
          <w:tcPr/>
          <w:p>
            <w:pPr>
              <w:pStyle w:val="Compact"/>
              <w:jc w:val="left"/>
            </w:pPr>
            <w:r>
              <w:t xml:space="preserve">11.40</w:t>
            </w:r>
          </w:p>
        </w:tc>
        <w:tc>
          <w:tcPr/>
          <w:p>
            <w:pPr>
              <w:pStyle w:val="Compact"/>
              <w:jc w:val="left"/>
            </w:pPr>
            <w:r>
              <w:t xml:space="preserve">6.90</w:t>
            </w:r>
          </w:p>
        </w:tc>
        <w:tc>
          <w:tcPr/>
          <w:p>
            <w:pPr>
              <w:pStyle w:val="Compact"/>
              <w:jc w:val="left"/>
            </w:pPr>
            <w:r>
              <w:t xml:space="preserve">0.64（0.50–0.84）</w:t>
            </w:r>
          </w:p>
        </w:tc>
        <w:tc>
          <w:tcPr/>
          <w:p>
            <w:pPr>
              <w:pStyle w:val="Compact"/>
              <w:jc w:val="left"/>
            </w:pPr>
            <w:r>
              <w:t xml:space="preserve">—</w:t>
            </w:r>
          </w:p>
        </w:tc>
      </w:tr>
      <w:tr>
        <w:tc>
          <w:tcPr/>
          <w:p>
            <w:pPr>
              <w:pStyle w:val="Compact"/>
              <w:jc w:val="left"/>
            </w:pPr>
            <w:r>
              <w:t xml:space="preserve">1年PFS率</w:t>
            </w:r>
          </w:p>
        </w:tc>
        <w:tc>
          <w:tcPr/>
          <w:p>
            <w:pPr>
              <w:pStyle w:val="Compact"/>
              <w:jc w:val="left"/>
            </w:pPr>
            <w:r>
              <w:t xml:space="preserve">~48.00%</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绝对获益</w:t>
            </w:r>
          </w:p>
        </w:tc>
        <w:tc>
          <w:tcPr/>
          <w:p>
            <w:pPr>
              <w:pStyle w:val="Compact"/>
              <w:jc w:val="left"/>
            </w:pPr>
            <w:r>
              <w:t xml:space="preserve">+4.20个月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PFS获益在预设的所有关键亚组中一致倾向于依沃西组。尤为重要的是，PD-L1阴性（TPS&lt;1%）患者的获益幅度甚至大于PD-L1阳性患者（HR 0.55 vs 0.66），提示依沃西的抗血管生成机制可能独立于PD-L1表达发挥协同抗肿瘤作用</w:t>
      </w:r>
      <w:r>
        <w:rPr>
          <w:vertAlign w:val="superscript"/>
        </w:rPr>
        <w:t xml:space="preserve">1924</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亚组</w:t>
            </w:r>
          </w:p>
        </w:tc>
        <w:tc>
          <w:tcPr/>
          <w:p>
            <w:pPr>
              <w:pStyle w:val="Compact"/>
              <w:jc w:val="left"/>
            </w:pPr>
            <w:r>
              <w:t xml:space="preserve">依沃西组mPFS（月）</w:t>
            </w:r>
          </w:p>
        </w:tc>
        <w:tc>
          <w:tcPr/>
          <w:p>
            <w:pPr>
              <w:pStyle w:val="Compact"/>
              <w:jc w:val="left"/>
            </w:pPr>
            <w:r>
              <w:t xml:space="preserve">替雷利珠组mPFS（月）</w:t>
            </w:r>
          </w:p>
        </w:tc>
        <w:tc>
          <w:tcPr/>
          <w:p>
            <w:pPr>
              <w:pStyle w:val="Compact"/>
              <w:jc w:val="left"/>
            </w:pPr>
            <w:r>
              <w:t xml:space="preserve">HR（95% CI）</w:t>
            </w:r>
          </w:p>
        </w:tc>
      </w:tr>
      <w:tr>
        <w:tc>
          <w:tcPr/>
          <w:p>
            <w:pPr>
              <w:pStyle w:val="Compact"/>
              <w:jc w:val="left"/>
            </w:pPr>
            <w:r>
              <w:t xml:space="preserve">PD-L1 TPS &lt;1%</w:t>
            </w:r>
          </w:p>
        </w:tc>
        <w:tc>
          <w:tcPr/>
          <w:p>
            <w:pPr>
              <w:pStyle w:val="Compact"/>
              <w:jc w:val="left"/>
            </w:pPr>
            <w:r>
              <w:t xml:space="preserve">9.90</w:t>
            </w:r>
          </w:p>
        </w:tc>
        <w:tc>
          <w:tcPr/>
          <w:p>
            <w:pPr>
              <w:pStyle w:val="Compact"/>
              <w:jc w:val="left"/>
            </w:pPr>
            <w:r>
              <w:t xml:space="preserve">5.70</w:t>
            </w:r>
          </w:p>
        </w:tc>
        <w:tc>
          <w:tcPr/>
          <w:p>
            <w:pPr>
              <w:pStyle w:val="Compact"/>
              <w:jc w:val="left"/>
            </w:pPr>
            <w:r>
              <w:t xml:space="preserve">0.55</w:t>
            </w:r>
          </w:p>
        </w:tc>
      </w:tr>
      <w:tr>
        <w:tc>
          <w:tcPr/>
          <w:p>
            <w:pPr>
              <w:pStyle w:val="Compact"/>
              <w:jc w:val="left"/>
            </w:pPr>
            <w:r>
              <w:t xml:space="preserve">PD-L1 TPS ≥1%</w:t>
            </w:r>
          </w:p>
        </w:tc>
        <w:tc>
          <w:tcPr/>
          <w:p>
            <w:pPr>
              <w:pStyle w:val="Compact"/>
              <w:jc w:val="left"/>
            </w:pPr>
            <w:r>
              <w:t xml:space="preserve">12.60</w:t>
            </w:r>
          </w:p>
        </w:tc>
        <w:tc>
          <w:tcPr/>
          <w:p>
            <w:pPr>
              <w:pStyle w:val="Compact"/>
              <w:jc w:val="left"/>
            </w:pPr>
            <w:r>
              <w:t xml:space="preserve">8.60</w:t>
            </w:r>
          </w:p>
        </w:tc>
        <w:tc>
          <w:tcPr/>
          <w:p>
            <w:pPr>
              <w:pStyle w:val="Compact"/>
              <w:jc w:val="left"/>
            </w:pPr>
            <w:r>
              <w:t xml:space="preserve">0.66</w:t>
            </w:r>
          </w:p>
        </w:tc>
      </w:tr>
      <w:tr>
        <w:tc>
          <w:tcPr/>
          <w:p>
            <w:pPr>
              <w:pStyle w:val="Compact"/>
              <w:jc w:val="left"/>
            </w:pPr>
            <w:r>
              <w:t xml:space="preserve">中央型鳞癌（~63%）</w:t>
            </w:r>
          </w:p>
        </w:tc>
        <w:tc>
          <w:tcPr/>
          <w:p>
            <w:pPr>
              <w:pStyle w:val="Compact"/>
              <w:jc w:val="left"/>
            </w:pPr>
            <w:r>
              <w:t xml:space="preserve">一致获益</w:t>
            </w:r>
          </w:p>
        </w:tc>
        <w:tc>
          <w:tcPr/>
          <w:p>
            <w:pPr>
              <w:pStyle w:val="Compact"/>
              <w:jc w:val="left"/>
            </w:pPr>
            <w:r>
              <w:t xml:space="preserve">一致获益</w:t>
            </w:r>
          </w:p>
        </w:tc>
        <w:tc>
          <w:tcPr/>
          <w:p>
            <w:pPr>
              <w:pStyle w:val="Compact"/>
              <w:jc w:val="left"/>
            </w:pPr>
            <w:r>
              <w:t xml:space="preserve">一致获益</w:t>
            </w:r>
          </w:p>
        </w:tc>
      </w:tr>
    </w:tbl>
    <w:bookmarkEnd w:id="68"/>
    <w:bookmarkStart w:id="69" w:name="os数据双阳性终点的历史性突破"/>
    <w:p>
      <w:pPr>
        <w:pStyle w:val="Heading3"/>
      </w:pPr>
      <w:r>
        <w:t xml:space="preserve">3.3.3 OS数据：双阳性终点的历史性突破</w:t>
      </w:r>
    </w:p>
    <w:p>
      <w:pPr>
        <w:pStyle w:val="FirstParagraph"/>
      </w:pPr>
      <w:r>
        <w:t xml:space="preserve">ASCO 2026年会上公布的OS期中分析结果显示，依沃西联合化疗组取得具有统计学显著性和临床意义的OS获益，成为全球首个在肺癌领域头对头对比PD-1联合化疗取得PFS和OS双阳性的III期临床研究</w:t>
      </w:r>
      <w:r>
        <w:rPr>
          <w:vertAlign w:val="superscript"/>
        </w:rPr>
        <w:t xml:space="preserve">2526</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替雷利珠+化疗</w:t>
            </w:r>
          </w:p>
        </w:tc>
        <w:tc>
          <w:tcPr/>
          <w:p>
            <w:pPr>
              <w:pStyle w:val="Compact"/>
              <w:jc w:val="left"/>
            </w:pPr>
            <w:r>
              <w:t xml:space="preserve">HR（95% CI）</w:t>
            </w:r>
          </w:p>
        </w:tc>
        <w:tc>
          <w:tcPr/>
          <w:p>
            <w:pPr>
              <w:pStyle w:val="Compact"/>
              <w:jc w:val="left"/>
            </w:pPr>
            <w:r>
              <w:t xml:space="preserve">P值</w:t>
            </w:r>
          </w:p>
        </w:tc>
      </w:tr>
      <w:tr>
        <w:tc>
          <w:tcPr/>
          <w:p>
            <w:pPr>
              <w:pStyle w:val="Compact"/>
              <w:jc w:val="left"/>
            </w:pPr>
            <w:r>
              <w:t xml:space="preserve">中位OS（月）</w:t>
            </w:r>
          </w:p>
        </w:tc>
        <w:tc>
          <w:tcPr/>
          <w:p>
            <w:pPr>
              <w:pStyle w:val="Compact"/>
              <w:jc w:val="left"/>
            </w:pPr>
            <w:r>
              <w:t xml:space="preserve">27.90</w:t>
            </w:r>
          </w:p>
        </w:tc>
        <w:tc>
          <w:tcPr/>
          <w:p>
            <w:pPr>
              <w:pStyle w:val="Compact"/>
              <w:jc w:val="left"/>
            </w:pPr>
            <w:r>
              <w:t xml:space="preserve">23.70</w:t>
            </w:r>
          </w:p>
        </w:tc>
        <w:tc>
          <w:tcPr/>
          <w:p>
            <w:pPr>
              <w:pStyle w:val="Compact"/>
              <w:jc w:val="left"/>
            </w:pPr>
            <w:r>
              <w:t xml:space="preserve">0.66（0.50–0.87）</w:t>
            </w:r>
          </w:p>
        </w:tc>
        <w:tc>
          <w:tcPr/>
          <w:p>
            <w:pPr>
              <w:pStyle w:val="Compact"/>
              <w:jc w:val="left"/>
            </w:pPr>
            <w:r>
              <w:t xml:space="preserve">0.0017</w:t>
            </w:r>
          </w:p>
        </w:tc>
      </w:tr>
      <w:tr>
        <w:tc>
          <w:tcPr/>
          <w:p>
            <w:pPr>
              <w:pStyle w:val="Compact"/>
              <w:jc w:val="left"/>
            </w:pPr>
            <w:r>
              <w:t xml:space="preserve">12个月OS率</w:t>
            </w:r>
          </w:p>
        </w:tc>
        <w:tc>
          <w:tcPr/>
          <w:p>
            <w:pPr>
              <w:pStyle w:val="Compact"/>
              <w:jc w:val="left"/>
            </w:pPr>
            <w:r>
              <w:t xml:space="preserve">78.90%</w:t>
            </w:r>
          </w:p>
        </w:tc>
        <w:tc>
          <w:tcPr/>
          <w:p>
            <w:pPr>
              <w:pStyle w:val="Compact"/>
              <w:jc w:val="left"/>
            </w:pPr>
            <w:r>
              <w:t xml:space="preserve">72.20%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24个月OS率</w:t>
            </w:r>
          </w:p>
        </w:tc>
        <w:tc>
          <w:tcPr/>
          <w:p>
            <w:pPr>
              <w:pStyle w:val="Compact"/>
              <w:jc w:val="left"/>
            </w:pPr>
            <w:r>
              <w:t xml:space="preserve">64.70%</w:t>
            </w:r>
          </w:p>
        </w:tc>
        <w:tc>
          <w:tcPr/>
          <w:p>
            <w:pPr>
              <w:pStyle w:val="Compact"/>
              <w:jc w:val="left"/>
            </w:pPr>
            <w:r>
              <w:t xml:space="preserve">48.60%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死亡风险降低</w:t>
            </w:r>
          </w:p>
        </w:tc>
        <w:tc>
          <w:tcPr/>
          <w:p>
            <w:pPr>
              <w:pStyle w:val="Compact"/>
              <w:jc w:val="left"/>
            </w:pPr>
            <w:r>
              <w:t xml:space="preserve">—</w:t>
            </w:r>
          </w:p>
        </w:tc>
        <w:tc>
          <w:tcPr/>
          <w:p>
            <w:pPr>
              <w:pStyle w:val="Compact"/>
              <w:jc w:val="left"/>
            </w:pPr>
            <w:r>
              <w:t xml:space="preserve">—</w:t>
            </w:r>
          </w:p>
        </w:tc>
        <w:tc>
          <w:tcPr/>
          <w:p>
            <w:pPr>
              <w:pStyle w:val="Compact"/>
              <w:jc w:val="left"/>
            </w:pPr>
            <w:r>
              <w:t xml:space="preserve">34.00%</w:t>
            </w:r>
          </w:p>
        </w:tc>
        <w:tc>
          <w:tcPr/>
          <w:p>
            <w:pPr>
              <w:pStyle w:val="Compact"/>
              <w:jc w:val="left"/>
            </w:pPr>
            <w:r>
              <w:t xml:space="preserve">—</w:t>
            </w:r>
          </w:p>
        </w:tc>
      </w:tr>
      <w:tr>
        <w:tc>
          <w:tcPr/>
          <w:p>
            <w:pPr>
              <w:pStyle w:val="Compact"/>
              <w:jc w:val="left"/>
            </w:pPr>
            <w:r>
              <w:t xml:space="preserve">绝对获益</w:t>
            </w:r>
          </w:p>
        </w:tc>
        <w:tc>
          <w:tcPr/>
          <w:p>
            <w:pPr>
              <w:pStyle w:val="Compact"/>
              <w:jc w:val="left"/>
            </w:pPr>
            <w:r>
              <w:t xml:space="preserve">+4.20个月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中位随访（月）</w:t>
            </w:r>
          </w:p>
        </w:tc>
        <w:tc>
          <w:tcPr/>
          <w:p>
            <w:pPr>
              <w:pStyle w:val="Compact"/>
              <w:jc w:val="left"/>
            </w:pPr>
            <w:r>
              <w:t xml:space="preserve">21.40</w:t>
            </w:r>
          </w:p>
        </w:tc>
        <w:tc>
          <w:tcPr/>
          <w:p>
            <w:pPr>
              <w:pStyle w:val="Compact"/>
              <w:jc w:val="left"/>
            </w:pPr>
            <w:r>
              <w:t xml:space="preserve">21.40</w:t>
            </w:r>
          </w:p>
        </w:tc>
        <w:tc>
          <w:tcPr/>
          <w:p>
            <w:pPr>
              <w:pStyle w:val="Compact"/>
              <w:jc w:val="left"/>
            </w:pPr>
            <w:r>
              <w:t xml:space="preserve">—</w:t>
            </w:r>
          </w:p>
        </w:tc>
        <w:tc>
          <w:tcPr/>
          <w:p>
            <w:pPr>
              <w:pStyle w:val="Compact"/>
              <w:jc w:val="left"/>
            </w:pPr>
            <w:r>
              <w:t xml:space="preserve">—</w:t>
            </w:r>
          </w:p>
        </w:tc>
      </w:tr>
    </w:tbl>
    <w:p>
      <w:pPr>
        <w:pStyle w:val="BodyText"/>
      </w:pPr>
      <w:r>
        <w:t xml:space="preserve">OS获益在各预设亚组中方向一致。该分析跨越了预设的疗效边界（P&lt;0.0049），且24个月OS率差距持续扩大（64.70% vs 48.60%），差异16.10个百分点，提示依沃西方案具有持续的”长拖尾”免疫效应。HARMONi-6是首个在一线NSCLC中证明PFS获益能转化为OS显著获益的头对头研究，打破了NSCLC免疫治疗中”PFS-OS disconnect”的历史顾虑</w:t>
      </w:r>
      <w:r>
        <w:rPr>
          <w:vertAlign w:val="superscript"/>
        </w:rPr>
        <w:t xml:space="preserve">2526</w:t>
      </w:r>
      <w:r>
        <w:t xml:space="preserve">。</w:t>
      </w:r>
    </w:p>
    <w:bookmarkEnd w:id="69"/>
    <w:bookmarkStart w:id="70" w:name="orrdcr与dor更深更持久的缓解"/>
    <w:p>
      <w:pPr>
        <w:pStyle w:val="Heading3"/>
      </w:pPr>
      <w:r>
        <w:t xml:space="preserve">3.3.4 ORR、DCR与DoR：更深更持久的缓解</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替雷利珠+化疗</w:t>
            </w:r>
          </w:p>
        </w:tc>
        <w:tc>
          <w:tcPr/>
          <w:p>
            <w:pPr>
              <w:pStyle w:val="Compact"/>
              <w:jc w:val="left"/>
            </w:pPr>
            <w:r>
              <w:t xml:space="preserve">P值</w:t>
            </w:r>
          </w:p>
        </w:tc>
      </w:tr>
      <w:tr>
        <w:tc>
          <w:tcPr/>
          <w:p>
            <w:pPr>
              <w:pStyle w:val="Compact"/>
              <w:jc w:val="left"/>
            </w:pPr>
            <w:r>
              <w:t xml:space="preserve">ORR</w:t>
            </w:r>
          </w:p>
        </w:tc>
        <w:tc>
          <w:tcPr/>
          <w:p>
            <w:pPr>
              <w:pStyle w:val="Compact"/>
              <w:jc w:val="left"/>
            </w:pPr>
            <w:r>
              <w:t xml:space="preserve">75.90%</w:t>
            </w:r>
          </w:p>
        </w:tc>
        <w:tc>
          <w:tcPr/>
          <w:p>
            <w:pPr>
              <w:pStyle w:val="Compact"/>
              <w:jc w:val="left"/>
            </w:pPr>
            <w:r>
              <w:t xml:space="preserve">66.50%</w:t>
            </w:r>
          </w:p>
        </w:tc>
        <w:tc>
          <w:tcPr/>
          <w:p>
            <w:pPr>
              <w:pStyle w:val="Compact"/>
              <w:jc w:val="left"/>
            </w:pPr>
            <w:r>
              <w:t xml:space="preserve">0.008</w:t>
            </w:r>
          </w:p>
        </w:tc>
      </w:tr>
      <w:tr>
        <w:tc>
          <w:tcPr/>
          <w:p>
            <w:pPr>
              <w:pStyle w:val="Compact"/>
              <w:jc w:val="left"/>
            </w:pPr>
            <w:r>
              <w:t xml:space="preserve">PD-L1 TPS≥1% ORR</w:t>
            </w:r>
          </w:p>
        </w:tc>
        <w:tc>
          <w:tcPr/>
          <w:p>
            <w:pPr>
              <w:pStyle w:val="Compact"/>
              <w:jc w:val="left"/>
            </w:pPr>
            <w:r>
              <w:t xml:space="preserve">80.10%</w:t>
            </w:r>
          </w:p>
        </w:tc>
        <w:tc>
          <w:tcPr/>
          <w:p>
            <w:pPr>
              <w:pStyle w:val="Compact"/>
              <w:jc w:val="left"/>
            </w:pPr>
            <w:r>
              <w:t xml:space="preserve">70.20%</w:t>
            </w:r>
          </w:p>
        </w:tc>
        <w:tc>
          <w:tcPr/>
          <w:p>
            <w:pPr>
              <w:pStyle w:val="Compact"/>
              <w:jc w:val="left"/>
            </w:pPr>
            <w:r>
              <w:t xml:space="preserve">—</w:t>
            </w:r>
          </w:p>
        </w:tc>
      </w:tr>
      <w:tr>
        <w:tc>
          <w:tcPr/>
          <w:p>
            <w:pPr>
              <w:pStyle w:val="Compact"/>
              <w:jc w:val="left"/>
            </w:pPr>
            <w:r>
              <w:t xml:space="preserve">中位DOR（月）</w:t>
            </w:r>
          </w:p>
        </w:tc>
        <w:tc>
          <w:tcPr/>
          <w:p>
            <w:pPr>
              <w:pStyle w:val="Compact"/>
              <w:jc w:val="left"/>
            </w:pPr>
            <w:r>
              <w:t xml:space="preserve">11.20</w:t>
            </w:r>
          </w:p>
        </w:tc>
        <w:tc>
          <w:tcPr/>
          <w:p>
            <w:pPr>
              <w:pStyle w:val="Compact"/>
              <w:jc w:val="left"/>
            </w:pPr>
            <w:r>
              <w:t xml:space="preserve">8.40</w:t>
            </w:r>
          </w:p>
        </w:tc>
        <w:tc>
          <w:tcPr/>
          <w:p>
            <w:pPr>
              <w:pStyle w:val="Compact"/>
              <w:jc w:val="left"/>
            </w:pPr>
            <w:r>
              <w:t xml:space="preserve">0.0219</w:t>
            </w:r>
          </w:p>
        </w:tc>
      </w:tr>
      <w:tr>
        <w:tc>
          <w:tcPr/>
          <w:p>
            <w:pPr>
              <w:pStyle w:val="Compact"/>
              <w:jc w:val="left"/>
            </w:pPr>
            <w:r>
              <w:t xml:space="preserve">DCR</w:t>
            </w:r>
          </w:p>
        </w:tc>
        <w:tc>
          <w:tcPr/>
          <w:p>
            <w:pPr>
              <w:pStyle w:val="Compact"/>
              <w:jc w:val="left"/>
            </w:pPr>
            <w:r>
              <w:t xml:space="preserve">~95.00%</w:t>
            </w:r>
          </w:p>
        </w:tc>
        <w:tc>
          <w:tcPr/>
          <w:p>
            <w:pPr>
              <w:pStyle w:val="Compact"/>
              <w:jc w:val="left"/>
            </w:pPr>
            <w:r>
              <w:t xml:space="preserve">~90.00%</w:t>
            </w:r>
          </w:p>
        </w:tc>
        <w:tc>
          <w:tcPr/>
          <w:p>
            <w:pPr>
              <w:pStyle w:val="Compact"/>
              <w:jc w:val="left"/>
            </w:pPr>
            <w:r>
              <w:t xml:space="preserve">—</w:t>
            </w:r>
          </w:p>
        </w:tc>
      </w:tr>
      <w:tr>
        <w:tc>
          <w:tcPr/>
          <w:p>
            <w:pPr>
              <w:pStyle w:val="Compact"/>
              <w:jc w:val="left"/>
            </w:pPr>
            <w:r>
              <w:t xml:space="preserve">ORR绝对提升</w:t>
            </w:r>
          </w:p>
        </w:tc>
        <w:tc>
          <w:tcPr/>
          <w:p>
            <w:pPr>
              <w:pStyle w:val="Compact"/>
              <w:jc w:val="left"/>
            </w:pPr>
            <w:r>
              <w:t xml:space="preserve">+9.40个百分点</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DOR绝对延长</w:t>
            </w:r>
          </w:p>
        </w:tc>
        <w:tc>
          <w:tcPr/>
          <w:p>
            <w:pPr>
              <w:pStyle w:val="Compact"/>
              <w:jc w:val="left"/>
            </w:pPr>
            <w:r>
              <w:t xml:space="preserve">+2.80个月</w:t>
            </w:r>
          </w:p>
        </w:tc>
        <w:tc>
          <w:tcPr/>
          <w:p>
            <w:pPr>
              <w:pStyle w:val="Compact"/>
              <w:jc w:val="left"/>
            </w:pPr>
            <w:r>
              <w:t xml:space="preserve">—</w:t>
            </w:r>
          </w:p>
        </w:tc>
        <w:tc>
          <w:tcPr/>
          <w:p>
            <w:pPr>
              <w:pStyle w:val="Compact"/>
              <w:jc w:val="left"/>
            </w:pPr>
            <w:r>
              <w:t xml:space="preserve">—</w:t>
            </w:r>
          </w:p>
        </w:tc>
      </w:tr>
    </w:tbl>
    <w:p>
      <w:pPr>
        <w:pStyle w:val="BodyText"/>
      </w:pPr>
      <w:r>
        <w:t xml:space="preserve">依沃西组不仅客观缓解率更高，而且缓解持续时间显著更长（11.20 vs 8.40个月），这与PFS和OS的获益模式一致，提示依沃西诱导的肿瘤反应具有更深度和更持久的特征。在一线sq-NSCLC中实现75.90%的ORR和11.20个月的中位DOR，这一数据在鳞癌领域具有里程碑意义</w:t>
      </w:r>
      <w:r>
        <w:rPr>
          <w:vertAlign w:val="superscript"/>
        </w:rPr>
        <w:t xml:space="preserve">1927</w:t>
      </w:r>
      <w:r>
        <w:t xml:space="preserve">。</w:t>
      </w:r>
    </w:p>
    <w:bookmarkEnd w:id="70"/>
    <w:bookmarkStart w:id="71" w:name="pd-l1亚组全表达谱获益"/>
    <w:p>
      <w:pPr>
        <w:pStyle w:val="Heading3"/>
      </w:pPr>
      <w:r>
        <w:t xml:space="preserve">3.3.5 PD-L1亚组：全表达谱获益</w:t>
      </w:r>
    </w:p>
    <w:tbl>
      <w:tblPr>
        <w:tblStyle w:val="Table"/>
        <w:tblW w:type="pct" w:w="5000"/>
        <w:tblLook w:firstRow="1" w:lastRow="0" w:firstColumn="0" w:lastColumn="0" w:noHBand="0" w:noVBand="0" w:val="0020"/>
        <w:jc w:val="start"/>
        <w:tblLayout w:type="fixed"/>
      </w:tblPr>
      <w:tblGrid>
        <w:gridCol w:w="1200"/>
        <w:gridCol w:w="2280"/>
        <w:gridCol w:w="2280"/>
        <w:gridCol w:w="960"/>
        <w:gridCol w:w="1200"/>
      </w:tblGrid>
      <w:tr>
        <w:trPr>
          <w:tblHeader w:val="true"/>
        </w:trPr>
        <w:tc>
          <w:tcPr/>
          <w:p>
            <w:pPr>
              <w:pStyle w:val="Compact"/>
              <w:jc w:val="left"/>
            </w:pPr>
            <w:r>
              <w:t xml:space="preserve">PD-L1亚组</w:t>
            </w:r>
          </w:p>
        </w:tc>
        <w:tc>
          <w:tcPr/>
          <w:p>
            <w:pPr>
              <w:pStyle w:val="Compact"/>
              <w:jc w:val="left"/>
            </w:pPr>
            <w:r>
              <w:t xml:space="preserve">依沃西组mPFS（月）</w:t>
            </w:r>
          </w:p>
        </w:tc>
        <w:tc>
          <w:tcPr/>
          <w:p>
            <w:pPr>
              <w:pStyle w:val="Compact"/>
              <w:jc w:val="left"/>
            </w:pPr>
            <w:r>
              <w:t xml:space="preserve">替雷利珠组mPFS（月）</w:t>
            </w:r>
          </w:p>
        </w:tc>
        <w:tc>
          <w:tcPr/>
          <w:p>
            <w:pPr>
              <w:pStyle w:val="Compact"/>
              <w:jc w:val="left"/>
            </w:pPr>
            <w:r>
              <w:t xml:space="preserve">PFS HR</w:t>
            </w:r>
          </w:p>
        </w:tc>
        <w:tc>
          <w:tcPr/>
          <w:p>
            <w:pPr>
              <w:pStyle w:val="Compact"/>
              <w:jc w:val="left"/>
            </w:pPr>
            <w:r>
              <w:t xml:space="preserve">OS获益方向</w:t>
            </w:r>
          </w:p>
        </w:tc>
      </w:tr>
      <w:tr>
        <w:tc>
          <w:tcPr/>
          <w:p>
            <w:pPr>
              <w:pStyle w:val="Compact"/>
              <w:jc w:val="left"/>
            </w:pPr>
            <w:r>
              <w:t xml:space="preserve">TPS &lt;1%（阴性）</w:t>
            </w:r>
          </w:p>
        </w:tc>
        <w:tc>
          <w:tcPr/>
          <w:p>
            <w:pPr>
              <w:pStyle w:val="Compact"/>
              <w:jc w:val="left"/>
            </w:pPr>
            <w:r>
              <w:t xml:space="preserve">9.90</w:t>
            </w:r>
          </w:p>
        </w:tc>
        <w:tc>
          <w:tcPr/>
          <w:p>
            <w:pPr>
              <w:pStyle w:val="Compact"/>
              <w:jc w:val="left"/>
            </w:pPr>
            <w:r>
              <w:t xml:space="preserve">5.70</w:t>
            </w:r>
          </w:p>
        </w:tc>
        <w:tc>
          <w:tcPr/>
          <w:p>
            <w:pPr>
              <w:pStyle w:val="Compact"/>
              <w:jc w:val="left"/>
            </w:pPr>
            <w:r>
              <w:t xml:space="preserve">0.55</w:t>
            </w:r>
          </w:p>
        </w:tc>
        <w:tc>
          <w:tcPr/>
          <w:p>
            <w:pPr>
              <w:pStyle w:val="Compact"/>
              <w:jc w:val="left"/>
            </w:pPr>
            <w:r>
              <w:t xml:space="preserve">一致获益</w:t>
            </w:r>
          </w:p>
        </w:tc>
      </w:tr>
      <w:tr>
        <w:tc>
          <w:tcPr/>
          <w:p>
            <w:pPr>
              <w:pStyle w:val="Compact"/>
              <w:jc w:val="left"/>
            </w:pPr>
            <w:r>
              <w:t xml:space="preserve">TPS ≥1%（阳性）</w:t>
            </w:r>
          </w:p>
        </w:tc>
        <w:tc>
          <w:tcPr/>
          <w:p>
            <w:pPr>
              <w:pStyle w:val="Compact"/>
              <w:jc w:val="left"/>
            </w:pPr>
            <w:r>
              <w:t xml:space="preserve">12.60</w:t>
            </w:r>
          </w:p>
        </w:tc>
        <w:tc>
          <w:tcPr/>
          <w:p>
            <w:pPr>
              <w:pStyle w:val="Compact"/>
              <w:jc w:val="left"/>
            </w:pPr>
            <w:r>
              <w:t xml:space="preserve">8.60</w:t>
            </w:r>
          </w:p>
        </w:tc>
        <w:tc>
          <w:tcPr/>
          <w:p>
            <w:pPr>
              <w:pStyle w:val="Compact"/>
              <w:jc w:val="left"/>
            </w:pPr>
            <w:r>
              <w:t xml:space="preserve">0.66</w:t>
            </w:r>
          </w:p>
        </w:tc>
        <w:tc>
          <w:tcPr/>
          <w:p>
            <w:pPr>
              <w:pStyle w:val="Compact"/>
              <w:jc w:val="left"/>
            </w:pPr>
            <w:r>
              <w:t xml:space="preserve">一致获益</w:t>
            </w:r>
          </w:p>
        </w:tc>
      </w:tr>
      <w:tr>
        <w:tc>
          <w:tcPr/>
          <w:p>
            <w:pPr>
              <w:pStyle w:val="Compact"/>
              <w:jc w:val="left"/>
            </w:pPr>
            <w:r>
              <w:t xml:space="preserve">TPS 1-49%</w:t>
            </w:r>
          </w:p>
        </w:tc>
        <w:tc>
          <w:tcPr/>
          <w:p>
            <w:pPr>
              <w:pStyle w:val="Compact"/>
              <w:jc w:val="left"/>
            </w:pPr>
            <w:r>
              <w:t xml:space="preserve">—</w:t>
            </w:r>
          </w:p>
        </w:tc>
        <w:tc>
          <w:tcPr/>
          <w:p>
            <w:pPr>
              <w:pStyle w:val="Compact"/>
              <w:jc w:val="left"/>
            </w:pPr>
            <w:r>
              <w:t xml:space="preserve">—</w:t>
            </w:r>
          </w:p>
        </w:tc>
        <w:tc>
          <w:tcPr/>
          <w:p>
            <w:pPr>
              <w:pStyle w:val="Compact"/>
              <w:jc w:val="left"/>
            </w:pPr>
            <w:r>
              <w:t xml:space="preserve">0.67</w:t>
            </w:r>
          </w:p>
        </w:tc>
        <w:tc>
          <w:tcPr/>
          <w:p>
            <w:pPr>
              <w:pStyle w:val="Compact"/>
              <w:jc w:val="left"/>
            </w:pPr>
            <w:r>
              <w:t xml:space="preserve">一致获益</w:t>
            </w:r>
          </w:p>
        </w:tc>
      </w:tr>
      <w:tr>
        <w:tc>
          <w:tcPr/>
          <w:p>
            <w:pPr>
              <w:pStyle w:val="Compact"/>
              <w:jc w:val="left"/>
            </w:pPr>
            <w:r>
              <w:t xml:space="preserve">TPS≥50%</w:t>
            </w:r>
          </w:p>
        </w:tc>
        <w:tc>
          <w:tcPr/>
          <w:p>
            <w:pPr>
              <w:pStyle w:val="Compact"/>
              <w:jc w:val="left"/>
            </w:pPr>
            <w:r>
              <w:t xml:space="preserve">—</w:t>
            </w:r>
          </w:p>
        </w:tc>
        <w:tc>
          <w:tcPr/>
          <w:p>
            <w:pPr>
              <w:pStyle w:val="Compact"/>
              <w:jc w:val="left"/>
            </w:pPr>
            <w:r>
              <w:t xml:space="preserve">—</w:t>
            </w:r>
          </w:p>
        </w:tc>
        <w:tc>
          <w:tcPr/>
          <w:p>
            <w:pPr>
              <w:pStyle w:val="Compact"/>
              <w:jc w:val="left"/>
            </w:pPr>
            <w:r>
              <w:t xml:space="preserve">0.64</w:t>
            </w:r>
          </w:p>
        </w:tc>
        <w:tc>
          <w:tcPr/>
          <w:p>
            <w:pPr>
              <w:pStyle w:val="Compact"/>
              <w:jc w:val="left"/>
            </w:pPr>
            <w:r>
              <w:t xml:space="preserve">一致获益</w:t>
            </w:r>
          </w:p>
        </w:tc>
      </w:tr>
    </w:tbl>
    <w:p>
      <w:pPr>
        <w:pStyle w:val="BodyText"/>
      </w:pPr>
      <w:r>
        <w:t xml:space="preserve">各PD-L1亚组表现一致：无论PD-L1表达水平（TPS&lt;1% HR=0.55，TPS≥1% HR=0.66，TPS 1-49% HR=0.67，TPS≥50% HR=0.64），无论是否伴肝转移，依沃西联合化疗均显著获益。PD-L1阴性人群的获益幅度甚至大于阳性人群（PFS HR 0.55 vs 0.66），这一发现对临床实践具有重要指导意义：即使在PD-L1阴性（传统上免疫治疗获益有限）的sq-NSCLC患者中，依沃西依然能够显著改善预后，这主要归因于VEGF阻断机制不依赖PD-L1表达通路</w:t>
      </w:r>
      <w:r>
        <w:rPr>
          <w:vertAlign w:val="superscript"/>
        </w:rPr>
        <w:t xml:space="preserve">1924</w:t>
      </w:r>
      <w:r>
        <w:t xml:space="preserve">。</w:t>
      </w:r>
    </w:p>
    <w:bookmarkEnd w:id="71"/>
    <w:bookmarkStart w:id="72" w:name="安全性在高危人群中的突破性表现"/>
    <w:p>
      <w:pPr>
        <w:pStyle w:val="Heading3"/>
      </w:pPr>
      <w:r>
        <w:t xml:space="preserve">3.3.6 安全性在高危人群中的突破性表现</w:t>
      </w:r>
    </w:p>
    <w:p>
      <w:pPr>
        <w:pStyle w:val="FirstParagraph"/>
      </w:pPr>
      <w:r>
        <w:t xml:space="preserve">HARMONi-6的安全性数据在鳞癌高危出血人群中具有突破性意义。传统抗血管生成药物（如贝伐珠单抗）因鳞癌患者出血风险高而被禁用于sq-NSCLC。依沃西在63%中央型鳞癌、31%有咯血史、9%肿瘤空洞、18%大血管包绕的高危人群中，展示了可控的安全性特征</w:t>
      </w:r>
      <w:r>
        <w:rPr>
          <w:vertAlign w:val="superscript"/>
        </w:rPr>
        <w:t xml:space="preserve">192328</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安全性指标</w:t>
            </w:r>
          </w:p>
        </w:tc>
        <w:tc>
          <w:tcPr/>
          <w:p>
            <w:pPr>
              <w:pStyle w:val="Compact"/>
              <w:jc w:val="left"/>
            </w:pPr>
            <w:r>
              <w:t xml:space="preserve">依沃西+化疗（n=266）</w:t>
            </w:r>
          </w:p>
        </w:tc>
        <w:tc>
          <w:tcPr/>
          <w:p>
            <w:pPr>
              <w:pStyle w:val="Compact"/>
              <w:jc w:val="left"/>
            </w:pPr>
            <w:r>
              <w:t xml:space="preserve">替雷利珠+化疗（n=266）</w:t>
            </w:r>
          </w:p>
        </w:tc>
      </w:tr>
      <w:tr>
        <w:tc>
          <w:tcPr/>
          <w:p>
            <w:pPr>
              <w:pStyle w:val="Compact"/>
              <w:jc w:val="left"/>
            </w:pPr>
            <w:r>
              <w:t xml:space="preserve">任何级别TRAE</w:t>
            </w:r>
          </w:p>
        </w:tc>
        <w:tc>
          <w:tcPr/>
          <w:p>
            <w:pPr>
              <w:pStyle w:val="Compact"/>
              <w:jc w:val="left"/>
            </w:pPr>
            <w:r>
              <w:t xml:space="preserve">99.20%</w:t>
            </w:r>
          </w:p>
        </w:tc>
        <w:tc>
          <w:tcPr/>
          <w:p>
            <w:pPr>
              <w:pStyle w:val="Compact"/>
              <w:jc w:val="left"/>
            </w:pPr>
            <w:r>
              <w:t xml:space="preserve">99.20%</w:t>
            </w:r>
          </w:p>
        </w:tc>
      </w:tr>
      <w:tr>
        <w:tc>
          <w:tcPr/>
          <w:p>
            <w:pPr>
              <w:pStyle w:val="Compact"/>
              <w:jc w:val="left"/>
            </w:pPr>
            <w:r>
              <w:t xml:space="preserve">≥3级TRAE</w:t>
            </w:r>
          </w:p>
        </w:tc>
        <w:tc>
          <w:tcPr/>
          <w:p>
            <w:pPr>
              <w:pStyle w:val="Compact"/>
              <w:jc w:val="left"/>
            </w:pPr>
            <w:r>
              <w:t xml:space="preserve">69.20%</w:t>
            </w:r>
          </w:p>
        </w:tc>
        <w:tc>
          <w:tcPr/>
          <w:p>
            <w:pPr>
              <w:pStyle w:val="Compact"/>
              <w:jc w:val="left"/>
            </w:pPr>
            <w:r>
              <w:t xml:space="preserve">58.90%</w:t>
            </w:r>
          </w:p>
        </w:tc>
      </w:tr>
      <w:tr>
        <w:tc>
          <w:tcPr/>
          <w:p>
            <w:pPr>
              <w:pStyle w:val="Compact"/>
              <w:jc w:val="left"/>
            </w:pPr>
            <w:r>
              <w:t xml:space="preserve">严重TRAE</w:t>
            </w:r>
          </w:p>
        </w:tc>
        <w:tc>
          <w:tcPr/>
          <w:p>
            <w:pPr>
              <w:pStyle w:val="Compact"/>
              <w:jc w:val="left"/>
            </w:pPr>
            <w:r>
              <w:t xml:space="preserve">41.40%</w:t>
            </w:r>
          </w:p>
        </w:tc>
        <w:tc>
          <w:tcPr/>
          <w:p>
            <w:pPr>
              <w:pStyle w:val="Compact"/>
              <w:jc w:val="left"/>
            </w:pPr>
            <w:r>
              <w:t xml:space="preserve">34.30%</w:t>
            </w:r>
          </w:p>
        </w:tc>
      </w:tr>
      <w:tr>
        <w:tc>
          <w:tcPr/>
          <w:p>
            <w:pPr>
              <w:pStyle w:val="Compact"/>
              <w:jc w:val="left"/>
            </w:pPr>
            <w:r>
              <w:t xml:space="preserve">TRAE导致停药</w:t>
            </w:r>
          </w:p>
        </w:tc>
        <w:tc>
          <w:tcPr/>
          <w:p>
            <w:pPr>
              <w:pStyle w:val="Compact"/>
              <w:jc w:val="left"/>
            </w:pPr>
            <w:r>
              <w:t xml:space="preserve">5.30%</w:t>
            </w:r>
          </w:p>
        </w:tc>
        <w:tc>
          <w:tcPr/>
          <w:p>
            <w:pPr>
              <w:pStyle w:val="Compact"/>
              <w:jc w:val="left"/>
            </w:pPr>
            <w:r>
              <w:t xml:space="preserve">4.50%</w:t>
            </w:r>
          </w:p>
        </w:tc>
      </w:tr>
      <w:tr>
        <w:tc>
          <w:tcPr/>
          <w:p>
            <w:pPr>
              <w:pStyle w:val="Compact"/>
              <w:jc w:val="left"/>
            </w:pPr>
            <w:r>
              <w:t xml:space="preserve">TRAE导致死亡</w:t>
            </w:r>
          </w:p>
        </w:tc>
        <w:tc>
          <w:tcPr/>
          <w:p>
            <w:pPr>
              <w:pStyle w:val="Compact"/>
              <w:jc w:val="left"/>
            </w:pPr>
            <w:r>
              <w:t xml:space="preserve">3.80%</w:t>
            </w:r>
          </w:p>
        </w:tc>
        <w:tc>
          <w:tcPr/>
          <w:p>
            <w:pPr>
              <w:pStyle w:val="Compact"/>
              <w:jc w:val="left"/>
            </w:pPr>
            <w:r>
              <w:t xml:space="preserve">4.20%</w:t>
            </w:r>
          </w:p>
        </w:tc>
      </w:tr>
      <w:tr>
        <w:tc>
          <w:tcPr/>
          <w:p>
            <w:pPr>
              <w:pStyle w:val="Compact"/>
              <w:jc w:val="left"/>
            </w:pPr>
            <w:r>
              <w:t xml:space="preserve">≥3级免疫相关AE</w:t>
            </w:r>
          </w:p>
        </w:tc>
        <w:tc>
          <w:tcPr/>
          <w:p>
            <w:pPr>
              <w:pStyle w:val="Compact"/>
              <w:jc w:val="left"/>
            </w:pPr>
            <w:r>
              <w:t xml:space="preserve">14.00%</w:t>
            </w:r>
          </w:p>
        </w:tc>
        <w:tc>
          <w:tcPr/>
          <w:p>
            <w:pPr>
              <w:pStyle w:val="Compact"/>
              <w:jc w:val="left"/>
            </w:pPr>
            <w:r>
              <w:t xml:space="preserve">14.00%</w:t>
            </w:r>
          </w:p>
        </w:tc>
      </w:tr>
      <w:tr>
        <w:tc>
          <w:tcPr/>
          <w:p>
            <w:pPr>
              <w:pStyle w:val="Compact"/>
              <w:jc w:val="left"/>
            </w:pPr>
            <w:r>
              <w:t xml:space="preserve">≥3级出血</w:t>
            </w:r>
          </w:p>
        </w:tc>
        <w:tc>
          <w:tcPr/>
          <w:p>
            <w:pPr>
              <w:pStyle w:val="Compact"/>
              <w:jc w:val="left"/>
            </w:pPr>
            <w:r>
              <w:t xml:space="preserve">2.60%</w:t>
            </w:r>
          </w:p>
        </w:tc>
        <w:tc>
          <w:tcPr/>
          <w:p>
            <w:pPr>
              <w:pStyle w:val="Compact"/>
              <w:jc w:val="left"/>
            </w:pPr>
            <w:r>
              <w:t xml:space="preserve">0.80%</w:t>
            </w:r>
          </w:p>
        </w:tc>
      </w:tr>
      <w:tr>
        <w:tc>
          <w:tcPr/>
          <w:p>
            <w:pPr>
              <w:pStyle w:val="Compact"/>
              <w:jc w:val="left"/>
            </w:pPr>
            <w:r>
              <w:t xml:space="preserve">蛋白尿（所有级别）</w:t>
            </w:r>
          </w:p>
        </w:tc>
        <w:tc>
          <w:tcPr/>
          <w:p>
            <w:pPr>
              <w:pStyle w:val="Compact"/>
              <w:jc w:val="left"/>
            </w:pPr>
            <w:r>
              <w:t xml:space="preserve">42.50%</w:t>
            </w:r>
          </w:p>
        </w:tc>
        <w:tc>
          <w:tcPr/>
          <w:p>
            <w:pPr>
              <w:pStyle w:val="Compact"/>
              <w:jc w:val="left"/>
            </w:pPr>
            <w:r>
              <w:t xml:space="preserve">12.80%</w:t>
            </w:r>
          </w:p>
        </w:tc>
      </w:tr>
      <w:tr>
        <w:tc>
          <w:tcPr/>
          <w:p>
            <w:pPr>
              <w:pStyle w:val="Compact"/>
              <w:jc w:val="left"/>
            </w:pPr>
            <w:r>
              <w:t xml:space="preserve">出血（所有级别）</w:t>
            </w:r>
          </w:p>
        </w:tc>
        <w:tc>
          <w:tcPr/>
          <w:p>
            <w:pPr>
              <w:pStyle w:val="Compact"/>
              <w:jc w:val="left"/>
            </w:pPr>
            <w:r>
              <w:t xml:space="preserve">24.80%</w:t>
            </w:r>
          </w:p>
        </w:tc>
        <w:tc>
          <w:tcPr/>
          <w:p>
            <w:pPr>
              <w:pStyle w:val="Compact"/>
              <w:jc w:val="left"/>
            </w:pPr>
            <w:r>
              <w:t xml:space="preserve">12.10%</w:t>
            </w:r>
          </w:p>
        </w:tc>
      </w:tr>
      <w:tr>
        <w:tc>
          <w:tcPr/>
          <w:p>
            <w:pPr>
              <w:pStyle w:val="Compact"/>
              <w:jc w:val="left"/>
            </w:pPr>
            <w:r>
              <w:t xml:space="preserve">高血压（所有级别）</w:t>
            </w:r>
          </w:p>
        </w:tc>
        <w:tc>
          <w:tcPr/>
          <w:p>
            <w:pPr>
              <w:pStyle w:val="Compact"/>
              <w:jc w:val="left"/>
            </w:pPr>
            <w:r>
              <w:t xml:space="preserve">14.70%</w:t>
            </w:r>
          </w:p>
        </w:tc>
        <w:tc>
          <w:tcPr/>
          <w:p>
            <w:pPr>
              <w:pStyle w:val="Compact"/>
              <w:jc w:val="left"/>
            </w:pPr>
            <w:r>
              <w:t xml:space="preserve">5.70%</w:t>
            </w:r>
          </w:p>
        </w:tc>
      </w:tr>
    </w:tbl>
    <w:p>
      <w:pPr>
        <w:pStyle w:val="BodyText"/>
      </w:pPr>
      <w:r>
        <w:t xml:space="preserve">≥3级出血发生率仅2.60%，在入组了大量出血高危患者的背景下，这一数据显著优于历史上贝伐珠单抗在鳞癌中的安全性表现，明确区分了依沃西与贝伐珠单抗在sq-NSCLC中的安全性边界。irAE发生率两组相等（14.00%），提示依沃西的PD-1臂免疫毒性并未因双靶结构而增强。VEGF相关AE谱（蛋白尿、出血、高血压）符合预期，但严重事件率低，且与HARMONi-2研究结果一致，未发现新的安全性信号</w:t>
      </w:r>
      <w:r>
        <w:rPr>
          <w:vertAlign w:val="superscript"/>
        </w:rPr>
        <w:t xml:space="preserve">1928</w:t>
      </w:r>
      <w:r>
        <w:t xml:space="preserve">。</w:t>
      </w:r>
    </w:p>
    <w:p>
      <w:r>
        <w:pict>
          <v:rect style="width:0;height:1.5pt" o:hralign="center" o:hrstd="t" o:hr="t"/>
        </w:pict>
      </w:r>
    </w:p>
    <w:bookmarkEnd w:id="72"/>
    <w:bookmarkEnd w:id="73"/>
    <w:bookmarkStart w:id="79" w:name="跨试验疗效一致性分析"/>
    <w:p>
      <w:pPr>
        <w:pStyle w:val="Heading2"/>
      </w:pPr>
      <w:r>
        <w:t xml:space="preserve">3.4 跨试验疗效一致性分析</w:t>
      </w:r>
    </w:p>
    <w:bookmarkStart w:id="74" w:name="四试验疗效对比总表"/>
    <w:p>
      <w:pPr>
        <w:pStyle w:val="Heading3"/>
      </w:pPr>
      <w:r>
        <w:t xml:space="preserve">3.4.1 四试验疗效对比总表</w:t>
      </w:r>
    </w:p>
    <w:p>
      <w:pPr>
        <w:pStyle w:val="FirstParagraph"/>
      </w:pPr>
      <w:r>
        <w:t xml:space="preserve">将HARMONi-A、HARMONi-2、HARMONi-6三项核心研究的关键疗效指标进行系统对比，可以清晰地看到依沃西在不同治疗线数、不同组织学类型、不同联合方案中的疗效一致性。</w:t>
      </w:r>
    </w:p>
    <w:tbl>
      <w:tblPr>
        <w:tblStyle w:val="Table"/>
        <w:tblW w:type="pct" w:w="5000"/>
        <w:tblLook w:firstRow="1" w:lastRow="0" w:firstColumn="0" w:lastColumn="0" w:noHBand="0" w:noVBand="0" w:val="0020"/>
        <w:jc w:val="start"/>
        <w:tblLayout w:type="fixed"/>
      </w:tblPr>
      <w:tblGrid>
        <w:gridCol w:w="546"/>
        <w:gridCol w:w="2457"/>
        <w:gridCol w:w="2457"/>
        <w:gridCol w:w="2457"/>
      </w:tblGrid>
      <w:tr>
        <w:trPr>
          <w:tblHeader w:val="true"/>
        </w:trPr>
        <w:tc>
          <w:tcPr/>
          <w:p>
            <w:pPr>
              <w:pStyle w:val="Compact"/>
              <w:jc w:val="left"/>
            </w:pPr>
            <w:r>
              <w:t xml:space="preserve">指标</w:t>
            </w:r>
          </w:p>
        </w:tc>
        <w:tc>
          <w:tcPr/>
          <w:p>
            <w:pPr>
              <w:pStyle w:val="Compact"/>
              <w:jc w:val="left"/>
            </w:pPr>
            <w:r>
              <w:t xml:space="preserve">HARMONi-A（二线EGFRm nsq）</w:t>
            </w:r>
          </w:p>
        </w:tc>
        <w:tc>
          <w:tcPr/>
          <w:p>
            <w:pPr>
              <w:pStyle w:val="Compact"/>
              <w:jc w:val="left"/>
            </w:pPr>
            <w:r>
              <w:t xml:space="preserve">HARMONi-2（一线PD-L1+单药）</w:t>
            </w:r>
          </w:p>
        </w:tc>
        <w:tc>
          <w:tcPr/>
          <w:p>
            <w:pPr>
              <w:pStyle w:val="Compact"/>
              <w:jc w:val="left"/>
            </w:pPr>
            <w:r>
              <w:t xml:space="preserve">HARMONi-6（一线sq-NSCLC）</w:t>
            </w:r>
          </w:p>
        </w:tc>
      </w:tr>
      <w:tr>
        <w:tc>
          <w:tcPr/>
          <w:p>
            <w:pPr>
              <w:pStyle w:val="Compact"/>
              <w:jc w:val="left"/>
            </w:pPr>
            <w:r>
              <w:t xml:space="preserve">入组人数</w:t>
            </w:r>
          </w:p>
        </w:tc>
        <w:tc>
          <w:tcPr/>
          <w:p>
            <w:pPr>
              <w:pStyle w:val="Compact"/>
              <w:jc w:val="left"/>
            </w:pPr>
            <w:r>
              <w:t xml:space="preserve">322</w:t>
            </w:r>
          </w:p>
        </w:tc>
        <w:tc>
          <w:tcPr/>
          <w:p>
            <w:pPr>
              <w:pStyle w:val="Compact"/>
              <w:jc w:val="left"/>
            </w:pPr>
            <w:r>
              <w:t xml:space="preserve">398</w:t>
            </w:r>
          </w:p>
        </w:tc>
        <w:tc>
          <w:tcPr/>
          <w:p>
            <w:pPr>
              <w:pStyle w:val="Compact"/>
              <w:jc w:val="left"/>
            </w:pPr>
            <w:r>
              <w:t xml:space="preserve">532</w:t>
            </w:r>
          </w:p>
        </w:tc>
      </w:tr>
      <w:tr>
        <w:tc>
          <w:tcPr/>
          <w:p>
            <w:pPr>
              <w:pStyle w:val="Compact"/>
              <w:jc w:val="left"/>
            </w:pPr>
            <w:r>
              <w:t xml:space="preserve">对照组</w:t>
            </w:r>
          </w:p>
        </w:tc>
        <w:tc>
          <w:tcPr/>
          <w:p>
            <w:pPr>
              <w:pStyle w:val="Compact"/>
              <w:jc w:val="left"/>
            </w:pPr>
            <w:r>
              <w:t xml:space="preserve">安慰剂+化疗</w:t>
            </w:r>
          </w:p>
        </w:tc>
        <w:tc>
          <w:tcPr/>
          <w:p>
            <w:pPr>
              <w:pStyle w:val="Compact"/>
              <w:jc w:val="left"/>
            </w:pPr>
            <w:r>
              <w:t xml:space="preserve">帕博利珠单抗</w:t>
            </w:r>
          </w:p>
        </w:tc>
        <w:tc>
          <w:tcPr/>
          <w:p>
            <w:pPr>
              <w:pStyle w:val="Compact"/>
              <w:jc w:val="left"/>
            </w:pPr>
            <w:r>
              <w:t xml:space="preserve">替雷利珠+化疗</w:t>
            </w:r>
          </w:p>
        </w:tc>
      </w:tr>
      <w:tr>
        <w:tc>
          <w:tcPr/>
          <w:p>
            <w:pPr>
              <w:pStyle w:val="Compact"/>
              <w:jc w:val="left"/>
            </w:pPr>
            <w:r>
              <w:t xml:space="preserve">试验组</w:t>
            </w:r>
          </w:p>
        </w:tc>
        <w:tc>
          <w:tcPr/>
          <w:p>
            <w:pPr>
              <w:pStyle w:val="Compact"/>
              <w:jc w:val="left"/>
            </w:pPr>
            <w:r>
              <w:t xml:space="preserve">依沃西+化疗</w:t>
            </w:r>
          </w:p>
        </w:tc>
        <w:tc>
          <w:tcPr/>
          <w:p>
            <w:pPr>
              <w:pStyle w:val="Compact"/>
              <w:jc w:val="left"/>
            </w:pPr>
            <w:r>
              <w:t xml:space="preserve">依沃西单抗</w:t>
            </w:r>
          </w:p>
        </w:tc>
        <w:tc>
          <w:tcPr/>
          <w:p>
            <w:pPr>
              <w:pStyle w:val="Compact"/>
              <w:jc w:val="left"/>
            </w:pPr>
            <w:r>
              <w:t xml:space="preserve">依沃西+化疗</w:t>
            </w:r>
          </w:p>
        </w:tc>
      </w:tr>
      <w:tr>
        <w:tc>
          <w:tcPr/>
          <w:p>
            <w:pPr>
              <w:pStyle w:val="Compact"/>
              <w:jc w:val="left"/>
            </w:pPr>
            <w:r>
              <w:t xml:space="preserve">中位PFS（月）</w:t>
            </w:r>
          </w:p>
        </w:tc>
        <w:tc>
          <w:tcPr/>
          <w:p>
            <w:pPr>
              <w:pStyle w:val="Compact"/>
              <w:jc w:val="left"/>
            </w:pPr>
            <w:r>
              <w:t xml:space="preserve">7.10 vs 4.80</w:t>
            </w:r>
          </w:p>
        </w:tc>
        <w:tc>
          <w:tcPr/>
          <w:p>
            <w:pPr>
              <w:pStyle w:val="Compact"/>
              <w:jc w:val="left"/>
            </w:pPr>
            <w:r>
              <w:t xml:space="preserve">11.14 vs 5.82</w:t>
            </w:r>
          </w:p>
        </w:tc>
        <w:tc>
          <w:tcPr/>
          <w:p>
            <w:pPr>
              <w:pStyle w:val="Compact"/>
              <w:jc w:val="left"/>
            </w:pPr>
            <w:r>
              <w:t xml:space="preserve">11.10 vs 6.90</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0.51</w:t>
            </w:r>
          </w:p>
        </w:tc>
        <w:tc>
          <w:tcPr/>
          <w:p>
            <w:pPr>
              <w:pStyle w:val="Compact"/>
              <w:jc w:val="left"/>
            </w:pPr>
            <w:r>
              <w:t xml:space="preserve">0.60</w:t>
            </w:r>
          </w:p>
        </w:tc>
      </w:tr>
      <w:tr>
        <w:tc>
          <w:tcPr/>
          <w:p>
            <w:pPr>
              <w:pStyle w:val="Compact"/>
              <w:jc w:val="left"/>
            </w:pPr>
            <w:r>
              <w:t xml:space="preserve">PFS P值</w:t>
            </w:r>
          </w:p>
        </w:tc>
        <w:tc>
          <w:tcPr/>
          <w:p>
            <w:pPr>
              <w:pStyle w:val="Compact"/>
              <w:jc w:val="left"/>
            </w:pPr>
            <w:r>
              <w:t xml:space="preserve">&lt;0.001</w:t>
            </w:r>
          </w:p>
        </w:tc>
        <w:tc>
          <w:tcPr/>
          <w:p>
            <w:pPr>
              <w:pStyle w:val="Compact"/>
              <w:jc w:val="left"/>
            </w:pPr>
            <w:r>
              <w:t xml:space="preserve">&lt;0.0001</w:t>
            </w:r>
          </w:p>
        </w:tc>
        <w:tc>
          <w:tcPr/>
          <w:p>
            <w:pPr>
              <w:pStyle w:val="Compact"/>
              <w:jc w:val="left"/>
            </w:pPr>
            <w:r>
              <w:t xml:space="preserve">&lt;0.0001</w:t>
            </w:r>
          </w:p>
        </w:tc>
      </w:tr>
      <w:tr>
        <w:tc>
          <w:tcPr/>
          <w:p>
            <w:pPr>
              <w:pStyle w:val="Compact"/>
              <w:jc w:val="left"/>
            </w:pPr>
            <w:r>
              <w:t xml:space="preserve">中位OS（月）</w:t>
            </w:r>
          </w:p>
        </w:tc>
        <w:tc>
          <w:tcPr/>
          <w:p>
            <w:pPr>
              <w:pStyle w:val="Compact"/>
              <w:jc w:val="left"/>
            </w:pPr>
            <w:r>
              <w:t xml:space="preserve">16.80 vs 14.10</w:t>
            </w:r>
          </w:p>
        </w:tc>
        <w:tc>
          <w:tcPr/>
          <w:p>
            <w:pPr>
              <w:pStyle w:val="Compact"/>
              <w:jc w:val="left"/>
            </w:pPr>
            <w:r>
              <w:t xml:space="preserve">未达到（HR 0.777）</w:t>
            </w:r>
          </w:p>
        </w:tc>
        <w:tc>
          <w:tcPr/>
          <w:p>
            <w:pPr>
              <w:pStyle w:val="Compact"/>
              <w:jc w:val="left"/>
            </w:pPr>
            <w:r>
              <w:t xml:space="preserve">27.90 vs 23.70</w:t>
            </w:r>
          </w:p>
        </w:tc>
      </w:tr>
      <w:tr>
        <w:tc>
          <w:tcPr/>
          <w:p>
            <w:pPr>
              <w:pStyle w:val="Compact"/>
              <w:jc w:val="left"/>
            </w:pPr>
            <w:r>
              <w:t xml:space="preserve">OS HR</w:t>
            </w:r>
          </w:p>
        </w:tc>
        <w:tc>
          <w:tcPr/>
          <w:p>
            <w:pPr>
              <w:pStyle w:val="Compact"/>
              <w:jc w:val="left"/>
            </w:pPr>
            <w:r>
              <w:t xml:space="preserve">0.74</w:t>
            </w:r>
          </w:p>
        </w:tc>
        <w:tc>
          <w:tcPr/>
          <w:p>
            <w:pPr>
              <w:pStyle w:val="Compact"/>
              <w:jc w:val="left"/>
            </w:pPr>
            <w:r>
              <w:t xml:space="preserve">0.777（39%成熟度）</w:t>
            </w:r>
          </w:p>
        </w:tc>
        <w:tc>
          <w:tcPr/>
          <w:p>
            <w:pPr>
              <w:pStyle w:val="Compact"/>
              <w:jc w:val="left"/>
            </w:pPr>
            <w:r>
              <w:t xml:space="preserve">0.66</w:t>
            </w:r>
          </w:p>
        </w:tc>
      </w:tr>
      <w:tr>
        <w:tc>
          <w:tcPr/>
          <w:p>
            <w:pPr>
              <w:pStyle w:val="Compact"/>
              <w:jc w:val="left"/>
            </w:pPr>
            <w:r>
              <w:t xml:space="preserve">OS P值</w:t>
            </w:r>
          </w:p>
        </w:tc>
        <w:tc>
          <w:tcPr/>
          <w:p>
            <w:pPr>
              <w:pStyle w:val="Compact"/>
              <w:jc w:val="left"/>
            </w:pPr>
            <w:r>
              <w:t xml:space="preserve">0.019</w:t>
            </w:r>
          </w:p>
        </w:tc>
        <w:tc>
          <w:tcPr/>
          <w:p>
            <w:pPr>
              <w:pStyle w:val="Compact"/>
              <w:jc w:val="left"/>
            </w:pPr>
            <w:r>
              <w:t xml:space="preserve">未达显著</w:t>
            </w:r>
          </w:p>
        </w:tc>
        <w:tc>
          <w:tcPr/>
          <w:p>
            <w:pPr>
              <w:pStyle w:val="Compact"/>
              <w:jc w:val="left"/>
            </w:pPr>
            <w:r>
              <w:t xml:space="preserve">0.0017</w:t>
            </w:r>
          </w:p>
        </w:tc>
      </w:tr>
      <w:tr>
        <w:tc>
          <w:tcPr/>
          <w:p>
            <w:pPr>
              <w:pStyle w:val="Compact"/>
              <w:jc w:val="left"/>
            </w:pPr>
            <w:r>
              <w:t xml:space="preserve">ORR</w:t>
            </w:r>
          </w:p>
        </w:tc>
        <w:tc>
          <w:tcPr/>
          <w:p>
            <w:pPr>
              <w:pStyle w:val="Compact"/>
              <w:jc w:val="left"/>
            </w:pPr>
            <w:r>
              <w:t xml:space="preserve">50.60% vs 35.40%</w:t>
            </w:r>
          </w:p>
        </w:tc>
        <w:tc>
          <w:tcPr/>
          <w:p>
            <w:pPr>
              <w:pStyle w:val="Compact"/>
              <w:jc w:val="left"/>
            </w:pPr>
            <w:r>
              <w:t xml:space="preserve">50.00% vs 38.50%</w:t>
            </w:r>
          </w:p>
        </w:tc>
        <w:tc>
          <w:tcPr/>
          <w:p>
            <w:pPr>
              <w:pStyle w:val="Compact"/>
              <w:jc w:val="left"/>
            </w:pPr>
            <w:r>
              <w:t xml:space="preserve">75.90% vs 66.50%</w:t>
            </w:r>
          </w:p>
        </w:tc>
      </w:tr>
      <w:tr>
        <w:tc>
          <w:tcPr/>
          <w:p>
            <w:pPr>
              <w:pStyle w:val="Compact"/>
              <w:jc w:val="left"/>
            </w:pPr>
            <w:r>
              <w:t xml:space="preserve">DCR</w:t>
            </w:r>
          </w:p>
        </w:tc>
        <w:tc>
          <w:tcPr/>
          <w:p>
            <w:pPr>
              <w:pStyle w:val="Compact"/>
              <w:jc w:val="left"/>
            </w:pPr>
            <w:r>
              <w:t xml:space="preserve">93.10% vs 83.20%</w:t>
            </w:r>
          </w:p>
        </w:tc>
        <w:tc>
          <w:tcPr/>
          <w:p>
            <w:pPr>
              <w:pStyle w:val="Compact"/>
              <w:jc w:val="left"/>
            </w:pPr>
            <w:r>
              <w:t xml:space="preserve">89.90% vs 70.50%</w:t>
            </w:r>
          </w:p>
        </w:tc>
        <w:tc>
          <w:tcPr/>
          <w:p>
            <w:pPr>
              <w:pStyle w:val="Compact"/>
              <w:jc w:val="left"/>
            </w:pPr>
            <w:r>
              <w:t xml:space="preserve">~95.00% vs ~90.00%</w:t>
            </w:r>
          </w:p>
        </w:tc>
      </w:tr>
      <w:tr>
        <w:tc>
          <w:tcPr/>
          <w:p>
            <w:pPr>
              <w:pStyle w:val="Compact"/>
              <w:jc w:val="left"/>
            </w:pPr>
            <w:r>
              <w:t xml:space="preserve">中位DoR（月）</w:t>
            </w:r>
          </w:p>
        </w:tc>
        <w:tc>
          <w:tcPr/>
          <w:p>
            <w:pPr>
              <w:pStyle w:val="Compact"/>
              <w:jc w:val="left"/>
            </w:pPr>
            <w:r>
              <w:t xml:space="preserve">6.90 vs 6.90</w:t>
            </w:r>
          </w:p>
        </w:tc>
        <w:tc>
          <w:tcPr/>
          <w:p>
            <w:pPr>
              <w:pStyle w:val="Compact"/>
              <w:jc w:val="left"/>
            </w:pPr>
            <w:r>
              <w:t xml:space="preserve">未达到 vs 未达到</w:t>
            </w:r>
          </w:p>
        </w:tc>
        <w:tc>
          <w:tcPr/>
          <w:p>
            <w:pPr>
              <w:pStyle w:val="Compact"/>
              <w:jc w:val="left"/>
            </w:pPr>
            <w:r>
              <w:t xml:space="preserve">11.20 vs 8.40</w:t>
            </w:r>
          </w:p>
        </w:tc>
      </w:tr>
      <w:tr>
        <w:tc>
          <w:tcPr/>
          <w:p>
            <w:pPr>
              <w:pStyle w:val="Compact"/>
              <w:jc w:val="left"/>
            </w:pPr>
            <w:r>
              <w:t xml:space="preserve">鳞癌占比</w:t>
            </w:r>
          </w:p>
        </w:tc>
        <w:tc>
          <w:tcPr/>
          <w:p>
            <w:pPr>
              <w:pStyle w:val="Compact"/>
              <w:jc w:val="left"/>
            </w:pPr>
            <w:r>
              <w:t xml:space="preserve">0.00%</w:t>
            </w:r>
          </w:p>
        </w:tc>
        <w:tc>
          <w:tcPr/>
          <w:p>
            <w:pPr>
              <w:pStyle w:val="Compact"/>
              <w:jc w:val="left"/>
            </w:pPr>
            <w:r>
              <w:t xml:space="preserve">45.50%</w:t>
            </w:r>
          </w:p>
        </w:tc>
        <w:tc>
          <w:tcPr/>
          <w:p>
            <w:pPr>
              <w:pStyle w:val="Compact"/>
              <w:jc w:val="left"/>
            </w:pPr>
            <w:r>
              <w:t xml:space="preserve">100.00%</w:t>
            </w:r>
          </w:p>
        </w:tc>
      </w:tr>
      <w:tr>
        <w:tc>
          <w:tcPr/>
          <w:p>
            <w:pPr>
              <w:pStyle w:val="Compact"/>
              <w:jc w:val="left"/>
            </w:pPr>
            <w:r>
              <w:t xml:space="preserve">≥3级出血</w:t>
            </w:r>
          </w:p>
        </w:tc>
        <w:tc>
          <w:tcPr/>
          <w:p>
            <w:pPr>
              <w:pStyle w:val="Compact"/>
              <w:jc w:val="left"/>
            </w:pPr>
            <w:r>
              <w:t xml:space="preserve">0.00%</w:t>
            </w:r>
          </w:p>
        </w:tc>
        <w:tc>
          <w:tcPr/>
          <w:p>
            <w:pPr>
              <w:pStyle w:val="Compact"/>
              <w:jc w:val="left"/>
            </w:pPr>
            <w:r>
              <w:t xml:space="preserve">0.00%（鳞癌亚组）</w:t>
            </w:r>
          </w:p>
        </w:tc>
        <w:tc>
          <w:tcPr/>
          <w:p>
            <w:pPr>
              <w:pStyle w:val="Compact"/>
              <w:jc w:val="left"/>
            </w:pPr>
            <w:r>
              <w:t xml:space="preserve">2.60%</w:t>
            </w:r>
          </w:p>
        </w:tc>
      </w:tr>
      <w:tr>
        <w:tc>
          <w:tcPr/>
          <w:p>
            <w:pPr>
              <w:pStyle w:val="Compact"/>
              <w:jc w:val="left"/>
            </w:pPr>
            <w:r>
              <w:t xml:space="preserve">研究地区</w:t>
            </w:r>
          </w:p>
        </w:tc>
        <w:tc>
          <w:tcPr/>
          <w:p>
            <w:pPr>
              <w:pStyle w:val="Compact"/>
              <w:jc w:val="left"/>
            </w:pPr>
            <w:r>
              <w:t xml:space="preserve">中国</w:t>
            </w:r>
          </w:p>
        </w:tc>
        <w:tc>
          <w:tcPr/>
          <w:p>
            <w:pPr>
              <w:pStyle w:val="Compact"/>
              <w:jc w:val="left"/>
            </w:pPr>
            <w:r>
              <w:t xml:space="preserve">中国</w:t>
            </w:r>
          </w:p>
        </w:tc>
        <w:tc>
          <w:tcPr/>
          <w:p>
            <w:pPr>
              <w:pStyle w:val="Compact"/>
              <w:jc w:val="left"/>
            </w:pPr>
            <w:r>
              <w:t xml:space="preserve">中国</w:t>
            </w:r>
          </w:p>
        </w:tc>
      </w:tr>
    </w:tbl>
    <w:bookmarkEnd w:id="74"/>
    <w:bookmarkStart w:id="75" w:name="pfs-hr一致性分析0.460.60"/>
    <w:p>
      <w:pPr>
        <w:pStyle w:val="Heading3"/>
      </w:pPr>
      <w:r>
        <w:t xml:space="preserve">3.4.2 PFS HR一致性分析（0.46–0.60）</w:t>
      </w:r>
    </w:p>
    <w:p>
      <w:pPr>
        <w:pStyle w:val="FirstParagraph"/>
      </w:pPr>
      <w:r>
        <w:t xml:space="preserve">三项研究中PFS HR分别为0.46（HARMONi-A）、0.51（HARMONi-2）、0.60（HARMONi-6），均落在0.46–0.60的狭窄区间内，展现出惊人的跨试验一致性。这一一致性并非偶然，而是反映了依沃西PD-1/VEGF双靶机制在不同临床场景中的稳定获益输出。</w:t>
      </w:r>
    </w:p>
    <w:tbl>
      <w:tblPr>
        <w:tblStyle w:val="Table"/>
        <w:tblW w:type="pct" w:w="5000"/>
        <w:tblLook w:firstRow="1" w:lastRow="0" w:firstColumn="0" w:lastColumn="0" w:noHBand="0" w:noVBand="0" w:val="0020"/>
        <w:jc w:val="start"/>
        <w:tblLayout w:type="fixed"/>
      </w:tblPr>
      <w:tblGrid>
        <w:gridCol w:w="969"/>
        <w:gridCol w:w="969"/>
        <w:gridCol w:w="969"/>
        <w:gridCol w:w="1616"/>
        <w:gridCol w:w="1293"/>
        <w:gridCol w:w="2101"/>
      </w:tblGrid>
      <w:tr>
        <w:trPr>
          <w:tblHeader w:val="true"/>
        </w:trPr>
        <w:tc>
          <w:tcPr/>
          <w:p>
            <w:pPr>
              <w:pStyle w:val="Compact"/>
              <w:jc w:val="left"/>
            </w:pPr>
            <w:r>
              <w:t xml:space="preserve">研究</w:t>
            </w:r>
          </w:p>
        </w:tc>
        <w:tc>
          <w:tcPr/>
          <w:p>
            <w:pPr>
              <w:pStyle w:val="Compact"/>
              <w:jc w:val="left"/>
            </w:pPr>
            <w:r>
              <w:t xml:space="preserve">人群</w:t>
            </w:r>
          </w:p>
        </w:tc>
        <w:tc>
          <w:tcPr/>
          <w:p>
            <w:pPr>
              <w:pStyle w:val="Compact"/>
              <w:jc w:val="left"/>
            </w:pPr>
            <w:r>
              <w:t xml:space="preserve">线数</w:t>
            </w:r>
          </w:p>
        </w:tc>
        <w:tc>
          <w:tcPr/>
          <w:p>
            <w:pPr>
              <w:pStyle w:val="Compact"/>
              <w:jc w:val="left"/>
            </w:pPr>
            <w:r>
              <w:t xml:space="preserve">联合方案</w:t>
            </w:r>
          </w:p>
        </w:tc>
        <w:tc>
          <w:tcPr/>
          <w:p>
            <w:pPr>
              <w:pStyle w:val="Compact"/>
              <w:jc w:val="left"/>
            </w:pPr>
            <w:r>
              <w:t xml:space="preserve">PFS HR</w:t>
            </w:r>
          </w:p>
        </w:tc>
        <w:tc>
          <w:tcPr/>
          <w:p>
            <w:pPr>
              <w:pStyle w:val="Compact"/>
              <w:jc w:val="left"/>
            </w:pPr>
            <w:r>
              <w:t xml:space="preserve">绝对获益（月）</w:t>
            </w:r>
          </w:p>
        </w:tc>
      </w:tr>
      <w:tr>
        <w:tc>
          <w:tcPr/>
          <w:p>
            <w:pPr>
              <w:pStyle w:val="Compact"/>
              <w:jc w:val="left"/>
            </w:pPr>
            <w:r>
              <w:t xml:space="preserve">HARMONi-A</w:t>
            </w:r>
          </w:p>
        </w:tc>
        <w:tc>
          <w:tcPr/>
          <w:p>
            <w:pPr>
              <w:pStyle w:val="Compact"/>
              <w:jc w:val="left"/>
            </w:pPr>
            <w:r>
              <w:t xml:space="preserve">EGFRm nsq-NSCLC</w:t>
            </w:r>
          </w:p>
        </w:tc>
        <w:tc>
          <w:tcPr/>
          <w:p>
            <w:pPr>
              <w:pStyle w:val="Compact"/>
              <w:jc w:val="left"/>
            </w:pPr>
            <w:r>
              <w:t xml:space="preserve">二线（TKI耐药）</w:t>
            </w:r>
          </w:p>
        </w:tc>
        <w:tc>
          <w:tcPr/>
          <w:p>
            <w:pPr>
              <w:pStyle w:val="Compact"/>
              <w:jc w:val="left"/>
            </w:pPr>
            <w:r>
              <w:t xml:space="preserve">+化疗</w:t>
            </w:r>
          </w:p>
        </w:tc>
        <w:tc>
          <w:tcPr/>
          <w:p>
            <w:pPr>
              <w:pStyle w:val="Compact"/>
              <w:jc w:val="left"/>
            </w:pPr>
            <w:r>
              <w:t xml:space="preserve">0.46</w:t>
            </w:r>
          </w:p>
        </w:tc>
        <w:tc>
          <w:tcPr/>
          <w:p>
            <w:pPr>
              <w:pStyle w:val="Compact"/>
              <w:jc w:val="left"/>
            </w:pPr>
            <w:r>
              <w:t xml:space="preserve">+2.30</w:t>
            </w:r>
          </w:p>
        </w:tc>
      </w:tr>
      <w:tr>
        <w:tc>
          <w:tcPr/>
          <w:p>
            <w:pPr>
              <w:pStyle w:val="Compact"/>
              <w:jc w:val="left"/>
            </w:pPr>
            <w:r>
              <w:t xml:space="preserve">HARMONi-2</w:t>
            </w:r>
          </w:p>
        </w:tc>
        <w:tc>
          <w:tcPr/>
          <w:p>
            <w:pPr>
              <w:pStyle w:val="Compact"/>
              <w:jc w:val="left"/>
            </w:pPr>
            <w:r>
              <w:t xml:space="preserve">PD-L1+ NSCLC</w:t>
            </w:r>
          </w:p>
        </w:tc>
        <w:tc>
          <w:tcPr/>
          <w:p>
            <w:pPr>
              <w:pStyle w:val="Compact"/>
              <w:jc w:val="left"/>
            </w:pPr>
            <w:r>
              <w:t xml:space="preserve">一线</w:t>
            </w:r>
          </w:p>
        </w:tc>
        <w:tc>
          <w:tcPr/>
          <w:p>
            <w:pPr>
              <w:pStyle w:val="Compact"/>
              <w:jc w:val="left"/>
            </w:pPr>
            <w:r>
              <w:t xml:space="preserve">单药</w:t>
            </w:r>
          </w:p>
        </w:tc>
        <w:tc>
          <w:tcPr/>
          <w:p>
            <w:pPr>
              <w:pStyle w:val="Compact"/>
              <w:jc w:val="left"/>
            </w:pPr>
            <w:r>
              <w:t xml:space="preserve">0.51</w:t>
            </w:r>
          </w:p>
        </w:tc>
        <w:tc>
          <w:tcPr/>
          <w:p>
            <w:pPr>
              <w:pStyle w:val="Compact"/>
              <w:jc w:val="left"/>
            </w:pPr>
            <w:r>
              <w:t xml:space="preserve">+5.32</w:t>
            </w:r>
          </w:p>
        </w:tc>
      </w:tr>
      <w:tr>
        <w:tc>
          <w:tcPr/>
          <w:p>
            <w:pPr>
              <w:pStyle w:val="Compact"/>
              <w:jc w:val="left"/>
            </w:pPr>
            <w:r>
              <w:t xml:space="preserve">HARMONi-6</w:t>
            </w:r>
          </w:p>
        </w:tc>
        <w:tc>
          <w:tcPr/>
          <w:p>
            <w:pPr>
              <w:pStyle w:val="Compact"/>
              <w:jc w:val="left"/>
            </w:pPr>
            <w:r>
              <w:t xml:space="preserve">sq-NSCLC</w:t>
            </w:r>
          </w:p>
        </w:tc>
        <w:tc>
          <w:tcPr/>
          <w:p>
            <w:pPr>
              <w:pStyle w:val="Compact"/>
              <w:jc w:val="left"/>
            </w:pPr>
            <w:r>
              <w:t xml:space="preserve">一线</w:t>
            </w:r>
          </w:p>
        </w:tc>
        <w:tc>
          <w:tcPr/>
          <w:p>
            <w:pPr>
              <w:pStyle w:val="Compact"/>
              <w:jc w:val="left"/>
            </w:pPr>
            <w:r>
              <w:t xml:space="preserve">+化疗</w:t>
            </w:r>
          </w:p>
        </w:tc>
        <w:tc>
          <w:tcPr/>
          <w:p>
            <w:pPr>
              <w:pStyle w:val="Compact"/>
              <w:jc w:val="left"/>
            </w:pPr>
            <w:r>
              <w:t xml:space="preserve">0.60</w:t>
            </w:r>
          </w:p>
        </w:tc>
        <w:tc>
          <w:tcPr/>
          <w:p>
            <w:pPr>
              <w:pStyle w:val="Compact"/>
              <w:jc w:val="left"/>
            </w:pPr>
            <w:r>
              <w:t xml:space="preserve">+4.20</w:t>
            </w:r>
          </w:p>
        </w:tc>
      </w:tr>
      <w:tr>
        <w:tc>
          <w:tcPr/>
          <w:p>
            <w:pPr>
              <w:pStyle w:val="Compact"/>
              <w:jc w:val="left"/>
            </w:pPr>
            <w:r>
              <w:t xml:space="preserve">HARMONi（全球）</w:t>
            </w:r>
          </w:p>
        </w:tc>
        <w:tc>
          <w:tcPr/>
          <w:p>
            <w:pPr>
              <w:pStyle w:val="Compact"/>
              <w:jc w:val="left"/>
            </w:pPr>
            <w:r>
              <w:t xml:space="preserve">EGFRm nsq-NSCLC</w:t>
            </w:r>
          </w:p>
        </w:tc>
        <w:tc>
          <w:tcPr/>
          <w:p>
            <w:pPr>
              <w:pStyle w:val="Compact"/>
              <w:jc w:val="left"/>
            </w:pPr>
            <w:r>
              <w:t xml:space="preserve">二线（TKI耐药）</w:t>
            </w:r>
          </w:p>
        </w:tc>
        <w:tc>
          <w:tcPr/>
          <w:p>
            <w:pPr>
              <w:pStyle w:val="Compact"/>
              <w:jc w:val="left"/>
            </w:pPr>
            <w:r>
              <w:t xml:space="preserve">+化疗</w:t>
            </w:r>
          </w:p>
        </w:tc>
        <w:tc>
          <w:tcPr/>
          <w:p>
            <w:pPr>
              <w:pStyle w:val="Compact"/>
              <w:jc w:val="left"/>
            </w:pPr>
            <w:r>
              <w:t xml:space="preserve">0.52</w:t>
            </w:r>
          </w:p>
        </w:tc>
        <w:tc>
          <w:tcPr/>
          <w:p>
            <w:pPr>
              <w:pStyle w:val="Compact"/>
              <w:jc w:val="left"/>
            </w:pPr>
            <w:r>
              <w:t xml:space="preserve">+2.40</w:t>
            </w:r>
          </w:p>
        </w:tc>
      </w:tr>
    </w:tbl>
    <w:p>
      <w:pPr>
        <w:pStyle w:val="BodyText"/>
      </w:pPr>
      <w:r>
        <w:t xml:space="preserve">PFS HR的梯度变化呈现出合理的生物学逻辑：从TKI耐药后线（0.46）到一线单药（0.51）再到一线联合化疗（0.60），HR略有上升，但始终保持在高度获益区间（&lt;0.60）。HARMONi-6的HR相对略高（0.60），可归因于对照组为PD-1+化疗（活性对照），而非HARMONi-A的安慰剂+化疗或HARMONi-2的PD-1单药。值得注意的是，即使面对活性对照（替雷利珠+化疗），依沃西仍能将疾病进展风险降低40%，这在头对头研究中属于优异表现</w:t>
      </w:r>
      <w:r>
        <w:rPr>
          <w:vertAlign w:val="superscript"/>
        </w:rPr>
        <w:t xml:space="preserve">1919</w:t>
      </w:r>
      <w:r>
        <w:t xml:space="preserve">。</w:t>
      </w:r>
    </w:p>
    <w:bookmarkEnd w:id="75"/>
    <w:bookmarkStart w:id="76" w:name="os信号一致性分析0.660.79"/>
    <w:p>
      <w:pPr>
        <w:pStyle w:val="Heading3"/>
      </w:pPr>
      <w:r>
        <w:t xml:space="preserve">3.4.3 OS信号一致性分析（0.66–0.79）</w:t>
      </w:r>
    </w:p>
    <w:p>
      <w:pPr>
        <w:pStyle w:val="FirstParagraph"/>
      </w:pPr>
      <w:r>
        <w:t xml:space="preserve">OS数据同样展现出跨试验的一致性趋势，尽管各研究的数据成熟度存在差异。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研究</w:t>
            </w:r>
          </w:p>
        </w:tc>
        <w:tc>
          <w:tcPr/>
          <w:p>
            <w:pPr>
              <w:pStyle w:val="Compact"/>
              <w:jc w:val="left"/>
            </w:pPr>
            <w:r>
              <w:t xml:space="preserve">OS HR</w:t>
            </w:r>
          </w:p>
        </w:tc>
        <w:tc>
          <w:tcPr/>
          <w:p>
            <w:pPr>
              <w:pStyle w:val="Compact"/>
              <w:jc w:val="left"/>
            </w:pPr>
            <w:r>
              <w:t xml:space="preserve">数据成熟度</w:t>
            </w:r>
          </w:p>
        </w:tc>
        <w:tc>
          <w:tcPr/>
          <w:p>
            <w:pPr>
              <w:pStyle w:val="Compact"/>
              <w:jc w:val="left"/>
            </w:pPr>
            <w:r>
              <w:t xml:space="preserve">对照组</w:t>
            </w:r>
          </w:p>
        </w:tc>
        <w:tc>
          <w:tcPr/>
          <w:p>
            <w:pPr>
              <w:pStyle w:val="Compact"/>
              <w:jc w:val="left"/>
            </w:pPr>
            <w:r>
              <w:t xml:space="preserve">临床意义</w:t>
            </w:r>
          </w:p>
        </w:tc>
      </w:tr>
      <w:tr>
        <w:tc>
          <w:tcPr/>
          <w:p>
            <w:pPr>
              <w:pStyle w:val="Compact"/>
              <w:jc w:val="left"/>
            </w:pPr>
            <w:r>
              <w:t xml:space="preserve">HARMONi-A</w:t>
            </w:r>
          </w:p>
        </w:tc>
        <w:tc>
          <w:tcPr/>
          <w:p>
            <w:pPr>
              <w:pStyle w:val="Compact"/>
              <w:jc w:val="left"/>
            </w:pPr>
            <w:r>
              <w:t xml:space="preserve">0.74</w:t>
            </w:r>
          </w:p>
        </w:tc>
        <w:tc>
          <w:tcPr/>
          <w:p>
            <w:pPr>
              <w:pStyle w:val="Compact"/>
              <w:jc w:val="left"/>
            </w:pPr>
            <w:r>
              <w:t xml:space="preserve">77.00%</w:t>
            </w:r>
          </w:p>
        </w:tc>
        <w:tc>
          <w:tcPr/>
          <w:p>
            <w:pPr>
              <w:pStyle w:val="Compact"/>
              <w:jc w:val="left"/>
            </w:pPr>
            <w:r>
              <w:t xml:space="preserve">安慰剂+化疗</w:t>
            </w:r>
          </w:p>
        </w:tc>
        <w:tc>
          <w:tcPr/>
          <w:p>
            <w:pPr>
              <w:pStyle w:val="Compact"/>
              <w:jc w:val="left"/>
            </w:pPr>
            <w:r>
              <w:t xml:space="preserve">达到显著（P=0.019）</w:t>
            </w:r>
          </w:p>
        </w:tc>
      </w:tr>
      <w:tr>
        <w:tc>
          <w:tcPr/>
          <w:p>
            <w:pPr>
              <w:pStyle w:val="Compact"/>
              <w:jc w:val="left"/>
            </w:pPr>
            <w:r>
              <w:t xml:space="preserve">HARMONi-2</w:t>
            </w:r>
          </w:p>
        </w:tc>
        <w:tc>
          <w:tcPr/>
          <w:p>
            <w:pPr>
              <w:pStyle w:val="Compact"/>
              <w:jc w:val="left"/>
            </w:pPr>
            <w:r>
              <w:t xml:space="preserve">0.777</w:t>
            </w:r>
          </w:p>
        </w:tc>
        <w:tc>
          <w:tcPr/>
          <w:p>
            <w:pPr>
              <w:pStyle w:val="Compact"/>
              <w:jc w:val="left"/>
            </w:pPr>
            <w:r>
              <w:t xml:space="preserve">39.00%</w:t>
            </w:r>
          </w:p>
        </w:tc>
        <w:tc>
          <w:tcPr/>
          <w:p>
            <w:pPr>
              <w:pStyle w:val="Compact"/>
              <w:jc w:val="left"/>
            </w:pPr>
            <w:r>
              <w:t xml:space="preserve">帕博利珠单抗</w:t>
            </w:r>
          </w:p>
        </w:tc>
        <w:tc>
          <w:tcPr/>
          <w:p>
            <w:pPr>
              <w:pStyle w:val="Compact"/>
              <w:jc w:val="left"/>
            </w:pPr>
            <w:r>
              <w:t xml:space="preserve">方向积极，未达显著</w:t>
            </w:r>
          </w:p>
        </w:tc>
      </w:tr>
      <w:tr>
        <w:tc>
          <w:tcPr/>
          <w:p>
            <w:pPr>
              <w:pStyle w:val="Compact"/>
              <w:jc w:val="left"/>
            </w:pPr>
            <w:r>
              <w:t xml:space="preserve">HARMONi-6</w:t>
            </w:r>
          </w:p>
        </w:tc>
        <w:tc>
          <w:tcPr/>
          <w:p>
            <w:pPr>
              <w:pStyle w:val="Compact"/>
              <w:jc w:val="left"/>
            </w:pPr>
            <w:r>
              <w:t xml:space="preserve">0.66</w:t>
            </w:r>
          </w:p>
        </w:tc>
        <w:tc>
          <w:tcPr/>
          <w:p>
            <w:pPr>
              <w:pStyle w:val="Compact"/>
              <w:jc w:val="left"/>
            </w:pPr>
            <w:r>
              <w:t xml:space="preserve">未明确</w:t>
            </w:r>
          </w:p>
        </w:tc>
        <w:tc>
          <w:tcPr/>
          <w:p>
            <w:pPr>
              <w:pStyle w:val="Compact"/>
              <w:jc w:val="left"/>
            </w:pPr>
            <w:r>
              <w:t xml:space="preserve">替雷利珠+化疗</w:t>
            </w:r>
          </w:p>
        </w:tc>
        <w:tc>
          <w:tcPr/>
          <w:p>
            <w:pPr>
              <w:pStyle w:val="Compact"/>
              <w:jc w:val="left"/>
            </w:pPr>
            <w:r>
              <w:t xml:space="preserve">达到显著（P=0.0017）</w:t>
            </w:r>
          </w:p>
        </w:tc>
      </w:tr>
      <w:tr>
        <w:tc>
          <w:tcPr/>
          <w:p>
            <w:pPr>
              <w:pStyle w:val="Compact"/>
              <w:jc w:val="left"/>
            </w:pPr>
            <w:r>
              <w:t xml:space="preserve">HARMONi（全球）</w:t>
            </w:r>
          </w:p>
        </w:tc>
        <w:tc>
          <w:tcPr/>
          <w:p>
            <w:pPr>
              <w:pStyle w:val="Compact"/>
              <w:jc w:val="left"/>
            </w:pPr>
            <w:r>
              <w:t xml:space="preserve">0.78</w:t>
            </w:r>
          </w:p>
        </w:tc>
        <w:tc>
          <w:tcPr/>
          <w:p>
            <w:pPr>
              <w:pStyle w:val="Compact"/>
              <w:jc w:val="left"/>
            </w:pPr>
            <w:r>
              <w:t xml:space="preserve">更新中</w:t>
            </w:r>
          </w:p>
        </w:tc>
        <w:tc>
          <w:tcPr/>
          <w:p>
            <w:pPr>
              <w:pStyle w:val="Compact"/>
              <w:jc w:val="left"/>
            </w:pPr>
            <w:r>
              <w:t xml:space="preserve">安慰剂+化疗</w:t>
            </w:r>
          </w:p>
        </w:tc>
        <w:tc>
          <w:tcPr/>
          <w:p>
            <w:pPr>
              <w:pStyle w:val="Compact"/>
              <w:jc w:val="left"/>
            </w:pPr>
            <w:r>
              <w:t xml:space="preserve">方向一致</w:t>
            </w:r>
          </w:p>
        </w:tc>
      </w:tr>
      <w:tr>
        <w:tc>
          <w:tcPr/>
          <w:p>
            <w:pPr>
              <w:pStyle w:val="Compact"/>
              <w:jc w:val="left"/>
            </w:pPr>
            <w:r>
              <w:t xml:space="preserve">HARMONi（北美）</w:t>
            </w:r>
          </w:p>
        </w:tc>
        <w:tc>
          <w:tcPr/>
          <w:p>
            <w:pPr>
              <w:pStyle w:val="Compact"/>
              <w:jc w:val="left"/>
            </w:pPr>
            <w:r>
              <w:t xml:space="preserve">0.70</w:t>
            </w:r>
          </w:p>
        </w:tc>
        <w:tc>
          <w:tcPr/>
          <w:p>
            <w:pPr>
              <w:pStyle w:val="Compact"/>
              <w:jc w:val="left"/>
            </w:pPr>
            <w:r>
              <w:t xml:space="preserve">更新中</w:t>
            </w:r>
          </w:p>
        </w:tc>
        <w:tc>
          <w:tcPr/>
          <w:p>
            <w:pPr>
              <w:pStyle w:val="Compact"/>
              <w:jc w:val="left"/>
            </w:pPr>
            <w:r>
              <w:t xml:space="preserve">安慰剂+化疗</w:t>
            </w:r>
          </w:p>
        </w:tc>
        <w:tc>
          <w:tcPr/>
          <w:p>
            <w:pPr>
              <w:pStyle w:val="Compact"/>
              <w:jc w:val="left"/>
            </w:pPr>
            <w:r>
              <w:t xml:space="preserve">更优趋势</w:t>
            </w:r>
          </w:p>
        </w:tc>
      </w:tr>
    </w:tbl>
    <w:p>
      <w:pPr>
        <w:pStyle w:val="BodyText"/>
      </w:pPr>
      <w:r>
        <w:t xml:space="preserve">OS HR分布在0.66–0.79的区间内，方向一致且均倾向于依沃西。HARMONi-6的OS HR（0.66）优于HARMONi-A（0.74）和HARMONi-2（0.777），可能与以下因素有关：联合化疗的协同效应更强；鳞癌患者血管生成更活跃，从VEGF阻断中获益更多；随访时间更长（21.40个月），获益充分显现。HARMONi-A的OS演变轨迹（从早期趋势到最终显著）提示HARMONi-2的OS HR=0.777在39%成熟度时是一个积极的早期信号，随着随访延长有望进一步改善</w:t>
      </w:r>
      <w:r>
        <w:rPr>
          <w:vertAlign w:val="superscript"/>
        </w:rPr>
        <w:t xml:space="preserve">2925</w:t>
      </w:r>
      <w:r>
        <w:t xml:space="preserve">。</w:t>
      </w:r>
    </w:p>
    <w:bookmarkEnd w:id="76"/>
    <w:bookmarkStart w:id="77" w:name="跨组织学类型外推依据"/>
    <w:p>
      <w:pPr>
        <w:pStyle w:val="Heading3"/>
      </w:pPr>
      <w:r>
        <w:t xml:space="preserve">3.4.4 跨组织学类型外推依据</w:t>
      </w:r>
    </w:p>
    <w:p>
      <w:pPr>
        <w:pStyle w:val="FirstParagraph"/>
      </w:pPr>
      <w:r>
        <w:t xml:space="preserve">鳞癌历来是抗血管生成治疗的”禁区”（贝伐珠单抗禁忌），但依沃西通过肿瘤微环境优先富集的设计突破了这一限制。跨组织学类型的外推依据如下：</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外推维度</w:t>
            </w:r>
          </w:p>
        </w:tc>
        <w:tc>
          <w:tcPr/>
          <w:p>
            <w:pPr>
              <w:pStyle w:val="Compact"/>
              <w:jc w:val="left"/>
            </w:pPr>
            <w:r>
              <w:t xml:space="preserve">证据来源</w:t>
            </w:r>
          </w:p>
        </w:tc>
        <w:tc>
          <w:tcPr/>
          <w:p>
            <w:pPr>
              <w:pStyle w:val="Compact"/>
              <w:jc w:val="left"/>
            </w:pPr>
            <w:r>
              <w:t xml:space="preserve">关键数据</w:t>
            </w:r>
          </w:p>
        </w:tc>
        <w:tc>
          <w:tcPr/>
          <w:p>
            <w:pPr>
              <w:pStyle w:val="Compact"/>
              <w:jc w:val="left"/>
            </w:pPr>
            <w:r>
              <w:t xml:space="preserve">外推逻辑</w:t>
            </w:r>
          </w:p>
        </w:tc>
      </w:tr>
      <w:tr>
        <w:tc>
          <w:tcPr/>
          <w:p>
            <w:pPr>
              <w:pStyle w:val="Compact"/>
              <w:jc w:val="left"/>
            </w:pPr>
            <w:r>
              <w:t xml:space="preserve">非鳞癌疗效</w:t>
            </w:r>
          </w:p>
        </w:tc>
        <w:tc>
          <w:tcPr/>
          <w:p>
            <w:pPr>
              <w:pStyle w:val="Compact"/>
              <w:jc w:val="left"/>
            </w:pPr>
            <w:r>
              <w:t xml:space="preserve">HARMONi-A</w:t>
            </w:r>
          </w:p>
        </w:tc>
        <w:tc>
          <w:tcPr/>
          <w:p>
            <w:pPr>
              <w:pStyle w:val="Compact"/>
              <w:jc w:val="left"/>
            </w:pPr>
            <w:r>
              <w:t xml:space="preserve">PFS HR 0.46</w:t>
            </w:r>
          </w:p>
        </w:tc>
        <w:tc>
          <w:tcPr/>
          <w:p>
            <w:pPr>
              <w:pStyle w:val="Compact"/>
              <w:jc w:val="left"/>
            </w:pPr>
            <w:r>
              <w:t xml:space="preserve">非鳞癌队列直接外推</w:t>
            </w:r>
          </w:p>
        </w:tc>
      </w:tr>
      <w:tr>
        <w:tc>
          <w:tcPr/>
          <w:p>
            <w:pPr>
              <w:pStyle w:val="Compact"/>
              <w:jc w:val="left"/>
            </w:pPr>
            <w:r>
              <w:t xml:space="preserve">鳞癌疗效</w:t>
            </w:r>
          </w:p>
        </w:tc>
        <w:tc>
          <w:tcPr/>
          <w:p>
            <w:pPr>
              <w:pStyle w:val="Compact"/>
              <w:jc w:val="left"/>
            </w:pPr>
            <w:r>
              <w:t xml:space="preserve">HARMONi-6</w:t>
            </w:r>
          </w:p>
        </w:tc>
        <w:tc>
          <w:tcPr/>
          <w:p>
            <w:pPr>
              <w:pStyle w:val="Compact"/>
              <w:jc w:val="left"/>
            </w:pPr>
            <w:r>
              <w:t xml:space="preserve">PFS HR 0.60</w:t>
            </w:r>
          </w:p>
        </w:tc>
        <w:tc>
          <w:tcPr/>
          <w:p>
            <w:pPr>
              <w:pStyle w:val="Compact"/>
              <w:jc w:val="left"/>
            </w:pPr>
            <w:r>
              <w:t xml:space="preserve">鳞癌队列内部验证</w:t>
            </w:r>
          </w:p>
        </w:tc>
      </w:tr>
      <w:tr>
        <w:tc>
          <w:tcPr/>
          <w:p>
            <w:pPr>
              <w:pStyle w:val="Compact"/>
              <w:jc w:val="left"/>
            </w:pPr>
            <w:r>
              <w:t xml:space="preserve">鳞癌安全性</w:t>
            </w:r>
          </w:p>
        </w:tc>
        <w:tc>
          <w:tcPr/>
          <w:p>
            <w:pPr>
              <w:pStyle w:val="Compact"/>
              <w:jc w:val="left"/>
            </w:pPr>
            <w:r>
              <w:t xml:space="preserve">HARMONi-2 + HARMONi-6</w:t>
            </w:r>
          </w:p>
        </w:tc>
        <w:tc>
          <w:tcPr/>
          <w:p>
            <w:pPr>
              <w:pStyle w:val="Compact"/>
              <w:jc w:val="left"/>
            </w:pPr>
            <w:r>
              <w:t xml:space="preserve">≥3级出血 0.00%→2.60%</w:t>
            </w:r>
          </w:p>
        </w:tc>
        <w:tc>
          <w:tcPr/>
          <w:p>
            <w:pPr>
              <w:pStyle w:val="Compact"/>
              <w:jc w:val="left"/>
            </w:pPr>
            <w:r>
              <w:t xml:space="preserve">高出血风险人群安全可控</w:t>
            </w:r>
          </w:p>
        </w:tc>
      </w:tr>
      <w:tr>
        <w:tc>
          <w:tcPr/>
          <w:p>
            <w:pPr>
              <w:pStyle w:val="Compact"/>
              <w:jc w:val="left"/>
            </w:pPr>
            <w:r>
              <w:t xml:space="preserve">抗VEGF机制</w:t>
            </w:r>
          </w:p>
        </w:tc>
        <w:tc>
          <w:tcPr/>
          <w:p>
            <w:pPr>
              <w:pStyle w:val="Compact"/>
              <w:jc w:val="left"/>
            </w:pPr>
            <w:r>
              <w:t xml:space="preserve">HARMONi-A + HARMONi-2</w:t>
            </w:r>
          </w:p>
        </w:tc>
        <w:tc>
          <w:tcPr/>
          <w:p>
            <w:pPr>
              <w:pStyle w:val="Compact"/>
              <w:jc w:val="left"/>
            </w:pPr>
            <w:r>
              <w:t xml:space="preserve">VEGF相关AE 3.10%–10.20%</w:t>
            </w:r>
          </w:p>
        </w:tc>
        <w:tc>
          <w:tcPr/>
          <w:p>
            <w:pPr>
              <w:pStyle w:val="Compact"/>
              <w:jc w:val="left"/>
            </w:pPr>
            <w:r>
              <w:t xml:space="preserve">毒性谱支持鳞癌安全使用</w:t>
            </w:r>
          </w:p>
        </w:tc>
      </w:tr>
      <w:tr>
        <w:tc>
          <w:tcPr/>
          <w:p>
            <w:pPr>
              <w:pStyle w:val="Compact"/>
              <w:jc w:val="left"/>
            </w:pPr>
            <w:r>
              <w:t xml:space="preserve">单药→联合</w:t>
            </w:r>
          </w:p>
        </w:tc>
        <w:tc>
          <w:tcPr/>
          <w:p>
            <w:pPr>
              <w:pStyle w:val="Compact"/>
              <w:jc w:val="left"/>
            </w:pPr>
            <w:r>
              <w:t xml:space="preserve">HARMONi-2→HARMONi-6</w:t>
            </w:r>
          </w:p>
        </w:tc>
        <w:tc>
          <w:tcPr/>
          <w:p>
            <w:pPr>
              <w:pStyle w:val="Compact"/>
              <w:jc w:val="left"/>
            </w:pPr>
            <w:r>
              <w:t xml:space="preserve">PFS HR 0.48→0.60</w:t>
            </w:r>
          </w:p>
        </w:tc>
        <w:tc>
          <w:tcPr/>
          <w:p>
            <w:pPr>
              <w:pStyle w:val="Compact"/>
              <w:jc w:val="left"/>
            </w:pPr>
            <w:r>
              <w:t xml:space="preserve">化疗协同增效，方向一致</w:t>
            </w:r>
          </w:p>
        </w:tc>
      </w:tr>
    </w:tbl>
    <w:p>
      <w:pPr>
        <w:pStyle w:val="BodyText"/>
      </w:pPr>
      <w:r>
        <w:t xml:space="preserve">HARMONi-2鳞癌亚组（单药）PFS HR=0.48，HARMONi-6鳞癌（联合化疗）PFS HR=0.60，两项研究一致显示依沃西在鳞癌中相比PD-1单药/联合具有显著PFS优势。更重要的是，HARMONi-6已证明鳞癌中PFS获益能转化为OS显著获益（HR=0.66，P=0.0017），为HARMONi-3鳞癌队列的设计提供了强有力的先验证据</w:t>
      </w:r>
      <w:r>
        <w:rPr>
          <w:vertAlign w:val="superscript"/>
        </w:rPr>
        <w:t xml:space="preserve">9171925</w:t>
      </w:r>
      <w:r>
        <w:t xml:space="preserve">。</w:t>
      </w:r>
    </w:p>
    <w:bookmarkEnd w:id="77"/>
    <w:bookmarkStart w:id="78" w:name="中国数据向全球数据的外推验证"/>
    <w:p>
      <w:pPr>
        <w:pStyle w:val="Heading3"/>
      </w:pPr>
      <w:r>
        <w:t xml:space="preserve">3.4.5 中国数据向全球数据的外推验证</w:t>
      </w:r>
    </w:p>
    <w:p>
      <w:pPr>
        <w:pStyle w:val="FirstParagraph"/>
      </w:pPr>
      <w:r>
        <w:t xml:space="preserve">HARMONi-A的全球扩展研究HARMONi提供了中国数据向全球人群外推的关键验证：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验证维度</w:t>
            </w:r>
          </w:p>
        </w:tc>
        <w:tc>
          <w:tcPr/>
          <w:p>
            <w:pPr>
              <w:pStyle w:val="Compact"/>
              <w:jc w:val="left"/>
            </w:pPr>
            <w:r>
              <w:t xml:space="preserve">中国数据</w:t>
            </w:r>
          </w:p>
        </w:tc>
        <w:tc>
          <w:tcPr/>
          <w:p>
            <w:pPr>
              <w:pStyle w:val="Compact"/>
              <w:jc w:val="left"/>
            </w:pPr>
            <w:r>
              <w:t xml:space="preserve">全球数据</w:t>
            </w:r>
          </w:p>
        </w:tc>
        <w:tc>
          <w:tcPr/>
          <w:p>
            <w:pPr>
              <w:pStyle w:val="Compact"/>
              <w:jc w:val="left"/>
            </w:pPr>
            <w:r>
              <w:t xml:space="preserve">一致性评估</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0.52</w:t>
            </w:r>
          </w:p>
        </w:tc>
        <w:tc>
          <w:tcPr/>
          <w:p>
            <w:pPr>
              <w:pStyle w:val="Compact"/>
              <w:jc w:val="left"/>
            </w:pPr>
            <w:r>
              <w:t xml:space="preserve">高度一致（CI重叠）</w:t>
            </w:r>
          </w:p>
        </w:tc>
      </w:tr>
      <w:tr>
        <w:tc>
          <w:tcPr/>
          <w:p>
            <w:pPr>
              <w:pStyle w:val="Compact"/>
              <w:jc w:val="left"/>
            </w:pPr>
            <w:r>
              <w:t xml:space="preserve">mPFS差异</w:t>
            </w:r>
          </w:p>
        </w:tc>
        <w:tc>
          <w:tcPr/>
          <w:p>
            <w:pPr>
              <w:pStyle w:val="Compact"/>
              <w:jc w:val="left"/>
            </w:pPr>
            <w:r>
              <w:t xml:space="preserve">+2.30个月</w:t>
            </w:r>
          </w:p>
        </w:tc>
        <w:tc>
          <w:tcPr/>
          <w:p>
            <w:pPr>
              <w:pStyle w:val="Compact"/>
              <w:jc w:val="left"/>
            </w:pPr>
            <w:r>
              <w:t xml:space="preserve">+2.40个月</w:t>
            </w:r>
          </w:p>
        </w:tc>
        <w:tc>
          <w:tcPr/>
          <w:p>
            <w:pPr>
              <w:pStyle w:val="Compact"/>
              <w:jc w:val="left"/>
            </w:pPr>
            <w:r>
              <w:t xml:space="preserve">一致</w:t>
            </w:r>
          </w:p>
        </w:tc>
      </w:tr>
      <w:tr>
        <w:tc>
          <w:tcPr/>
          <w:p>
            <w:pPr>
              <w:pStyle w:val="Compact"/>
              <w:jc w:val="left"/>
            </w:pPr>
            <w:r>
              <w:t xml:space="preserve">脑转移PFS HR</w:t>
            </w:r>
          </w:p>
        </w:tc>
        <w:tc>
          <w:tcPr/>
          <w:p>
            <w:pPr>
              <w:pStyle w:val="Compact"/>
              <w:jc w:val="left"/>
            </w:pPr>
            <w:r>
              <w:t xml:space="preserve">0.40</w:t>
            </w:r>
          </w:p>
        </w:tc>
        <w:tc>
          <w:tcPr/>
          <w:p>
            <w:pPr>
              <w:pStyle w:val="Compact"/>
              <w:jc w:val="left"/>
            </w:pPr>
            <w:r>
              <w:t xml:space="preserve">0.34</w:t>
            </w:r>
          </w:p>
        </w:tc>
        <w:tc>
          <w:tcPr/>
          <w:p>
            <w:pPr>
              <w:pStyle w:val="Compact"/>
              <w:jc w:val="left"/>
            </w:pPr>
            <w:r>
              <w:t xml:space="preserve">高度一致</w:t>
            </w:r>
          </w:p>
        </w:tc>
      </w:tr>
      <w:tr>
        <w:tc>
          <w:tcPr/>
          <w:p>
            <w:pPr>
              <w:pStyle w:val="Compact"/>
              <w:jc w:val="left"/>
            </w:pPr>
            <w:r>
              <w:t xml:space="preserve">颅内mPFS</w:t>
            </w:r>
          </w:p>
        </w:tc>
        <w:tc>
          <w:tcPr/>
          <w:p>
            <w:pPr>
              <w:pStyle w:val="Compact"/>
              <w:jc w:val="left"/>
            </w:pPr>
            <w:r>
              <w:t xml:space="preserve">—</w:t>
            </w:r>
          </w:p>
        </w:tc>
        <w:tc>
          <w:tcPr/>
          <w:p>
            <w:pPr>
              <w:pStyle w:val="Compact"/>
              <w:jc w:val="left"/>
            </w:pPr>
            <w:r>
              <w:t xml:space="preserve">10.10 vs 6.50</w:t>
            </w:r>
          </w:p>
        </w:tc>
        <w:tc>
          <w:tcPr/>
          <w:p>
            <w:pPr>
              <w:pStyle w:val="Compact"/>
              <w:jc w:val="left"/>
            </w:pPr>
            <w:r>
              <w:t xml:space="preserve">数据互补</w:t>
            </w:r>
          </w:p>
        </w:tc>
      </w:tr>
      <w:tr>
        <w:tc>
          <w:tcPr/>
          <w:p>
            <w:pPr>
              <w:pStyle w:val="Compact"/>
              <w:jc w:val="left"/>
            </w:pPr>
            <w:r>
              <w:t xml:space="preserve">OS HR</w:t>
            </w:r>
          </w:p>
        </w:tc>
        <w:tc>
          <w:tcPr/>
          <w:p>
            <w:pPr>
              <w:pStyle w:val="Compact"/>
              <w:jc w:val="left"/>
            </w:pPr>
            <w:r>
              <w:t xml:space="preserve">0.74</w:t>
            </w:r>
          </w:p>
        </w:tc>
        <w:tc>
          <w:tcPr/>
          <w:p>
            <w:pPr>
              <w:pStyle w:val="Compact"/>
              <w:jc w:val="left"/>
            </w:pPr>
            <w:r>
              <w:t xml:space="preserve">0.78</w:t>
            </w:r>
          </w:p>
        </w:tc>
        <w:tc>
          <w:tcPr/>
          <w:p>
            <w:pPr>
              <w:pStyle w:val="Compact"/>
              <w:jc w:val="left"/>
            </w:pPr>
            <w:r>
              <w:t xml:space="preserve">方向一致</w:t>
            </w:r>
          </w:p>
        </w:tc>
      </w:tr>
      <w:tr>
        <w:tc>
          <w:tcPr/>
          <w:p>
            <w:pPr>
              <w:pStyle w:val="Compact"/>
              <w:jc w:val="left"/>
            </w:pPr>
            <w:r>
              <w:t xml:space="preserve">北美OS HR</w:t>
            </w:r>
          </w:p>
        </w:tc>
        <w:tc>
          <w:tcPr/>
          <w:p>
            <w:pPr>
              <w:pStyle w:val="Compact"/>
              <w:jc w:val="left"/>
            </w:pPr>
            <w:r>
              <w:t xml:space="preserve">—</w:t>
            </w:r>
          </w:p>
        </w:tc>
        <w:tc>
          <w:tcPr/>
          <w:p>
            <w:pPr>
              <w:pStyle w:val="Compact"/>
              <w:jc w:val="left"/>
            </w:pPr>
            <w:r>
              <w:t xml:space="preserve">0.70</w:t>
            </w:r>
          </w:p>
        </w:tc>
        <w:tc>
          <w:tcPr/>
          <w:p>
            <w:pPr>
              <w:pStyle w:val="Compact"/>
              <w:jc w:val="left"/>
            </w:pPr>
            <w:r>
              <w:t xml:space="preserve">可能更优</w:t>
            </w:r>
          </w:p>
        </w:tc>
      </w:tr>
      <w:tr>
        <w:tc>
          <w:tcPr/>
          <w:p>
            <w:pPr>
              <w:pStyle w:val="Compact"/>
              <w:jc w:val="left"/>
            </w:pPr>
            <w:r>
              <w:t xml:space="preserve">ORR</w:t>
            </w:r>
          </w:p>
        </w:tc>
        <w:tc>
          <w:tcPr/>
          <w:p>
            <w:pPr>
              <w:pStyle w:val="Compact"/>
              <w:jc w:val="left"/>
            </w:pPr>
            <w:r>
              <w:t xml:space="preserve">50.60%</w:t>
            </w:r>
          </w:p>
        </w:tc>
        <w:tc>
          <w:tcPr/>
          <w:p>
            <w:pPr>
              <w:pStyle w:val="Compact"/>
              <w:jc w:val="left"/>
            </w:pPr>
            <w:r>
              <w:t xml:space="preserve">44.70%</w:t>
            </w:r>
          </w:p>
        </w:tc>
        <w:tc>
          <w:tcPr/>
          <w:p>
            <w:pPr>
              <w:pStyle w:val="Compact"/>
              <w:jc w:val="left"/>
            </w:pPr>
            <w:r>
              <w:t xml:space="preserve">略低（可能因基线差异）</w:t>
            </w:r>
          </w:p>
        </w:tc>
      </w:tr>
      <w:tr>
        <w:tc>
          <w:tcPr/>
          <w:p>
            <w:pPr>
              <w:pStyle w:val="Compact"/>
              <w:jc w:val="left"/>
            </w:pPr>
            <w:r>
              <w:t xml:space="preserve">DoR</w:t>
            </w:r>
          </w:p>
        </w:tc>
        <w:tc>
          <w:tcPr/>
          <w:p>
            <w:pPr>
              <w:pStyle w:val="Compact"/>
              <w:jc w:val="left"/>
            </w:pPr>
            <w:r>
              <w:t xml:space="preserve">6.90个月</w:t>
            </w:r>
          </w:p>
        </w:tc>
        <w:tc>
          <w:tcPr/>
          <w:p>
            <w:pPr>
              <w:pStyle w:val="Compact"/>
              <w:jc w:val="left"/>
            </w:pPr>
            <w:r>
              <w:t xml:space="preserve">7.60个月</w:t>
            </w:r>
          </w:p>
        </w:tc>
        <w:tc>
          <w:tcPr/>
          <w:p>
            <w:pPr>
              <w:pStyle w:val="Compact"/>
              <w:jc w:val="left"/>
            </w:pPr>
            <w:r>
              <w:t xml:space="preserve">一致</w:t>
            </w:r>
          </w:p>
        </w:tc>
      </w:tr>
    </w:tbl>
    <w:p>
      <w:pPr>
        <w:pStyle w:val="BodyText"/>
      </w:pPr>
      <w:r>
        <w:t xml:space="preserve">PFS HR在中国（0.46）和全球（0.52）数据中的高度一致，为HARMONi-3全球多中心研究的成功提供了最坚实的外推基础。北美人群OS HR=0.70优于总人群HR=0.78，提示HARMONi-3在欧美人群中可能获得更强的OS信号。此外，HARMONi-2中帕博利珠组mPFS 5.82个月与全球数据（KEYNOTE-042全球mPFS 6.40个月，中国扩展组mPFS 6.30个月）高度一致，表明中国患者的K药反应与全球人群相当，进一步支持中国数据的外推性</w:t>
      </w:r>
      <w:r>
        <w:rPr>
          <w:vertAlign w:val="superscript"/>
        </w:rPr>
        <w:t xml:space="preserve">17912</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中国数据向全球外推的支持因素</w:t>
            </w:r>
          </w:p>
        </w:tc>
        <w:tc>
          <w:tcPr/>
          <w:p>
            <w:pPr>
              <w:pStyle w:val="Compact"/>
              <w:jc w:val="left"/>
            </w:pPr>
            <w:r>
              <w:t xml:space="preserve">评估</w:t>
            </w:r>
          </w:p>
        </w:tc>
      </w:tr>
      <w:tr>
        <w:tc>
          <w:tcPr/>
          <w:p>
            <w:pPr>
              <w:pStyle w:val="Compact"/>
              <w:jc w:val="left"/>
            </w:pPr>
            <w:r>
              <w:t xml:space="preserve">HARMONi全球研究已验证PFS一致性</w:t>
            </w:r>
          </w:p>
        </w:tc>
        <w:tc>
          <w:tcPr/>
          <w:p>
            <w:pPr>
              <w:pStyle w:val="Compact"/>
              <w:jc w:val="left"/>
            </w:pPr>
            <w:r>
              <w:t xml:space="preserve">高置信度</w:t>
            </w:r>
          </w:p>
        </w:tc>
      </w:tr>
      <w:tr>
        <w:tc>
          <w:tcPr/>
          <w:p>
            <w:pPr>
              <w:pStyle w:val="Compact"/>
              <w:jc w:val="left"/>
            </w:pPr>
            <w:r>
              <w:t xml:space="preserve">北美人群OS趋势可能更优</w:t>
            </w:r>
          </w:p>
        </w:tc>
        <w:tc>
          <w:tcPr/>
          <w:p>
            <w:pPr>
              <w:pStyle w:val="Compact"/>
              <w:jc w:val="left"/>
            </w:pPr>
            <w:r>
              <w:t xml:space="preserve">积极信号</w:t>
            </w:r>
          </w:p>
        </w:tc>
      </w:tr>
      <w:tr>
        <w:tc>
          <w:tcPr/>
          <w:p>
            <w:pPr>
              <w:pStyle w:val="Compact"/>
              <w:jc w:val="left"/>
            </w:pPr>
            <w:r>
              <w:t xml:space="preserve">对照组（K药）疗效中国=全球</w:t>
            </w:r>
          </w:p>
        </w:tc>
        <w:tc>
          <w:tcPr/>
          <w:p>
            <w:pPr>
              <w:pStyle w:val="Compact"/>
              <w:jc w:val="left"/>
            </w:pPr>
            <w:r>
              <w:t xml:space="preserve">基线可比</w:t>
            </w:r>
          </w:p>
        </w:tc>
      </w:tr>
      <w:tr>
        <w:tc>
          <w:tcPr/>
          <w:p>
            <w:pPr>
              <w:pStyle w:val="Compact"/>
              <w:jc w:val="left"/>
            </w:pPr>
            <w:r>
              <w:t xml:space="preserve">依沃西分子机制无人种特异性</w:t>
            </w:r>
          </w:p>
        </w:tc>
        <w:tc>
          <w:tcPr/>
          <w:p>
            <w:pPr>
              <w:pStyle w:val="Compact"/>
              <w:jc w:val="left"/>
            </w:pPr>
            <w:r>
              <w:t xml:space="preserve">机制支持</w:t>
            </w:r>
          </w:p>
        </w:tc>
      </w:tr>
      <w:tr>
        <w:tc>
          <w:tcPr/>
          <w:p>
            <w:pPr>
              <w:pStyle w:val="Compact"/>
              <w:jc w:val="left"/>
            </w:pPr>
            <w:r>
              <w:t xml:space="preserve">需关注OS获益的全球差异</w:t>
            </w:r>
          </w:p>
        </w:tc>
        <w:tc>
          <w:tcPr/>
          <w:p>
            <w:pPr>
              <w:pStyle w:val="Compact"/>
              <w:jc w:val="left"/>
            </w:pPr>
            <w:r>
              <w:t xml:space="preserve">中等风险</w:t>
            </w:r>
          </w:p>
        </w:tc>
      </w:tr>
      <w:tr>
        <w:tc>
          <w:tcPr/>
          <w:p>
            <w:pPr>
              <w:pStyle w:val="Compact"/>
              <w:jc w:val="left"/>
            </w:pPr>
            <w:r>
              <w:t xml:space="preserve">非鳞癌全球数据尚需验证</w:t>
            </w:r>
          </w:p>
        </w:tc>
        <w:tc>
          <w:tcPr/>
          <w:p>
            <w:pPr>
              <w:pStyle w:val="Compact"/>
              <w:jc w:val="left"/>
            </w:pPr>
            <w:r>
              <w:t xml:space="preserve">等待HARMONi-3</w:t>
            </w:r>
          </w:p>
        </w:tc>
      </w:tr>
    </w:tbl>
    <w:p>
      <w:r>
        <w:pict>
          <v:rect style="width:0;height:1.5pt" o:hralign="center" o:hrstd="t" o:hr="t"/>
        </w:pict>
      </w:r>
    </w:p>
    <w:p>
      <w:pPr>
        <w:pStyle w:val="FirstParagraph"/>
      </w:pPr>
      <w:r>
        <w:rPr>
          <w:bCs/>
          <w:b/>
        </w:rPr>
        <w:t xml:space="preserve">核心结论</w:t>
      </w:r>
      <w:r>
        <w:t xml:space="preserve">：HARMONi-A、HARMONi-2、HARMONi-6三项研究构成了依沃西临床开发中逐级递进的证据链条。从PFS HR 0.46（二线EGFRm+化疗）到0.51（一线PD-L1+单药）到0.60（一线鳞癌+化疗），依沃西在三种截然不同的临床场景中均展现出稳定而优异的疗效信号。OS数据从HARMONi-A的显著阳性（HR=0.74，P=0.019）到HARMONi-6的双阳性（HR=0.66，P=0.0017），再到HARMONi-2的方向性获益（HR=0.777），呈现出一致的获益趋势。鳞癌安全性的突破（HARMONi-2中0%≥3级出血、HARMONi-6中2.60%≥3级出血）打破了传统抗VEGF药物的禁忌，为HARMONi-3的全球鳞癌队列奠定了坚实的安全性基础。全球数据一致性验证（HARMONi全球PFS HR=0.52 vs 中国0.46）进一步增强了HARMONi-3跨人群成功的外推信心。这三项研究共同构成的历史临床数据深度图谱，为HARMONi-3的结果预测提供了多维度、跨场景、强一致性的循证基础。</w:t>
      </w:r>
    </w:p>
    <w:p>
      <w:r>
        <w:pict>
          <v:rect style="width:0;height:1.5pt" o:hralign="center" o:hrstd="t" o:hr="t"/>
        </w:pict>
      </w:r>
    </w:p>
    <w:bookmarkEnd w:id="78"/>
    <w:bookmarkEnd w:id="79"/>
    <w:bookmarkStart w:id="80" w:name="脚注-2"/>
    <w:p>
      <w:pPr>
        <w:pStyle w:val="Heading2"/>
      </w:pPr>
      <w:r>
        <w:t xml:space="preserve">脚注</w:t>
      </w:r>
    </w:p>
    <w:p>
      <w:r>
        <w:pict>
          <v:rect style="width:0;height:1.5pt" o:hralign="center" o:hrstd="t" o:hr="t"/>
        </w:pict>
      </w:r>
    </w:p>
    <w:bookmarkEnd w:id="80"/>
    <w:bookmarkEnd w:id="81"/>
    <w:bookmarkStart w:id="100" w:name="第四章-对照基准keytruda在一线nsclc的历史数据"/>
    <w:p>
      <w:pPr>
        <w:pStyle w:val="Heading1"/>
      </w:pPr>
      <w:r>
        <w:t xml:space="preserve">第四章 对照基准：Keytruda在一线NSCLC的历史数据</w:t>
      </w:r>
    </w:p>
    <w:p>
      <w:pPr>
        <w:pStyle w:val="FirstParagraph"/>
      </w:pPr>
      <w:r>
        <w:t xml:space="preserve">作为竞争情报分析，建立准确的历史对照基准是预测HARMONi-3（AK112+化疗 vs 帕博利珠单抗+化疗）结果的前提。本章系统梳理Keytruda（Pembrolizumab）在一线鳞状与非鳞NSCLC中的全球及中国人群数据，并横向对比其他免疫方案，为HARMONi-3的结果解读提供参照坐标。</w:t>
      </w:r>
    </w:p>
    <w:bookmarkStart w:id="87" w:name="keynote-407一线鳞状nsclc的全球基准"/>
    <w:p>
      <w:pPr>
        <w:pStyle w:val="Heading2"/>
      </w:pPr>
      <w:r>
        <w:t xml:space="preserve">4.1 KEYNOTE-407：一线鳞状NSCLC的全球基准</w:t>
      </w:r>
    </w:p>
    <w:bookmarkStart w:id="82" w:name="研究设计与人群"/>
    <w:p>
      <w:pPr>
        <w:pStyle w:val="Heading3"/>
      </w:pPr>
      <w:r>
        <w:t xml:space="preserve">4.1.1 研究设计与人群</w:t>
      </w:r>
    </w:p>
    <w:p>
      <w:pPr>
        <w:pStyle w:val="FirstParagraph"/>
      </w:pPr>
      <w:r>
        <w:t xml:space="preserve">KEYNOTE-407（NCT02775435）是确立Pembrolizumab联合化疗作为一线鳞状NSCLC（sq-NSCLC）全球标准治疗的关键III期试验。该研究为一项多中心、随机、双盲、安慰剂对照设计，共入组559例既往未经治疗的转移性sq-NSCLC患者，按1:1随机分配至Pembrolizumab 200mg Q3W联合卡铂+紫杉醇/白蛋白紫杉醇（4周期）或安慰剂联合化疗</w:t>
      </w:r>
      <w:r>
        <w:rPr>
          <w:vertAlign w:val="superscript"/>
        </w:rPr>
        <w:t xml:space="preserve">1</w:t>
      </w:r>
      <w:r>
        <w:t xml:space="preserve">。基线特征显示，两组患者中位年龄均为65岁，男性占78%，当前/既往吸烟史约88%-91%，PD-L1 TPS分层均衡（&lt;1%占35%，1-49%占35%，≥50%占30%），东亚人群占比19%</w:t>
      </w:r>
      <w:r>
        <w:rPr>
          <w:vertAlign w:val="superscript"/>
        </w:rPr>
        <w:t xml:space="preserve">12</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基线特征</w:t>
            </w:r>
          </w:p>
        </w:tc>
        <w:tc>
          <w:tcPr/>
          <w:p>
            <w:pPr>
              <w:pStyle w:val="Compact"/>
              <w:jc w:val="left"/>
            </w:pPr>
            <w:r>
              <w:t xml:space="preserve">Pembrolizumab+化疗（n=278）</w:t>
            </w:r>
          </w:p>
        </w:tc>
        <w:tc>
          <w:tcPr/>
          <w:p>
            <w:pPr>
              <w:pStyle w:val="Compact"/>
              <w:jc w:val="left"/>
            </w:pPr>
            <w:r>
              <w:t xml:space="preserve">安慰剂+化疗（n=280）</w:t>
            </w:r>
          </w:p>
        </w:tc>
      </w:tr>
      <w:tr>
        <w:tc>
          <w:tcPr/>
          <w:p>
            <w:pPr>
              <w:pStyle w:val="Compact"/>
              <w:jc w:val="left"/>
            </w:pPr>
            <w:r>
              <w:t xml:space="preserve">中位年龄</w:t>
            </w:r>
          </w:p>
        </w:tc>
        <w:tc>
          <w:tcPr/>
          <w:p>
            <w:pPr>
              <w:pStyle w:val="Compact"/>
              <w:jc w:val="left"/>
            </w:pPr>
            <w:r>
              <w:t xml:space="preserve">65岁</w:t>
            </w:r>
          </w:p>
        </w:tc>
        <w:tc>
          <w:tcPr/>
          <w:p>
            <w:pPr>
              <w:pStyle w:val="Compact"/>
              <w:jc w:val="left"/>
            </w:pPr>
            <w:r>
              <w:t xml:space="preserve">65岁</w:t>
            </w:r>
          </w:p>
        </w:tc>
      </w:tr>
      <w:tr>
        <w:tc>
          <w:tcPr/>
          <w:p>
            <w:pPr>
              <w:pStyle w:val="Compact"/>
              <w:jc w:val="left"/>
            </w:pPr>
            <w:r>
              <w:t xml:space="preserve">男性</w:t>
            </w:r>
          </w:p>
        </w:tc>
        <w:tc>
          <w:tcPr/>
          <w:p>
            <w:pPr>
              <w:pStyle w:val="Compact"/>
              <w:jc w:val="left"/>
            </w:pPr>
            <w:r>
              <w:t xml:space="preserve">78%</w:t>
            </w:r>
          </w:p>
        </w:tc>
        <w:tc>
          <w:tcPr/>
          <w:p>
            <w:pPr>
              <w:pStyle w:val="Compact"/>
              <w:jc w:val="left"/>
            </w:pPr>
            <w:r>
              <w:t xml:space="preserve">78%</w:t>
            </w:r>
          </w:p>
        </w:tc>
      </w:tr>
      <w:tr>
        <w:tc>
          <w:tcPr/>
          <w:p>
            <w:pPr>
              <w:pStyle w:val="Compact"/>
              <w:jc w:val="left"/>
            </w:pPr>
            <w:r>
              <w:t xml:space="preserve">当前/既往吸烟</w:t>
            </w:r>
          </w:p>
        </w:tc>
        <w:tc>
          <w:tcPr/>
          <w:p>
            <w:pPr>
              <w:pStyle w:val="Compact"/>
              <w:jc w:val="left"/>
            </w:pPr>
            <w:r>
              <w:t xml:space="preserve">88%</w:t>
            </w:r>
          </w:p>
        </w:tc>
        <w:tc>
          <w:tcPr/>
          <w:p>
            <w:pPr>
              <w:pStyle w:val="Compact"/>
              <w:jc w:val="left"/>
            </w:pPr>
            <w:r>
              <w:t xml:space="preserve">91%</w:t>
            </w:r>
          </w:p>
        </w:tc>
      </w:tr>
      <w:tr>
        <w:tc>
          <w:tcPr/>
          <w:p>
            <w:pPr>
              <w:pStyle w:val="Compact"/>
              <w:jc w:val="left"/>
            </w:pPr>
            <w:r>
              <w:t xml:space="preserve">PD-L1 TPS &lt;1%</w:t>
            </w:r>
          </w:p>
        </w:tc>
        <w:tc>
          <w:tcPr/>
          <w:p>
            <w:pPr>
              <w:pStyle w:val="Compact"/>
              <w:jc w:val="left"/>
            </w:pPr>
            <w:r>
              <w:t xml:space="preserve">35%</w:t>
            </w:r>
          </w:p>
        </w:tc>
        <w:tc>
          <w:tcPr/>
          <w:p>
            <w:pPr>
              <w:pStyle w:val="Compact"/>
              <w:jc w:val="left"/>
            </w:pPr>
            <w:r>
              <w:t xml:space="preserve">35%</w:t>
            </w:r>
          </w:p>
        </w:tc>
      </w:tr>
      <w:tr>
        <w:tc>
          <w:tcPr/>
          <w:p>
            <w:pPr>
              <w:pStyle w:val="Compact"/>
              <w:jc w:val="left"/>
            </w:pPr>
            <w:r>
              <w:t xml:space="preserve">PD-L1 TPS 1-49%</w:t>
            </w:r>
          </w:p>
        </w:tc>
        <w:tc>
          <w:tcPr/>
          <w:p>
            <w:pPr>
              <w:pStyle w:val="Compact"/>
              <w:jc w:val="left"/>
            </w:pPr>
            <w:r>
              <w:t xml:space="preserve">35%</w:t>
            </w:r>
          </w:p>
        </w:tc>
        <w:tc>
          <w:tcPr/>
          <w:p>
            <w:pPr>
              <w:pStyle w:val="Compact"/>
              <w:jc w:val="left"/>
            </w:pPr>
            <w:r>
              <w:t xml:space="preserve">36%</w:t>
            </w:r>
          </w:p>
        </w:tc>
      </w:tr>
      <w:tr>
        <w:tc>
          <w:tcPr/>
          <w:p>
            <w:pPr>
              <w:pStyle w:val="Compact"/>
              <w:jc w:val="left"/>
            </w:pPr>
            <w:r>
              <w:t xml:space="preserve">PD-L1 TPS ≥50%</w:t>
            </w:r>
          </w:p>
        </w:tc>
        <w:tc>
          <w:tcPr/>
          <w:p>
            <w:pPr>
              <w:pStyle w:val="Compact"/>
              <w:jc w:val="left"/>
            </w:pPr>
            <w:r>
              <w:t xml:space="preserve">30%</w:t>
            </w:r>
          </w:p>
        </w:tc>
        <w:tc>
          <w:tcPr/>
          <w:p>
            <w:pPr>
              <w:pStyle w:val="Compact"/>
              <w:jc w:val="left"/>
            </w:pPr>
            <w:r>
              <w:t xml:space="preserve">29%</w:t>
            </w:r>
          </w:p>
        </w:tc>
      </w:tr>
      <w:tr>
        <w:tc>
          <w:tcPr/>
          <w:p>
            <w:pPr>
              <w:pStyle w:val="Compact"/>
              <w:jc w:val="left"/>
            </w:pPr>
            <w:r>
              <w:t xml:space="preserve">东亚人群</w:t>
            </w:r>
          </w:p>
        </w:tc>
        <w:tc>
          <w:tcPr/>
          <w:p>
            <w:pPr>
              <w:pStyle w:val="Compact"/>
              <w:jc w:val="left"/>
            </w:pPr>
            <w:r>
              <w:t xml:space="preserve">19%</w:t>
            </w:r>
          </w:p>
        </w:tc>
        <w:tc>
          <w:tcPr/>
          <w:p>
            <w:pPr>
              <w:pStyle w:val="Compact"/>
              <w:jc w:val="left"/>
            </w:pPr>
            <w:r>
              <w:t xml:space="preserve">19%</w:t>
            </w:r>
          </w:p>
        </w:tc>
      </w:tr>
    </w:tbl>
    <w:p>
      <w:pPr>
        <w:pStyle w:val="BodyText"/>
      </w:pPr>
      <w:r>
        <w:rPr>
          <w:iCs/>
          <w:i/>
        </w:rPr>
        <w:t xml:space="preserve">数据来源：KEYNOTE-407主要分析及最终分析</w:t>
      </w:r>
      <w:r>
        <w:rPr>
          <w:vertAlign w:val="superscript"/>
          <w:iCs/>
          <w:i/>
        </w:rPr>
        <w:t xml:space="preserve">12</w:t>
      </w:r>
    </w:p>
    <w:bookmarkEnd w:id="82"/>
    <w:bookmarkStart w:id="83" w:name="主要疗效终点"/>
    <w:p>
      <w:pPr>
        <w:pStyle w:val="Heading3"/>
      </w:pPr>
      <w:r>
        <w:t xml:space="preserve">4.1.2 主要疗效终点</w:t>
      </w:r>
    </w:p>
    <w:p>
      <w:pPr>
        <w:pStyle w:val="FirstParagraph"/>
      </w:pPr>
      <w:r>
        <w:t xml:space="preserve">KEYNOTE-407经历了从第二次期中分析到最终分析、再到5年长期随访的完整数据演进，各阶段结果高度一致：</w:t>
      </w:r>
    </w:p>
    <w:tbl>
      <w:tblPr>
        <w:tblStyle w:val="Table"/>
        <w:tblW w:type="pct" w:w="5000"/>
        <w:tblLook w:firstRow="1" w:lastRow="0" w:firstColumn="0" w:lastColumn="0" w:noHBand="0" w:noVBand="0" w:val="0020"/>
        <w:jc w:val="start"/>
        <w:tblLayout w:type="fixed"/>
      </w:tblPr>
      <w:tblGrid>
        <w:gridCol w:w="792"/>
        <w:gridCol w:w="792"/>
        <w:gridCol w:w="880"/>
        <w:gridCol w:w="880"/>
        <w:gridCol w:w="1320"/>
        <w:gridCol w:w="880"/>
        <w:gridCol w:w="880"/>
        <w:gridCol w:w="1496"/>
      </w:tblGrid>
      <w:tr>
        <w:trPr>
          <w:tblHeader w:val="true"/>
        </w:trPr>
        <w:tc>
          <w:tcPr/>
          <w:p>
            <w:pPr>
              <w:pStyle w:val="Compact"/>
              <w:jc w:val="left"/>
            </w:pPr>
            <w:r>
              <w:t xml:space="preserve">分析阶段</w:t>
            </w:r>
          </w:p>
        </w:tc>
        <w:tc>
          <w:tcPr/>
          <w:p>
            <w:pPr>
              <w:pStyle w:val="Compact"/>
              <w:jc w:val="left"/>
            </w:pPr>
            <w:r>
              <w:t xml:space="preserve">中位随访</w:t>
            </w:r>
          </w:p>
        </w:tc>
        <w:tc>
          <w:tcPr/>
          <w:p>
            <w:pPr>
              <w:pStyle w:val="Compact"/>
              <w:jc w:val="left"/>
            </w:pPr>
            <w:r>
              <w:t xml:space="preserve">试验组mOS</w:t>
            </w:r>
          </w:p>
        </w:tc>
        <w:tc>
          <w:tcPr/>
          <w:p>
            <w:pPr>
              <w:pStyle w:val="Compact"/>
              <w:jc w:val="left"/>
            </w:pPr>
            <w:r>
              <w:t xml:space="preserve">对照组mOS</w:t>
            </w:r>
          </w:p>
        </w:tc>
        <w:tc>
          <w:tcPr/>
          <w:p>
            <w:pPr>
              <w:pStyle w:val="Compact"/>
              <w:jc w:val="left"/>
            </w:pPr>
            <w:r>
              <w:t xml:space="preserve">OS HR（95% CI）</w:t>
            </w:r>
          </w:p>
        </w:tc>
        <w:tc>
          <w:tcPr/>
          <w:p>
            <w:pPr>
              <w:pStyle w:val="Compact"/>
              <w:jc w:val="left"/>
            </w:pPr>
            <w:r>
              <w:t xml:space="preserve">试验组mPFS</w:t>
            </w:r>
          </w:p>
        </w:tc>
        <w:tc>
          <w:tcPr/>
          <w:p>
            <w:pPr>
              <w:pStyle w:val="Compact"/>
              <w:jc w:val="left"/>
            </w:pPr>
            <w:r>
              <w:t xml:space="preserve">对照组mPFS</w:t>
            </w:r>
          </w:p>
        </w:tc>
        <w:tc>
          <w:tcPr/>
          <w:p>
            <w:pPr>
              <w:pStyle w:val="Compact"/>
              <w:jc w:val="left"/>
            </w:pPr>
            <w:r>
              <w:t xml:space="preserve">PFS HR（95% CI）</w:t>
            </w:r>
          </w:p>
        </w:tc>
      </w:tr>
      <w:tr>
        <w:tc>
          <w:tcPr/>
          <w:p>
            <w:pPr>
              <w:pStyle w:val="Compact"/>
              <w:jc w:val="left"/>
            </w:pPr>
            <w:r>
              <w:t xml:space="preserve">第二次期中分析</w:t>
            </w:r>
            <w:r>
              <w:rPr>
                <w:vertAlign w:val="superscript"/>
              </w:rPr>
              <w:t xml:space="preserve">1</w:t>
            </w:r>
          </w:p>
        </w:tc>
        <w:tc>
          <w:tcPr/>
          <w:p>
            <w:pPr>
              <w:pStyle w:val="Compact"/>
              <w:jc w:val="left"/>
            </w:pPr>
            <w:r>
              <w:t xml:space="preserve">7.8个月</w:t>
            </w:r>
          </w:p>
        </w:tc>
        <w:tc>
          <w:tcPr/>
          <w:p>
            <w:pPr>
              <w:pStyle w:val="Compact"/>
              <w:jc w:val="left"/>
            </w:pPr>
            <w:r>
              <w:t xml:space="preserve">15.9个月</w:t>
            </w:r>
          </w:p>
        </w:tc>
        <w:tc>
          <w:tcPr/>
          <w:p>
            <w:pPr>
              <w:pStyle w:val="Compact"/>
              <w:jc w:val="left"/>
            </w:pPr>
            <w:r>
              <w:t xml:space="preserve">11.3个月</w:t>
            </w:r>
          </w:p>
        </w:tc>
        <w:tc>
          <w:tcPr/>
          <w:p>
            <w:pPr>
              <w:pStyle w:val="Compact"/>
              <w:jc w:val="left"/>
            </w:pPr>
            <w:r>
              <w:t xml:space="preserve">0.64（0.49-0.85）</w:t>
            </w:r>
          </w:p>
        </w:tc>
        <w:tc>
          <w:tcPr/>
          <w:p>
            <w:pPr>
              <w:pStyle w:val="Compact"/>
              <w:jc w:val="left"/>
            </w:pPr>
            <w:r>
              <w:t xml:space="preserve">6.4个月</w:t>
            </w:r>
          </w:p>
        </w:tc>
        <w:tc>
          <w:tcPr/>
          <w:p>
            <w:pPr>
              <w:pStyle w:val="Compact"/>
              <w:jc w:val="left"/>
            </w:pPr>
            <w:r>
              <w:t xml:space="preserve">4.8个月</w:t>
            </w:r>
          </w:p>
        </w:tc>
        <w:tc>
          <w:tcPr/>
          <w:p>
            <w:pPr>
              <w:pStyle w:val="Compact"/>
              <w:jc w:val="left"/>
            </w:pPr>
            <w:r>
              <w:t xml:space="preserve">0.56（0.45-0.70）</w:t>
            </w:r>
          </w:p>
        </w:tc>
      </w:tr>
      <w:tr>
        <w:tc>
          <w:tcPr/>
          <w:p>
            <w:pPr>
              <w:pStyle w:val="Compact"/>
              <w:jc w:val="left"/>
            </w:pPr>
            <w:r>
              <w:t xml:space="preserve">方案预设最终分析</w:t>
            </w:r>
            <w:r>
              <w:rPr>
                <w:vertAlign w:val="superscript"/>
              </w:rPr>
              <w:t xml:space="preserve">2</w:t>
            </w:r>
          </w:p>
        </w:tc>
        <w:tc>
          <w:tcPr/>
          <w:p>
            <w:pPr>
              <w:pStyle w:val="Compact"/>
              <w:jc w:val="left"/>
            </w:pPr>
            <w:r>
              <w:t xml:space="preserve">14.3个月</w:t>
            </w:r>
          </w:p>
        </w:tc>
        <w:tc>
          <w:tcPr/>
          <w:p>
            <w:pPr>
              <w:pStyle w:val="Compact"/>
              <w:jc w:val="left"/>
            </w:pPr>
            <w:r>
              <w:rPr>
                <w:bCs/>
                <w:b/>
              </w:rPr>
              <w:t xml:space="preserve">17.1个月</w:t>
            </w:r>
          </w:p>
        </w:tc>
        <w:tc>
          <w:tcPr/>
          <w:p>
            <w:pPr>
              <w:pStyle w:val="Compact"/>
              <w:jc w:val="left"/>
            </w:pPr>
            <w:r>
              <w:rPr>
                <w:bCs/>
                <w:b/>
              </w:rPr>
              <w:t xml:space="preserve">11.6个月</w:t>
            </w:r>
          </w:p>
        </w:tc>
        <w:tc>
          <w:tcPr/>
          <w:p>
            <w:pPr>
              <w:pStyle w:val="Compact"/>
              <w:jc w:val="left"/>
            </w:pPr>
            <w:r>
              <w:rPr>
                <w:bCs/>
                <w:b/>
              </w:rPr>
              <w:t xml:space="preserve">0.71（0.58-0.88）</w:t>
            </w:r>
          </w:p>
        </w:tc>
        <w:tc>
          <w:tcPr/>
          <w:p>
            <w:pPr>
              <w:pStyle w:val="Compact"/>
              <w:jc w:val="left"/>
            </w:pPr>
            <w:r>
              <w:rPr>
                <w:bCs/>
                <w:b/>
              </w:rPr>
              <w:t xml:space="preserve">8.0个月</w:t>
            </w:r>
          </w:p>
        </w:tc>
        <w:tc>
          <w:tcPr/>
          <w:p>
            <w:pPr>
              <w:pStyle w:val="Compact"/>
              <w:jc w:val="left"/>
            </w:pPr>
            <w:r>
              <w:rPr>
                <w:bCs/>
                <w:b/>
              </w:rPr>
              <w:t xml:space="preserve">5.1个月</w:t>
            </w:r>
          </w:p>
        </w:tc>
        <w:tc>
          <w:tcPr/>
          <w:p>
            <w:pPr>
              <w:pStyle w:val="Compact"/>
              <w:jc w:val="left"/>
            </w:pPr>
            <w:r>
              <w:rPr>
                <w:bCs/>
                <w:b/>
              </w:rPr>
              <w:t xml:space="preserve">0.57（0.47-0.69）</w:t>
            </w:r>
          </w:p>
        </w:tc>
      </w:tr>
      <w:tr>
        <w:tc>
          <w:tcPr/>
          <w:p>
            <w:pPr>
              <w:pStyle w:val="Compact"/>
              <w:jc w:val="left"/>
            </w:pPr>
            <w:r>
              <w:t xml:space="preserve">5年更新</w:t>
            </w:r>
            <w:r>
              <w:rPr>
                <w:vertAlign w:val="superscript"/>
              </w:rPr>
              <w:t xml:space="preserve">3</w:t>
            </w:r>
          </w:p>
        </w:tc>
        <w:tc>
          <w:tcPr/>
          <w:p>
            <w:pPr>
              <w:pStyle w:val="Compact"/>
              <w:jc w:val="left"/>
            </w:pPr>
            <w:r>
              <w:t xml:space="preserve">56.9个月</w:t>
            </w:r>
          </w:p>
        </w:tc>
        <w:tc>
          <w:tcPr/>
          <w:p>
            <w:pPr>
              <w:pStyle w:val="Compact"/>
              <w:jc w:val="left"/>
            </w:pPr>
            <w:r>
              <w:t xml:space="preserve">~17.1个月</w:t>
            </w:r>
          </w:p>
        </w:tc>
        <w:tc>
          <w:tcPr/>
          <w:p>
            <w:pPr>
              <w:pStyle w:val="Compact"/>
              <w:jc w:val="left"/>
            </w:pPr>
            <w:r>
              <w:t xml:space="preserve">~11.6个月</w:t>
            </w:r>
          </w:p>
        </w:tc>
        <w:tc>
          <w:tcPr/>
          <w:p>
            <w:pPr>
              <w:pStyle w:val="Compact"/>
              <w:jc w:val="left"/>
            </w:pPr>
            <w:r>
              <w:t xml:space="preserve">0.71（0.58-0.88）</w:t>
            </w:r>
          </w:p>
        </w:tc>
        <w:tc>
          <w:tcPr/>
          <w:p>
            <w:pPr>
              <w:pStyle w:val="Compact"/>
              <w:jc w:val="left"/>
            </w:pPr>
            <w:r>
              <w:t xml:space="preserve">~8.0个月</w:t>
            </w:r>
          </w:p>
        </w:tc>
        <w:tc>
          <w:tcPr/>
          <w:p>
            <w:pPr>
              <w:pStyle w:val="Compact"/>
              <w:jc w:val="left"/>
            </w:pPr>
            <w:r>
              <w:t xml:space="preserve">~5.1个月</w:t>
            </w:r>
          </w:p>
        </w:tc>
        <w:tc>
          <w:tcPr/>
          <w:p>
            <w:pPr>
              <w:pStyle w:val="Compact"/>
              <w:jc w:val="left"/>
            </w:pPr>
            <w:r>
              <w:t xml:space="preserve">0.57（0.47-0.69）</w:t>
            </w:r>
          </w:p>
        </w:tc>
      </w:tr>
    </w:tbl>
    <w:p>
      <w:pPr>
        <w:pStyle w:val="BodyText"/>
      </w:pPr>
      <w:r>
        <w:t xml:space="preserve">最终分析数据显示，Pembrolizumab+化疗将中位总生存期（mOS）从11.6个月延长至17.1个月，死亡风险降低29%；中位无进展生存期（mPFS）从5.1个月延长至8.0个月，疾病进展或死亡风险降低43%</w:t>
      </w:r>
      <w:r>
        <w:rPr>
          <w:vertAlign w:val="superscript"/>
        </w:rPr>
        <w:t xml:space="preserve">2</w:t>
      </w:r>
      <w:r>
        <w:t xml:space="preserve">。</w:t>
      </w:r>
    </w:p>
    <w:bookmarkEnd w:id="83"/>
    <w:bookmarkStart w:id="84" w:name="年生存里程碑与长期获益"/>
    <w:p>
      <w:pPr>
        <w:pStyle w:val="Heading3"/>
      </w:pPr>
      <w:r>
        <w:t xml:space="preserve">4.1.3 5年生存里程碑与长期获益</w:t>
      </w:r>
    </w:p>
    <w:p>
      <w:pPr>
        <w:pStyle w:val="FirstParagraph"/>
      </w:pPr>
      <w:r>
        <w:t xml:space="preserve">5年随访数据（中位随访56.9个月）揭示了免疫联合化疗的”长拖尾”效应</w:t>
      </w:r>
      <w:r>
        <w:rPr>
          <w:vertAlign w:val="superscript"/>
        </w:rPr>
        <w:t xml:space="preserve">3</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长期生存指标</w:t>
            </w:r>
          </w:p>
        </w:tc>
        <w:tc>
          <w:tcPr/>
          <w:p>
            <w:pPr>
              <w:pStyle w:val="Compact"/>
              <w:jc w:val="left"/>
            </w:pPr>
            <w:r>
              <w:t xml:space="preserve">Pembrolizumab+化疗</w:t>
            </w:r>
          </w:p>
        </w:tc>
        <w:tc>
          <w:tcPr/>
          <w:p>
            <w:pPr>
              <w:pStyle w:val="Compact"/>
              <w:jc w:val="left"/>
            </w:pPr>
            <w:r>
              <w:t xml:space="preserve">安慰剂+化疗</w:t>
            </w:r>
          </w:p>
        </w:tc>
        <w:tc>
          <w:tcPr/>
          <w:p>
            <w:pPr>
              <w:pStyle w:val="Compact"/>
              <w:jc w:val="left"/>
            </w:pPr>
            <w:r>
              <w:t xml:space="preserve">倍数/差值</w:t>
            </w:r>
          </w:p>
        </w:tc>
      </w:tr>
      <w:tr>
        <w:tc>
          <w:tcPr/>
          <w:p>
            <w:pPr>
              <w:pStyle w:val="Compact"/>
              <w:jc w:val="left"/>
            </w:pPr>
            <w:r>
              <w:t xml:space="preserve">5年OS率</w:t>
            </w:r>
          </w:p>
        </w:tc>
        <w:tc>
          <w:tcPr/>
          <w:p>
            <w:pPr>
              <w:pStyle w:val="Compact"/>
              <w:jc w:val="left"/>
            </w:pPr>
            <w:r>
              <w:rPr>
                <w:bCs/>
                <w:b/>
              </w:rPr>
              <w:t xml:space="preserve">18.4%</w:t>
            </w:r>
          </w:p>
        </w:tc>
        <w:tc>
          <w:tcPr/>
          <w:p>
            <w:pPr>
              <w:pStyle w:val="Compact"/>
              <w:jc w:val="left"/>
            </w:pPr>
            <w:r>
              <w:t xml:space="preserve">9.7%</w:t>
            </w:r>
          </w:p>
        </w:tc>
        <w:tc>
          <w:tcPr/>
          <w:p>
            <w:pPr>
              <w:pStyle w:val="Compact"/>
              <w:jc w:val="left"/>
            </w:pPr>
            <w:r>
              <w:rPr>
                <w:bCs/>
                <w:b/>
              </w:rPr>
              <w:t xml:space="preserve">约1.9倍</w:t>
            </w:r>
          </w:p>
        </w:tc>
      </w:tr>
      <w:tr>
        <w:tc>
          <w:tcPr/>
          <w:p>
            <w:pPr>
              <w:pStyle w:val="Compact"/>
              <w:jc w:val="left"/>
            </w:pPr>
            <w:r>
              <w:t xml:space="preserve">5年PFS率</w:t>
            </w:r>
          </w:p>
        </w:tc>
        <w:tc>
          <w:tcPr/>
          <w:p>
            <w:pPr>
              <w:pStyle w:val="Compact"/>
              <w:jc w:val="left"/>
            </w:pPr>
            <w:r>
              <w:rPr>
                <w:bCs/>
                <w:b/>
              </w:rPr>
              <w:t xml:space="preserve">10.8%</w:t>
            </w:r>
          </w:p>
        </w:tc>
        <w:tc>
          <w:tcPr/>
          <w:p>
            <w:pPr>
              <w:pStyle w:val="Compact"/>
              <w:jc w:val="left"/>
            </w:pPr>
            <w:r>
              <w:t xml:space="preserve">3.5%</w:t>
            </w:r>
          </w:p>
        </w:tc>
        <w:tc>
          <w:tcPr/>
          <w:p>
            <w:pPr>
              <w:pStyle w:val="Compact"/>
              <w:jc w:val="left"/>
            </w:pPr>
            <w:r>
              <w:rPr>
                <w:bCs/>
                <w:b/>
              </w:rPr>
              <w:t xml:space="preserve">约3.1倍</w:t>
            </w:r>
          </w:p>
        </w:tc>
      </w:tr>
      <w:tr>
        <w:tc>
          <w:tcPr/>
          <w:p>
            <w:pPr>
              <w:pStyle w:val="Compact"/>
              <w:jc w:val="left"/>
            </w:pPr>
            <w:r>
              <w:t xml:space="preserve">完成35周期治疗患者3年OS率（治疗后约5年）</w:t>
            </w:r>
          </w:p>
        </w:tc>
        <w:tc>
          <w:tcPr/>
          <w:p>
            <w:pPr>
              <w:pStyle w:val="Compact"/>
              <w:jc w:val="left"/>
            </w:pPr>
            <w:r>
              <w:rPr>
                <w:bCs/>
                <w:b/>
              </w:rPr>
              <w:t xml:space="preserve">86.8%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有效交叉率（后续接受抗PD-(L)1治疗）</w:t>
            </w:r>
          </w:p>
        </w:tc>
        <w:tc>
          <w:tcPr/>
          <w:p>
            <w:pPr>
              <w:pStyle w:val="Compact"/>
              <w:jc w:val="left"/>
            </w:pPr>
            <w:r>
              <w:t xml:space="preserve">—</w:t>
            </w:r>
          </w:p>
        </w:tc>
        <w:tc>
          <w:tcPr/>
          <w:p>
            <w:pPr>
              <w:pStyle w:val="Compact"/>
              <w:jc w:val="left"/>
            </w:pPr>
            <w:r>
              <w:rPr>
                <w:bCs/>
                <w:b/>
              </w:rPr>
              <w:t xml:space="preserve">50.9%</w:t>
            </w:r>
          </w:p>
        </w:tc>
        <w:tc>
          <w:tcPr/>
          <w:p>
            <w:pPr>
              <w:pStyle w:val="Compact"/>
              <w:jc w:val="left"/>
            </w:pPr>
            <w:r>
              <w:t xml:space="preserve">—</w:t>
            </w:r>
          </w:p>
        </w:tc>
      </w:tr>
    </w:tbl>
    <w:p>
      <w:pPr>
        <w:pStyle w:val="BodyText"/>
      </w:pPr>
      <w:r>
        <w:t xml:space="preserve">完成约2年Pembrolizumab治疗的患者（n=58）在数据截止时69.0%仍存活，3年OS率高达86.8%</w:t>
      </w:r>
      <w:r>
        <w:rPr>
          <w:vertAlign w:val="superscript"/>
        </w:rPr>
        <w:t xml:space="preserve">3</w:t>
      </w:r>
      <w:r>
        <w:t xml:space="preserve">。值得注意的是，安慰剂组50.9%的患者后续接受了抗PD-(L)1治疗，这一高交叉率部分解释了后期化疗组KM曲线趋于平坦的现象，也意味着KEYNOTE-407的OS HR（0.71）在存在交叉的情况下仍被低估，实际治疗效应可能更大</w:t>
      </w:r>
      <w:r>
        <w:rPr>
          <w:vertAlign w:val="superscript"/>
        </w:rPr>
        <w:t xml:space="preserve">3</w:t>
      </w:r>
      <w:r>
        <w:t xml:space="preserve">。</w:t>
      </w:r>
    </w:p>
    <w:bookmarkEnd w:id="84"/>
    <w:bookmarkStart w:id="85" w:name="pd-l1亚组分析"/>
    <w:p>
      <w:pPr>
        <w:pStyle w:val="Heading3"/>
      </w:pPr>
      <w:r>
        <w:t xml:space="preserve">4.1.4 PD-L1亚组分析</w:t>
      </w:r>
    </w:p>
    <w:p>
      <w:pPr>
        <w:pStyle w:val="FirstParagraph"/>
      </w:pPr>
      <w:r>
        <w:t xml:space="preserve">5年更新的PD-L1亚组数据揭示了sq-NSCLC中PD-L1表达的预测价值边界</w:t>
      </w:r>
      <w:r>
        <w:rPr>
          <w:vertAlign w:val="superscript"/>
        </w:rPr>
        <w:t xml:space="preserve">34</w:t>
      </w:r>
      <w:r>
        <w:t xml:space="preserve">：</w:t>
      </w:r>
    </w:p>
    <w:tbl>
      <w:tblPr>
        <w:tblStyle w:val="Table"/>
        <w:tblW w:type="pct" w:w="5000"/>
        <w:tblLook w:firstRow="1" w:lastRow="0" w:firstColumn="0" w:lastColumn="0" w:noHBand="0" w:noVBand="0" w:val="0020"/>
        <w:jc w:val="start"/>
        <w:tblLayout w:type="fixed"/>
      </w:tblPr>
      <w:tblGrid>
        <w:gridCol w:w="1342"/>
        <w:gridCol w:w="1610"/>
        <w:gridCol w:w="1610"/>
        <w:gridCol w:w="2013"/>
        <w:gridCol w:w="1342"/>
      </w:tblGrid>
      <w:tr>
        <w:trPr>
          <w:tblHeader w:val="true"/>
        </w:trPr>
        <w:tc>
          <w:tcPr/>
          <w:p>
            <w:pPr>
              <w:pStyle w:val="Compact"/>
              <w:jc w:val="left"/>
            </w:pPr>
            <w:r>
              <w:t xml:space="preserve">PD-L1 TPS</w:t>
            </w:r>
          </w:p>
        </w:tc>
        <w:tc>
          <w:tcPr/>
          <w:p>
            <w:pPr>
              <w:pStyle w:val="Compact"/>
              <w:jc w:val="left"/>
            </w:pPr>
            <w:r>
              <w:t xml:space="preserve">试验组5年OS率</w:t>
            </w:r>
          </w:p>
        </w:tc>
        <w:tc>
          <w:tcPr/>
          <w:p>
            <w:pPr>
              <w:pStyle w:val="Compact"/>
              <w:jc w:val="left"/>
            </w:pPr>
            <w:r>
              <w:t xml:space="preserve">对照组5年OS率</w:t>
            </w:r>
          </w:p>
        </w:tc>
        <w:tc>
          <w:tcPr/>
          <w:p>
            <w:pPr>
              <w:pStyle w:val="Compact"/>
              <w:jc w:val="left"/>
            </w:pPr>
            <w:r>
              <w:t xml:space="preserve">OS HR（95% CI）</w:t>
            </w:r>
          </w:p>
        </w:tc>
        <w:tc>
          <w:tcPr/>
          <w:p>
            <w:pPr>
              <w:pStyle w:val="Compact"/>
              <w:jc w:val="left"/>
            </w:pPr>
            <w:r>
              <w:t xml:space="preserve">获益确定性</w:t>
            </w:r>
          </w:p>
        </w:tc>
      </w:tr>
      <w:tr>
        <w:tc>
          <w:tcPr/>
          <w:p>
            <w:pPr>
              <w:pStyle w:val="Compact"/>
              <w:jc w:val="left"/>
            </w:pPr>
            <w:r>
              <w:t xml:space="preserve">TPS ≥50%</w:t>
            </w:r>
          </w:p>
        </w:tc>
        <w:tc>
          <w:tcPr/>
          <w:p>
            <w:pPr>
              <w:pStyle w:val="Compact"/>
              <w:jc w:val="left"/>
            </w:pPr>
            <w:r>
              <w:rPr>
                <w:bCs/>
                <w:b/>
              </w:rPr>
              <w:t xml:space="preserve">23.0%</w:t>
            </w:r>
          </w:p>
        </w:tc>
        <w:tc>
          <w:tcPr/>
          <w:p>
            <w:pPr>
              <w:pStyle w:val="Compact"/>
              <w:jc w:val="left"/>
            </w:pPr>
            <w:r>
              <w:t xml:space="preserve">8.3%</w:t>
            </w:r>
          </w:p>
        </w:tc>
        <w:tc>
          <w:tcPr/>
          <w:p>
            <w:pPr>
              <w:pStyle w:val="Compact"/>
              <w:jc w:val="left"/>
            </w:pPr>
            <w:r>
              <w:t xml:space="preserve">~0.59</w:t>
            </w:r>
          </w:p>
        </w:tc>
        <w:tc>
          <w:tcPr/>
          <w:p>
            <w:pPr>
              <w:pStyle w:val="Compact"/>
              <w:jc w:val="left"/>
            </w:pPr>
            <w:r>
              <w:t xml:space="preserve">获益最显著</w:t>
            </w:r>
          </w:p>
        </w:tc>
      </w:tr>
      <w:tr>
        <w:tc>
          <w:tcPr/>
          <w:p>
            <w:pPr>
              <w:pStyle w:val="Compact"/>
              <w:jc w:val="left"/>
            </w:pPr>
            <w:r>
              <w:t xml:space="preserve">TPS 1-49%</w:t>
            </w:r>
          </w:p>
        </w:tc>
        <w:tc>
          <w:tcPr/>
          <w:p>
            <w:pPr>
              <w:pStyle w:val="Compact"/>
              <w:jc w:val="left"/>
            </w:pPr>
            <w:r>
              <w:rPr>
                <w:bCs/>
                <w:b/>
              </w:rPr>
              <w:t xml:space="preserve">20.6%</w:t>
            </w:r>
          </w:p>
        </w:tc>
        <w:tc>
          <w:tcPr/>
          <w:p>
            <w:pPr>
              <w:pStyle w:val="Compact"/>
              <w:jc w:val="left"/>
            </w:pPr>
            <w:r>
              <w:t xml:space="preserve">7.5%</w:t>
            </w:r>
          </w:p>
        </w:tc>
        <w:tc>
          <w:tcPr/>
          <w:p>
            <w:pPr>
              <w:pStyle w:val="Compact"/>
              <w:jc w:val="left"/>
            </w:pPr>
            <w:r>
              <w:t xml:space="preserve">~0.79</w:t>
            </w:r>
          </w:p>
        </w:tc>
        <w:tc>
          <w:tcPr/>
          <w:p>
            <w:pPr>
              <w:pStyle w:val="Compact"/>
              <w:jc w:val="left"/>
            </w:pPr>
            <w:r>
              <w:t xml:space="preserve">获益明确</w:t>
            </w:r>
          </w:p>
        </w:tc>
      </w:tr>
      <w:tr>
        <w:tc>
          <w:tcPr/>
          <w:p>
            <w:pPr>
              <w:pStyle w:val="Compact"/>
              <w:jc w:val="left"/>
            </w:pPr>
            <w:r>
              <w:t xml:space="preserve">TPS &lt;1%</w:t>
            </w:r>
          </w:p>
        </w:tc>
        <w:tc>
          <w:tcPr/>
          <w:p>
            <w:pPr>
              <w:pStyle w:val="Compact"/>
              <w:jc w:val="left"/>
            </w:pPr>
            <w:r>
              <w:rPr>
                <w:bCs/>
                <w:b/>
              </w:rPr>
              <w:t xml:space="preserve">10.7%</w:t>
            </w:r>
          </w:p>
        </w:tc>
        <w:tc>
          <w:tcPr/>
          <w:p>
            <w:pPr>
              <w:pStyle w:val="Compact"/>
              <w:jc w:val="left"/>
            </w:pPr>
            <w:r>
              <w:t xml:space="preserve">13.0%</w:t>
            </w:r>
          </w:p>
        </w:tc>
        <w:tc>
          <w:tcPr/>
          <w:p>
            <w:pPr>
              <w:pStyle w:val="Compact"/>
              <w:jc w:val="left"/>
            </w:pPr>
            <w:r>
              <w:t xml:space="preserve">~1.00（CI含1）</w:t>
            </w:r>
          </w:p>
        </w:tc>
        <w:tc>
          <w:tcPr/>
          <w:p>
            <w:pPr>
              <w:pStyle w:val="Compact"/>
              <w:jc w:val="left"/>
            </w:pPr>
            <w:r>
              <w:rPr>
                <w:bCs/>
                <w:b/>
              </w:rPr>
              <w:t xml:space="preserve">获益不确定</w:t>
            </w:r>
          </w:p>
        </w:tc>
      </w:tr>
    </w:tbl>
    <w:p>
      <w:pPr>
        <w:pStyle w:val="BodyText"/>
      </w:pPr>
      <w:r>
        <w:rPr>
          <w:bCs/>
          <w:b/>
        </w:rPr>
        <w:t xml:space="preserve">关键发现</w:t>
      </w:r>
      <w:r>
        <w:t xml:space="preserve">：Pembrolizumab+化疗在PD-L1 TPS&lt;1%的sq-NSCLC患者中OS获益减弱，HR的95%置信区间包含1。这与非鳞癌（KEYNOTE-189）中PD-L1阴性亚组仍获益的情况形成鲜明对比，提示sq-NSCLC的PD-L1阴性患者对PD-1单抗联合化疗的敏感度可能较低</w:t>
      </w:r>
      <w:r>
        <w:rPr>
          <w:vertAlign w:val="superscript"/>
        </w:rPr>
        <w:t xml:space="preserve">3</w:t>
      </w:r>
      <w:r>
        <w:t xml:space="preserve">。然而，PFS在各PD-L1亚组均显示获益。</w:t>
      </w:r>
    </w:p>
    <w:bookmarkEnd w:id="85"/>
    <w:bookmarkStart w:id="86" w:name="中国扩展研究显著优于全球数据"/>
    <w:p>
      <w:pPr>
        <w:pStyle w:val="Heading3"/>
      </w:pPr>
      <w:r>
        <w:t xml:space="preserve">4.1.5 中国扩展研究：显著优于全球数据</w:t>
      </w:r>
    </w:p>
    <w:p>
      <w:pPr>
        <w:pStyle w:val="FirstParagraph"/>
      </w:pPr>
      <w:r>
        <w:t xml:space="preserve">KEYNOTE-407中国扩展研究（NCT03875092）纳入125例中国大陆患者，其结果与全球数据存在显著差异</w:t>
      </w:r>
      <w:r>
        <w:rPr>
          <w:vertAlign w:val="superscript"/>
        </w:rPr>
        <w:t xml:space="preserve">7</w:t>
      </w:r>
      <w:r>
        <w:t xml:space="preserve">：</w:t>
      </w:r>
    </w:p>
    <w:tbl>
      <w:tblPr>
        <w:tblStyle w:val="Table"/>
        <w:tblW w:type="pct" w:w="5000"/>
        <w:tblLook w:firstRow="1" w:lastRow="0" w:firstColumn="0" w:lastColumn="0" w:noHBand="0" w:noVBand="0" w:val="0020"/>
        <w:jc w:val="start"/>
        <w:tblLayout w:type="fixed"/>
      </w:tblPr>
      <w:tblGrid>
        <w:gridCol w:w="601"/>
        <w:gridCol w:w="2606"/>
        <w:gridCol w:w="1904"/>
        <w:gridCol w:w="1203"/>
        <w:gridCol w:w="1604"/>
      </w:tblGrid>
      <w:tr>
        <w:trPr>
          <w:tblHeader w:val="true"/>
        </w:trPr>
        <w:tc>
          <w:tcPr/>
          <w:p>
            <w:pPr>
              <w:pStyle w:val="Compact"/>
              <w:jc w:val="left"/>
            </w:pPr>
            <w:r>
              <w:t xml:space="preserve">终点</w:t>
            </w:r>
          </w:p>
        </w:tc>
        <w:tc>
          <w:tcPr/>
          <w:p>
            <w:pPr>
              <w:pStyle w:val="Compact"/>
              <w:jc w:val="left"/>
            </w:pPr>
            <w:r>
              <w:t xml:space="preserve">Pembrolizumab+化疗（n=65）</w:t>
            </w:r>
          </w:p>
        </w:tc>
        <w:tc>
          <w:tcPr/>
          <w:p>
            <w:pPr>
              <w:pStyle w:val="Compact"/>
              <w:jc w:val="left"/>
            </w:pPr>
            <w:r>
              <w:t xml:space="preserve">安慰剂+化疗（n=60）</w:t>
            </w:r>
          </w:p>
        </w:tc>
        <w:tc>
          <w:tcPr/>
          <w:p>
            <w:pPr>
              <w:pStyle w:val="Compact"/>
              <w:jc w:val="left"/>
            </w:pPr>
            <w:r>
              <w:t xml:space="preserve">HR（95% CI）</w:t>
            </w:r>
          </w:p>
        </w:tc>
        <w:tc>
          <w:tcPr/>
          <w:p>
            <w:pPr>
              <w:pStyle w:val="Compact"/>
              <w:jc w:val="left"/>
            </w:pPr>
            <w:r>
              <w:t xml:space="preserve">全球研究HR（对比）</w:t>
            </w:r>
          </w:p>
        </w:tc>
      </w:tr>
      <w:tr>
        <w:tc>
          <w:tcPr/>
          <w:p>
            <w:pPr>
              <w:pStyle w:val="Compact"/>
              <w:jc w:val="left"/>
            </w:pPr>
            <w:r>
              <w:t xml:space="preserve">中位OS</w:t>
            </w:r>
          </w:p>
        </w:tc>
        <w:tc>
          <w:tcPr/>
          <w:p>
            <w:pPr>
              <w:pStyle w:val="Compact"/>
              <w:jc w:val="left"/>
            </w:pPr>
            <w:r>
              <w:rPr>
                <w:bCs/>
                <w:b/>
              </w:rPr>
              <w:t xml:space="preserve">30.1个月</w:t>
            </w:r>
            <w:r>
              <w:t xml:space="preserve">（18.2-NR）</w:t>
            </w:r>
          </w:p>
        </w:tc>
        <w:tc>
          <w:tcPr/>
          <w:p>
            <w:pPr>
              <w:pStyle w:val="Compact"/>
              <w:jc w:val="left"/>
            </w:pPr>
            <w:r>
              <w:t xml:space="preserve">12.7个月（9.4-17.3）</w:t>
            </w:r>
          </w:p>
        </w:tc>
        <w:tc>
          <w:tcPr/>
          <w:p>
            <w:pPr>
              <w:pStyle w:val="Compact"/>
              <w:jc w:val="left"/>
            </w:pPr>
            <w:r>
              <w:rPr>
                <w:bCs/>
                <w:b/>
              </w:rPr>
              <w:t xml:space="preserve">0.44（0.28-0.70）</w:t>
            </w:r>
          </w:p>
        </w:tc>
        <w:tc>
          <w:tcPr/>
          <w:p>
            <w:pPr>
              <w:pStyle w:val="Compact"/>
              <w:jc w:val="left"/>
            </w:pPr>
            <w:r>
              <w:t xml:space="preserve">0.71（0.58-0.88）</w:t>
            </w:r>
          </w:p>
        </w:tc>
      </w:tr>
      <w:tr>
        <w:tc>
          <w:tcPr/>
          <w:p>
            <w:pPr>
              <w:pStyle w:val="Compact"/>
              <w:jc w:val="left"/>
            </w:pPr>
            <w:r>
              <w:t xml:space="preserve">中位PFS</w:t>
            </w:r>
          </w:p>
        </w:tc>
        <w:tc>
          <w:tcPr/>
          <w:p>
            <w:pPr>
              <w:pStyle w:val="Compact"/>
              <w:jc w:val="left"/>
            </w:pPr>
            <w:r>
              <w:rPr>
                <w:bCs/>
                <w:b/>
              </w:rPr>
              <w:t xml:space="preserve">8.3个月</w:t>
            </w:r>
            <w:r>
              <w:t xml:space="preserve">（6.2-10.5）</w:t>
            </w:r>
          </w:p>
        </w:tc>
        <w:tc>
          <w:tcPr/>
          <w:p>
            <w:pPr>
              <w:pStyle w:val="Compact"/>
              <w:jc w:val="left"/>
            </w:pPr>
            <w:r>
              <w:t xml:space="preserve">4.2个月（4.0-5.4）</w:t>
            </w:r>
          </w:p>
        </w:tc>
        <w:tc>
          <w:tcPr/>
          <w:p>
            <w:pPr>
              <w:pStyle w:val="Compact"/>
              <w:jc w:val="left"/>
            </w:pPr>
            <w:r>
              <w:rPr>
                <w:bCs/>
                <w:b/>
              </w:rPr>
              <w:t xml:space="preserve">0.35（0.24-0.52）</w:t>
            </w:r>
          </w:p>
        </w:tc>
        <w:tc>
          <w:tcPr/>
          <w:p>
            <w:pPr>
              <w:pStyle w:val="Compact"/>
              <w:jc w:val="left"/>
            </w:pPr>
            <w:r>
              <w:t xml:space="preserve">0.57（0.47-0.69）</w:t>
            </w:r>
          </w:p>
        </w:tc>
      </w:tr>
      <w:tr>
        <w:tc>
          <w:tcPr/>
          <w:p>
            <w:pPr>
              <w:pStyle w:val="Compact"/>
              <w:jc w:val="left"/>
            </w:pPr>
            <w:r>
              <w:t xml:space="preserve">2年OS率</w:t>
            </w:r>
          </w:p>
        </w:tc>
        <w:tc>
          <w:tcPr/>
          <w:p>
            <w:pPr>
              <w:pStyle w:val="Compact"/>
              <w:jc w:val="left"/>
            </w:pPr>
            <w:r>
              <w:rPr>
                <w:bCs/>
                <w:b/>
              </w:rPr>
              <w:t xml:space="preserve">56.9%</w:t>
            </w:r>
          </w:p>
        </w:tc>
        <w:tc>
          <w:tcPr/>
          <w:p>
            <w:pPr>
              <w:pStyle w:val="Compact"/>
              <w:jc w:val="left"/>
            </w:pPr>
            <w:r>
              <w:t xml:space="preserve">31.7%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2年PFS率</w:t>
            </w:r>
          </w:p>
        </w:tc>
        <w:tc>
          <w:tcPr/>
          <w:p>
            <w:pPr>
              <w:pStyle w:val="Compact"/>
              <w:jc w:val="left"/>
            </w:pPr>
            <w:r>
              <w:rPr>
                <w:bCs/>
                <w:b/>
              </w:rPr>
              <w:t xml:space="preserve">24.2%</w:t>
            </w:r>
          </w:p>
        </w:tc>
        <w:tc>
          <w:tcPr/>
          <w:p>
            <w:pPr>
              <w:pStyle w:val="Compact"/>
              <w:jc w:val="left"/>
            </w:pPr>
            <w:r>
              <w:t xml:space="preserve">3.3%</w:t>
            </w:r>
          </w:p>
        </w:tc>
        <w:tc>
          <w:tcPr/>
          <w:p>
            <w:pPr>
              <w:pStyle w:val="Compact"/>
              <w:jc w:val="left"/>
            </w:pPr>
            <w:r>
              <w:t xml:space="preserve">—</w:t>
            </w:r>
          </w:p>
        </w:tc>
        <w:tc>
          <w:tcPr/>
          <w:p>
            <w:pPr>
              <w:pStyle w:val="Compact"/>
              <w:jc w:val="left"/>
            </w:pPr>
            <w:r>
              <w:t xml:space="preserve">—</w:t>
            </w:r>
          </w:p>
        </w:tc>
      </w:tr>
    </w:tbl>
    <w:p>
      <w:pPr>
        <w:pStyle w:val="BodyText"/>
      </w:pPr>
      <w:r>
        <w:t xml:space="preserve">中国研究的OS HR（0.44）和PFS HR（0.35）均显著优于全球数据，尽管样本量较小导致置信区间较宽。作者指出，更长随访分析（相同时点数据截止）下中国研究的HR与全球总体趋势一致</w:t>
      </w:r>
      <w:r>
        <w:rPr>
          <w:vertAlign w:val="superscript"/>
        </w:rPr>
        <w:t xml:space="preserve">7</w:t>
      </w:r>
      <w:r>
        <w:t xml:space="preserve">。</w:t>
      </w:r>
    </w:p>
    <w:bookmarkEnd w:id="86"/>
    <w:bookmarkEnd w:id="87"/>
    <w:bookmarkStart w:id="90" w:name="keynote-189一线非鳞nsclc的全球基准"/>
    <w:p>
      <w:pPr>
        <w:pStyle w:val="Heading2"/>
      </w:pPr>
      <w:r>
        <w:t xml:space="preserve">4.2 KEYNOTE-189：一线非鳞NSCLC的全球基准</w:t>
      </w:r>
    </w:p>
    <w:bookmarkStart w:id="88" w:name="主要疗效终点与5年随访"/>
    <w:p>
      <w:pPr>
        <w:pStyle w:val="Heading3"/>
      </w:pPr>
      <w:r>
        <w:t xml:space="preserve">4.2.1 主要疗效终点与5年随访</w:t>
      </w:r>
    </w:p>
    <w:p>
      <w:pPr>
        <w:pStyle w:val="FirstParagraph"/>
      </w:pPr>
      <w:r>
        <w:t xml:space="preserve">KEYNOTE-189（NCT02578680）是Pembrolizumab联合化疗在一线非鳞NSCLC（nsq-NSCLC）中的全球III期试验，入组616例患者，2:1随机至Pembrolizumab+培美曲塞+铂类或安慰剂+化疗</w:t>
      </w:r>
      <w:r>
        <w:rPr>
          <w:vertAlign w:val="superscript"/>
        </w:rPr>
        <w:t xml:space="preserve">56</w:t>
      </w:r>
      <w:r>
        <w:t xml:space="preserve">。</w:t>
      </w:r>
    </w:p>
    <w:tbl>
      <w:tblPr>
        <w:tblStyle w:val="Table"/>
        <w:tblW w:type="pct" w:w="5000"/>
        <w:tblLook w:firstRow="1" w:lastRow="0" w:firstColumn="0" w:lastColumn="0" w:noHBand="0" w:noVBand="0" w:val="0020"/>
        <w:jc w:val="start"/>
        <w:tblLayout w:type="fixed"/>
      </w:tblPr>
      <w:tblGrid>
        <w:gridCol w:w="976"/>
        <w:gridCol w:w="976"/>
        <w:gridCol w:w="1084"/>
        <w:gridCol w:w="1084"/>
        <w:gridCol w:w="759"/>
        <w:gridCol w:w="1084"/>
        <w:gridCol w:w="1084"/>
        <w:gridCol w:w="867"/>
      </w:tblGrid>
      <w:tr>
        <w:trPr>
          <w:tblHeader w:val="true"/>
        </w:trPr>
        <w:tc>
          <w:tcPr/>
          <w:p>
            <w:pPr>
              <w:pStyle w:val="Compact"/>
              <w:jc w:val="left"/>
            </w:pPr>
            <w:r>
              <w:t xml:space="preserve">分析阶段</w:t>
            </w:r>
          </w:p>
        </w:tc>
        <w:tc>
          <w:tcPr/>
          <w:p>
            <w:pPr>
              <w:pStyle w:val="Compact"/>
              <w:jc w:val="left"/>
            </w:pPr>
            <w:r>
              <w:t xml:space="preserve">中位随访</w:t>
            </w:r>
          </w:p>
        </w:tc>
        <w:tc>
          <w:tcPr/>
          <w:p>
            <w:pPr>
              <w:pStyle w:val="Compact"/>
              <w:jc w:val="left"/>
            </w:pPr>
            <w:r>
              <w:t xml:space="preserve">试验组mOS</w:t>
            </w:r>
          </w:p>
        </w:tc>
        <w:tc>
          <w:tcPr/>
          <w:p>
            <w:pPr>
              <w:pStyle w:val="Compact"/>
              <w:jc w:val="left"/>
            </w:pPr>
            <w:r>
              <w:t xml:space="preserve">对照组mOS</w:t>
            </w:r>
          </w:p>
        </w:tc>
        <w:tc>
          <w:tcPr/>
          <w:p>
            <w:pPr>
              <w:pStyle w:val="Compact"/>
              <w:jc w:val="left"/>
            </w:pPr>
            <w:r>
              <w:t xml:space="preserve">OS HR</w:t>
            </w:r>
          </w:p>
        </w:tc>
        <w:tc>
          <w:tcPr/>
          <w:p>
            <w:pPr>
              <w:pStyle w:val="Compact"/>
              <w:jc w:val="left"/>
            </w:pPr>
            <w:r>
              <w:t xml:space="preserve">试验组mPFS</w:t>
            </w:r>
          </w:p>
        </w:tc>
        <w:tc>
          <w:tcPr/>
          <w:p>
            <w:pPr>
              <w:pStyle w:val="Compact"/>
              <w:jc w:val="left"/>
            </w:pPr>
            <w:r>
              <w:t xml:space="preserve">对照组mPFS</w:t>
            </w:r>
          </w:p>
        </w:tc>
        <w:tc>
          <w:tcPr/>
          <w:p>
            <w:pPr>
              <w:pStyle w:val="Compact"/>
              <w:jc w:val="left"/>
            </w:pPr>
            <w:r>
              <w:t xml:space="preserve">PFS HR</w:t>
            </w:r>
          </w:p>
        </w:tc>
      </w:tr>
      <w:tr>
        <w:tc>
          <w:tcPr/>
          <w:p>
            <w:pPr>
              <w:pStyle w:val="Compact"/>
              <w:jc w:val="left"/>
            </w:pPr>
            <w:r>
              <w:t xml:space="preserve">主要分析（2018）</w:t>
            </w:r>
            <w:r>
              <w:rPr>
                <w:vertAlign w:val="superscript"/>
              </w:rPr>
              <w:t xml:space="preserve">5</w:t>
            </w:r>
          </w:p>
        </w:tc>
        <w:tc>
          <w:tcPr/>
          <w:p>
            <w:pPr>
              <w:pStyle w:val="Compact"/>
              <w:jc w:val="left"/>
            </w:pPr>
            <w:r>
              <w:t xml:space="preserve">10.5个月</w:t>
            </w:r>
          </w:p>
        </w:tc>
        <w:tc>
          <w:tcPr/>
          <w:p>
            <w:pPr>
              <w:pStyle w:val="Compact"/>
              <w:jc w:val="left"/>
            </w:pPr>
            <w:r>
              <w:t xml:space="preserve">22.0个月</w:t>
            </w:r>
          </w:p>
        </w:tc>
        <w:tc>
          <w:tcPr/>
          <w:p>
            <w:pPr>
              <w:pStyle w:val="Compact"/>
              <w:jc w:val="left"/>
            </w:pPr>
            <w:r>
              <w:t xml:space="preserve">10.7个月</w:t>
            </w:r>
          </w:p>
        </w:tc>
        <w:tc>
          <w:tcPr/>
          <w:p>
            <w:pPr>
              <w:pStyle w:val="Compact"/>
              <w:jc w:val="left"/>
            </w:pPr>
            <w:r>
              <w:t xml:space="preserve">0.49（0.38-0.64）</w:t>
            </w:r>
          </w:p>
        </w:tc>
        <w:tc>
          <w:tcPr/>
          <w:p>
            <w:pPr>
              <w:pStyle w:val="Compact"/>
              <w:jc w:val="left"/>
            </w:pPr>
            <w:r>
              <w:t xml:space="preserve">8.8个月</w:t>
            </w:r>
          </w:p>
        </w:tc>
        <w:tc>
          <w:tcPr/>
          <w:p>
            <w:pPr>
              <w:pStyle w:val="Compact"/>
              <w:jc w:val="left"/>
            </w:pPr>
            <w:r>
              <w:t xml:space="preserve">4.9个月</w:t>
            </w:r>
          </w:p>
        </w:tc>
        <w:tc>
          <w:tcPr/>
          <w:p>
            <w:pPr>
              <w:pStyle w:val="Compact"/>
              <w:jc w:val="left"/>
            </w:pPr>
            <w:r>
              <w:t xml:space="preserve">0.52（0.43-0.64）</w:t>
            </w:r>
          </w:p>
        </w:tc>
      </w:tr>
      <w:tr>
        <w:tc>
          <w:tcPr/>
          <w:p>
            <w:pPr>
              <w:pStyle w:val="Compact"/>
              <w:jc w:val="left"/>
            </w:pPr>
            <w:r>
              <w:t xml:space="preserve">5年更新（2023）</w:t>
            </w:r>
            <w:r>
              <w:rPr>
                <w:vertAlign w:val="superscript"/>
              </w:rPr>
              <w:t xml:space="preserve">6</w:t>
            </w:r>
          </w:p>
        </w:tc>
        <w:tc>
          <w:tcPr/>
          <w:p>
            <w:pPr>
              <w:pStyle w:val="Compact"/>
              <w:jc w:val="left"/>
            </w:pPr>
            <w:r>
              <w:t xml:space="preserve">64.6个月</w:t>
            </w:r>
          </w:p>
        </w:tc>
        <w:tc>
          <w:tcPr/>
          <w:p>
            <w:pPr>
              <w:pStyle w:val="Compact"/>
              <w:jc w:val="left"/>
            </w:pPr>
            <w:r>
              <w:t xml:space="preserve">~22.0个月</w:t>
            </w:r>
          </w:p>
        </w:tc>
        <w:tc>
          <w:tcPr/>
          <w:p>
            <w:pPr>
              <w:pStyle w:val="Compact"/>
              <w:jc w:val="left"/>
            </w:pPr>
            <w:r>
              <w:t xml:space="preserve">~10.7个月</w:t>
            </w:r>
          </w:p>
        </w:tc>
        <w:tc>
          <w:tcPr/>
          <w:p>
            <w:pPr>
              <w:pStyle w:val="Compact"/>
              <w:jc w:val="left"/>
            </w:pPr>
            <w:r>
              <w:t xml:space="preserve">0.60（0.50-0.72）</w:t>
            </w:r>
          </w:p>
        </w:tc>
        <w:tc>
          <w:tcPr/>
          <w:p>
            <w:pPr>
              <w:pStyle w:val="Compact"/>
              <w:jc w:val="left"/>
            </w:pPr>
            <w:r>
              <w:t xml:space="preserve">~9.0个月</w:t>
            </w:r>
          </w:p>
        </w:tc>
        <w:tc>
          <w:tcPr/>
          <w:p>
            <w:pPr>
              <w:pStyle w:val="Compact"/>
              <w:jc w:val="left"/>
            </w:pPr>
            <w:r>
              <w:t xml:space="preserve">~5.0个月</w:t>
            </w:r>
          </w:p>
        </w:tc>
        <w:tc>
          <w:tcPr/>
          <w:p>
            <w:pPr>
              <w:pStyle w:val="Compact"/>
              <w:jc w:val="left"/>
            </w:pPr>
            <w:r>
              <w:t xml:space="preserve">0.50（0.42-0.60）</w:t>
            </w:r>
          </w:p>
        </w:tc>
      </w:tr>
    </w:tbl>
    <w:p>
      <w:pPr>
        <w:pStyle w:val="BodyText"/>
      </w:pPr>
      <w:r>
        <w:t xml:space="preserve">5年生存里程碑显示：5年OS率为19.4% vs 11.3%，5年PFS率为7.5% vs 0.6%</w:t>
      </w:r>
      <w:r>
        <w:rPr>
          <w:vertAlign w:val="superscript"/>
        </w:rPr>
        <w:t xml:space="preserve">6</w:t>
      </w:r>
      <w:r>
        <w:t xml:space="preserve">。完成35周期Pembrolizumab的57例患者中，3年OS率（治疗后约5年）达71.9%</w:t>
      </w:r>
      <w:r>
        <w:rPr>
          <w:vertAlign w:val="superscript"/>
        </w:rPr>
        <w:t xml:space="preserve">6</w:t>
      </w:r>
      <w:r>
        <w:t xml:space="preserve">。化疗组57%的患者后续接受了抗PD-(L)1治疗，交叉率略高于KEYNOTE-407的50.9%</w:t>
      </w:r>
      <w:r>
        <w:rPr>
          <w:vertAlign w:val="superscript"/>
        </w:rPr>
        <w:t xml:space="preserve">6</w:t>
      </w:r>
      <w:r>
        <w:t xml:space="preserve">。</w:t>
      </w:r>
    </w:p>
    <w:bookmarkEnd w:id="88"/>
    <w:bookmarkStart w:id="89" w:name="pd-l1亚组阴性人群亦获益"/>
    <w:p>
      <w:pPr>
        <w:pStyle w:val="Heading3"/>
      </w:pPr>
      <w:r>
        <w:t xml:space="preserve">4.2.2 PD-L1亚组：阴性人群亦获益</w:t>
      </w:r>
    </w:p>
    <w:p>
      <w:pPr>
        <w:pStyle w:val="FirstParagraph"/>
      </w:pPr>
      <w:r>
        <w:t xml:space="preserve">与KEYNOTE-407不同，KEYNOTE-189在PD-L1 TPS&lt;1%的nsq-NSCLC患者中仍显示明确的OS获益趋势</w:t>
      </w:r>
      <w:r>
        <w:rPr>
          <w:vertAlign w:val="superscript"/>
        </w:rPr>
        <w:t xml:space="preserve">6</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PD-L1 TPS</w:t>
            </w:r>
          </w:p>
        </w:tc>
        <w:tc>
          <w:tcPr/>
          <w:p>
            <w:pPr>
              <w:pStyle w:val="Compact"/>
              <w:jc w:val="left"/>
            </w:pPr>
            <w:r>
              <w:t xml:space="preserve">试验组5年OS率</w:t>
            </w:r>
          </w:p>
        </w:tc>
        <w:tc>
          <w:tcPr/>
          <w:p>
            <w:pPr>
              <w:pStyle w:val="Compact"/>
              <w:jc w:val="left"/>
            </w:pPr>
            <w:r>
              <w:t xml:space="preserve">对照组5年OS率</w:t>
            </w:r>
          </w:p>
        </w:tc>
        <w:tc>
          <w:tcPr/>
          <w:p>
            <w:pPr>
              <w:pStyle w:val="Compact"/>
              <w:jc w:val="left"/>
            </w:pPr>
            <w:r>
              <w:t xml:space="preserve">获益特征</w:t>
            </w:r>
          </w:p>
        </w:tc>
      </w:tr>
      <w:tr>
        <w:tc>
          <w:tcPr/>
          <w:p>
            <w:pPr>
              <w:pStyle w:val="Compact"/>
              <w:jc w:val="left"/>
            </w:pPr>
            <w:r>
              <w:t xml:space="preserve">TPS ≥50%</w:t>
            </w:r>
          </w:p>
        </w:tc>
        <w:tc>
          <w:tcPr/>
          <w:p>
            <w:pPr>
              <w:pStyle w:val="Compact"/>
              <w:jc w:val="left"/>
            </w:pPr>
            <w:r>
              <w:t xml:space="preserve">29.6%</w:t>
            </w:r>
          </w:p>
        </w:tc>
        <w:tc>
          <w:tcPr/>
          <w:p>
            <w:pPr>
              <w:pStyle w:val="Compact"/>
              <w:jc w:val="left"/>
            </w:pPr>
            <w:r>
              <w:t xml:space="preserve">21.4%</w:t>
            </w:r>
          </w:p>
        </w:tc>
        <w:tc>
          <w:tcPr/>
          <w:p>
            <w:pPr>
              <w:pStyle w:val="Compact"/>
              <w:jc w:val="left"/>
            </w:pPr>
            <w:r>
              <w:t xml:space="preserve">高表达获益最大</w:t>
            </w:r>
          </w:p>
        </w:tc>
      </w:tr>
      <w:tr>
        <w:tc>
          <w:tcPr/>
          <w:p>
            <w:pPr>
              <w:pStyle w:val="Compact"/>
              <w:jc w:val="left"/>
            </w:pPr>
            <w:r>
              <w:t xml:space="preserve">TPS 1-49%</w:t>
            </w:r>
          </w:p>
        </w:tc>
        <w:tc>
          <w:tcPr/>
          <w:p>
            <w:pPr>
              <w:pStyle w:val="Compact"/>
              <w:jc w:val="left"/>
            </w:pPr>
            <w:r>
              <w:t xml:space="preserve">~18%</w:t>
            </w:r>
          </w:p>
        </w:tc>
        <w:tc>
          <w:tcPr/>
          <w:p>
            <w:pPr>
              <w:pStyle w:val="Compact"/>
              <w:jc w:val="left"/>
            </w:pPr>
            <w:r>
              <w:t xml:space="preserve">~10%</w:t>
            </w:r>
          </w:p>
        </w:tc>
        <w:tc>
          <w:tcPr/>
          <w:p>
            <w:pPr>
              <w:pStyle w:val="Compact"/>
              <w:jc w:val="left"/>
            </w:pPr>
            <w:r>
              <w:t xml:space="preserve">中度表达获益</w:t>
            </w:r>
          </w:p>
        </w:tc>
      </w:tr>
      <w:tr>
        <w:tc>
          <w:tcPr/>
          <w:p>
            <w:pPr>
              <w:pStyle w:val="Compact"/>
              <w:jc w:val="left"/>
            </w:pPr>
            <w:r>
              <w:t xml:space="preserve">TPS &lt;1%</w:t>
            </w:r>
          </w:p>
        </w:tc>
        <w:tc>
          <w:tcPr/>
          <w:p>
            <w:pPr>
              <w:pStyle w:val="Compact"/>
              <w:jc w:val="left"/>
            </w:pPr>
            <w:r>
              <w:t xml:space="preserve">~15%</w:t>
            </w:r>
          </w:p>
        </w:tc>
        <w:tc>
          <w:tcPr/>
          <w:p>
            <w:pPr>
              <w:pStyle w:val="Compact"/>
              <w:jc w:val="left"/>
            </w:pPr>
            <w:r>
              <w:t xml:space="preserve">~8%</w:t>
            </w:r>
          </w:p>
        </w:tc>
        <w:tc>
          <w:tcPr/>
          <w:p>
            <w:pPr>
              <w:pStyle w:val="Compact"/>
              <w:jc w:val="left"/>
            </w:pPr>
            <w:r>
              <w:rPr>
                <w:bCs/>
                <w:b/>
              </w:rPr>
              <w:t xml:space="preserve">PD-L1阴性亦获益</w:t>
            </w:r>
          </w:p>
        </w:tc>
      </w:tr>
    </w:tbl>
    <w:p>
      <w:pPr>
        <w:pStyle w:val="BodyText"/>
      </w:pPr>
      <w:r>
        <w:t xml:space="preserve">这一差异具有重要的生物学和临床意义：sq-NSCLC与nsq-NSCLC在PD-L1阴性人群中对PD-1单抗联合化疗的敏感度不同，可能源于两种组织学类型的肿瘤微环境差异（如鳞癌与吸烟相关的高TMB、不同免疫浸润模式）</w:t>
      </w:r>
      <w:r>
        <w:rPr>
          <w:vertAlign w:val="superscript"/>
        </w:rPr>
        <w:t xml:space="preserve">6</w:t>
      </w:r>
      <w:r>
        <w:t xml:space="preserve">。</w:t>
      </w:r>
    </w:p>
    <w:bookmarkEnd w:id="89"/>
    <w:bookmarkEnd w:id="90"/>
    <w:bookmarkStart w:id="94" w:name="中国vs全球人群差异分析"/>
    <w:p>
      <w:pPr>
        <w:pStyle w:val="Heading2"/>
      </w:pPr>
      <w:r>
        <w:t xml:space="preserve">4.3 中国vs全球人群差异分析</w:t>
      </w:r>
    </w:p>
    <w:bookmarkStart w:id="91" w:name="数据差异的量化"/>
    <w:p>
      <w:pPr>
        <w:pStyle w:val="Heading3"/>
      </w:pPr>
      <w:r>
        <w:t xml:space="preserve">4.3.1 数据差异的量化</w:t>
      </w:r>
    </w:p>
    <w:p>
      <w:pPr>
        <w:pStyle w:val="FirstParagraph"/>
      </w:pPr>
      <w:r>
        <w:t xml:space="preserve">KEYNOTE-407中国扩展研究与全球数据的差异不仅体现在HR上，还涉及多个维度：</w:t>
      </w:r>
    </w:p>
    <w:tbl>
      <w:tblPr>
        <w:tblStyle w:val="Table"/>
        <w:tblW w:type="pct" w:w="5000"/>
        <w:tblLook w:firstRow="1" w:lastRow="0" w:firstColumn="0" w:lastColumn="0" w:noHBand="0" w:noVBand="0" w:val="0020"/>
        <w:jc w:val="start"/>
        <w:tblLayout w:type="fixed"/>
      </w:tblPr>
      <w:tblGrid>
        <w:gridCol w:w="1320"/>
        <w:gridCol w:w="1980"/>
        <w:gridCol w:w="2640"/>
        <w:gridCol w:w="1980"/>
      </w:tblGrid>
      <w:tr>
        <w:trPr>
          <w:tblHeader w:val="true"/>
        </w:trPr>
        <w:tc>
          <w:tcPr/>
          <w:p>
            <w:pPr>
              <w:pStyle w:val="Compact"/>
              <w:jc w:val="left"/>
            </w:pPr>
            <w:r>
              <w:t xml:space="preserve">维度</w:t>
            </w:r>
          </w:p>
        </w:tc>
        <w:tc>
          <w:tcPr/>
          <w:p>
            <w:pPr>
              <w:pStyle w:val="Compact"/>
              <w:jc w:val="left"/>
            </w:pPr>
            <w:r>
              <w:t xml:space="preserve">全球研究</w:t>
            </w:r>
          </w:p>
        </w:tc>
        <w:tc>
          <w:tcPr/>
          <w:p>
            <w:pPr>
              <w:pStyle w:val="Compact"/>
              <w:jc w:val="left"/>
            </w:pPr>
            <w:r>
              <w:t xml:space="preserve">中国扩展研究</w:t>
            </w:r>
          </w:p>
        </w:tc>
        <w:tc>
          <w:tcPr/>
          <w:p>
            <w:pPr>
              <w:pStyle w:val="Compact"/>
              <w:jc w:val="left"/>
            </w:pPr>
            <w:r>
              <w:t xml:space="preserve">差异解读</w:t>
            </w:r>
          </w:p>
        </w:tc>
      </w:tr>
      <w:tr>
        <w:tc>
          <w:tcPr/>
          <w:p>
            <w:pPr>
              <w:pStyle w:val="Compact"/>
              <w:jc w:val="left"/>
            </w:pPr>
            <w:r>
              <w:rPr>
                <w:bCs/>
                <w:b/>
              </w:rPr>
              <w:t xml:space="preserve">OS HR</w:t>
            </w:r>
          </w:p>
        </w:tc>
        <w:tc>
          <w:tcPr/>
          <w:p>
            <w:pPr>
              <w:pStyle w:val="Compact"/>
              <w:jc w:val="left"/>
            </w:pPr>
            <w:r>
              <w:t xml:space="preserve">0.71（0.58-0.88）</w:t>
            </w:r>
          </w:p>
        </w:tc>
        <w:tc>
          <w:tcPr/>
          <w:p>
            <w:pPr>
              <w:pStyle w:val="Compact"/>
              <w:jc w:val="left"/>
            </w:pPr>
            <w:r>
              <w:t xml:space="preserve">0.44（0.28-0.70）</w:t>
            </w:r>
          </w:p>
        </w:tc>
        <w:tc>
          <w:tcPr/>
          <w:p>
            <w:pPr>
              <w:pStyle w:val="Compact"/>
              <w:jc w:val="left"/>
            </w:pPr>
            <w:r>
              <w:t xml:space="preserve">中国HR更优，但CI较宽</w:t>
            </w:r>
          </w:p>
        </w:tc>
      </w:tr>
      <w:tr>
        <w:tc>
          <w:tcPr/>
          <w:p>
            <w:pPr>
              <w:pStyle w:val="Compact"/>
              <w:jc w:val="left"/>
            </w:pPr>
            <w:r>
              <w:rPr>
                <w:bCs/>
                <w:b/>
              </w:rPr>
              <w:t xml:space="preserve">PFS HR</w:t>
            </w:r>
          </w:p>
        </w:tc>
        <w:tc>
          <w:tcPr/>
          <w:p>
            <w:pPr>
              <w:pStyle w:val="Compact"/>
              <w:jc w:val="left"/>
            </w:pPr>
            <w:r>
              <w:t xml:space="preserve">0.57（0.47-0.69）</w:t>
            </w:r>
          </w:p>
        </w:tc>
        <w:tc>
          <w:tcPr/>
          <w:p>
            <w:pPr>
              <w:pStyle w:val="Compact"/>
              <w:jc w:val="left"/>
            </w:pPr>
            <w:r>
              <w:t xml:space="preserve">0.35（0.24-0.52）</w:t>
            </w:r>
          </w:p>
        </w:tc>
        <w:tc>
          <w:tcPr/>
          <w:p>
            <w:pPr>
              <w:pStyle w:val="Compact"/>
              <w:jc w:val="left"/>
            </w:pPr>
            <w:r>
              <w:t xml:space="preserve">中国HR更优</w:t>
            </w:r>
          </w:p>
        </w:tc>
      </w:tr>
      <w:tr>
        <w:tc>
          <w:tcPr/>
          <w:p>
            <w:pPr>
              <w:pStyle w:val="Compact"/>
              <w:jc w:val="left"/>
            </w:pPr>
            <w:r>
              <w:rPr>
                <w:bCs/>
                <w:b/>
              </w:rPr>
              <w:t xml:space="preserve">mOS（试验组）</w:t>
            </w:r>
          </w:p>
        </w:tc>
        <w:tc>
          <w:tcPr/>
          <w:p>
            <w:pPr>
              <w:pStyle w:val="Compact"/>
              <w:jc w:val="left"/>
            </w:pPr>
            <w:r>
              <w:t xml:space="preserve">~17.1个月</w:t>
            </w:r>
          </w:p>
        </w:tc>
        <w:tc>
          <w:tcPr/>
          <w:p>
            <w:pPr>
              <w:pStyle w:val="Compact"/>
              <w:jc w:val="left"/>
            </w:pPr>
            <w:r>
              <w:t xml:space="preserve">~30.1个月</w:t>
            </w:r>
          </w:p>
        </w:tc>
        <w:tc>
          <w:tcPr/>
          <w:p>
            <w:pPr>
              <w:pStyle w:val="Compact"/>
              <w:jc w:val="left"/>
            </w:pPr>
            <w:r>
              <w:t xml:space="preserve">绝对数值差异大，但随访方式不同</w:t>
            </w:r>
          </w:p>
        </w:tc>
      </w:tr>
      <w:tr>
        <w:tc>
          <w:tcPr/>
          <w:p>
            <w:pPr>
              <w:pStyle w:val="Compact"/>
              <w:jc w:val="left"/>
            </w:pPr>
            <w:r>
              <w:rPr>
                <w:bCs/>
                <w:b/>
              </w:rPr>
              <w:t xml:space="preserve">对照组后续交叉率</w:t>
            </w:r>
          </w:p>
        </w:tc>
        <w:tc>
          <w:tcPr/>
          <w:p>
            <w:pPr>
              <w:pStyle w:val="Compact"/>
              <w:jc w:val="left"/>
            </w:pPr>
            <w:r>
              <w:t xml:space="preserve">50.9%</w:t>
            </w:r>
          </w:p>
        </w:tc>
        <w:tc>
          <w:tcPr/>
          <w:p>
            <w:pPr>
              <w:pStyle w:val="Compact"/>
              <w:jc w:val="left"/>
            </w:pPr>
            <w:r>
              <w:t xml:space="preserve">65.0%</w:t>
            </w:r>
          </w:p>
        </w:tc>
        <w:tc>
          <w:tcPr/>
          <w:p>
            <w:pPr>
              <w:pStyle w:val="Compact"/>
              <w:jc w:val="left"/>
            </w:pPr>
            <w:r>
              <w:t xml:space="preserve">中国交叉率更高</w:t>
            </w:r>
          </w:p>
        </w:tc>
      </w:tr>
      <w:tr>
        <w:tc>
          <w:tcPr/>
          <w:p>
            <w:pPr>
              <w:pStyle w:val="Compact"/>
              <w:jc w:val="left"/>
            </w:pPr>
            <w:r>
              <w:rPr>
                <w:bCs/>
                <w:b/>
              </w:rPr>
              <w:t xml:space="preserve">样本量</w:t>
            </w:r>
          </w:p>
        </w:tc>
        <w:tc>
          <w:tcPr/>
          <w:p>
            <w:pPr>
              <w:pStyle w:val="Compact"/>
              <w:jc w:val="left"/>
            </w:pPr>
            <w:r>
              <w:t xml:space="preserve">559例</w:t>
            </w:r>
          </w:p>
        </w:tc>
        <w:tc>
          <w:tcPr/>
          <w:p>
            <w:pPr>
              <w:pStyle w:val="Compact"/>
              <w:jc w:val="left"/>
            </w:pPr>
            <w:r>
              <w:t xml:space="preserve">125例</w:t>
            </w:r>
          </w:p>
        </w:tc>
        <w:tc>
          <w:tcPr/>
          <w:p>
            <w:pPr>
              <w:pStyle w:val="Compact"/>
              <w:jc w:val="left"/>
            </w:pPr>
            <w:r>
              <w:t xml:space="preserve">中国研究样本量小，统计精度低</w:t>
            </w:r>
          </w:p>
        </w:tc>
      </w:tr>
      <w:tr>
        <w:tc>
          <w:tcPr/>
          <w:p>
            <w:pPr>
              <w:pStyle w:val="Compact"/>
              <w:jc w:val="left"/>
            </w:pPr>
            <w:r>
              <w:rPr>
                <w:bCs/>
                <w:b/>
              </w:rPr>
              <w:t xml:space="preserve">中位随访时间</w:t>
            </w:r>
          </w:p>
        </w:tc>
        <w:tc>
          <w:tcPr/>
          <w:p>
            <w:pPr>
              <w:pStyle w:val="Compact"/>
              <w:jc w:val="left"/>
            </w:pPr>
            <w:r>
              <w:t xml:space="preserve">56.9个月（5年更新）</w:t>
            </w:r>
          </w:p>
        </w:tc>
        <w:tc>
          <w:tcPr/>
          <w:p>
            <w:pPr>
              <w:pStyle w:val="Compact"/>
              <w:jc w:val="left"/>
            </w:pPr>
            <w:r>
              <w:t xml:space="preserve">28.1个月</w:t>
            </w:r>
          </w:p>
        </w:tc>
        <w:tc>
          <w:tcPr/>
          <w:p>
            <w:pPr>
              <w:pStyle w:val="Compact"/>
              <w:jc w:val="left"/>
            </w:pPr>
            <w:r>
              <w:t xml:space="preserve">随访时长差异影响mOS估计</w:t>
            </w:r>
          </w:p>
        </w:tc>
      </w:tr>
    </w:tbl>
    <w:bookmarkEnd w:id="91"/>
    <w:bookmarkStart w:id="92" w:name="差异的可能原因"/>
    <w:p>
      <w:pPr>
        <w:pStyle w:val="Heading3"/>
      </w:pPr>
      <w:r>
        <w:t xml:space="preserve">4.3.2 差异的可能原因</w:t>
      </w:r>
    </w:p>
    <w:p>
      <w:pPr>
        <w:pStyle w:val="FirstParagraph"/>
      </w:pPr>
      <w:r>
        <w:t xml:space="preserve">中国扩展研究HR显著优于全球数据，可能由以下因素共同作用：</w:t>
      </w:r>
    </w:p>
    <w:p>
      <w:pPr>
        <w:pStyle w:val="BodyText"/>
      </w:pPr>
      <w:r>
        <w:rPr>
          <w:bCs/>
          <w:b/>
        </w:rPr>
        <w:t xml:space="preserve">1. 后续治疗交叉效应</w:t>
      </w:r>
      <w:r>
        <w:t xml:space="preserve">：中国研究中65.0%的安慰剂组患者后续接受了抗PD-(L)1治疗，高于全球研究的50.9%。理论上，更高的交叉率应稀释对照组与治疗组的OS差异，使HR趋近于1；但中国研究HR反而更优，提示中国人群中Pembrolizumab的相对治疗效应可能确实更强</w:t>
      </w:r>
      <w:r>
        <w:rPr>
          <w:vertAlign w:val="superscript"/>
        </w:rPr>
        <w:t xml:space="preserve">7</w:t>
      </w:r>
      <w:r>
        <w:t xml:space="preserve">。</w:t>
      </w:r>
    </w:p>
    <w:p>
      <w:pPr>
        <w:pStyle w:val="BodyText"/>
      </w:pPr>
      <w:r>
        <w:rPr>
          <w:bCs/>
          <w:b/>
        </w:rPr>
        <w:t xml:space="preserve">2. 随访时间与统计方法</w:t>
      </w:r>
      <w:r>
        <w:t xml:space="preserve">：中国研究中位随访时间为28.1个月，而全球研究5年更新时达56.9个月。更长的随访可能因后期事件数稀释、交叉效应累积导致HR向1靠近。作者在论文中指出，以相同时点数据截止比较，中国HR与全球更长随访分析的HR相似，总体趋势一致</w:t>
      </w:r>
      <w:r>
        <w:rPr>
          <w:vertAlign w:val="superscript"/>
        </w:rPr>
        <w:t xml:space="preserve">7</w:t>
      </w:r>
      <w:r>
        <w:t xml:space="preserve">。</w:t>
      </w:r>
    </w:p>
    <w:p>
      <w:pPr>
        <w:pStyle w:val="BodyText"/>
      </w:pPr>
      <w:r>
        <w:rPr>
          <w:bCs/>
          <w:b/>
        </w:rPr>
        <w:t xml:space="preserve">3. 基线人群特征</w:t>
      </w:r>
      <w:r>
        <w:t xml:space="preserve">：虽然公开的基线表显示种族外特征相似，但真实世界中中国sq-NSCLC患者的吸烟模式、合并症谱、肿瘤生物学行为可能与西方人群存在差异。例如，RATIONALE-307（中国研究）中替雷利珠单抗+化疗的ORR（72.5%-74.8%）亦高于KEYNOTE-407全球数据（62.6%），提示中国sq-NSCLC人群对免疫联合化疗的应答率可能普遍更高</w:t>
      </w:r>
      <w:r>
        <w:rPr>
          <w:vertAlign w:val="superscript"/>
        </w:rPr>
        <w:t xml:space="preserve">9</w:t>
      </w:r>
      <w:r>
        <w:t xml:space="preserve">。</w:t>
      </w:r>
    </w:p>
    <w:bookmarkEnd w:id="92"/>
    <w:bookmarkStart w:id="93" w:name="对harmoni-3的关键启示"/>
    <w:p>
      <w:pPr>
        <w:pStyle w:val="Heading3"/>
      </w:pPr>
      <w:r>
        <w:t xml:space="preserve">4.3.3 对HARMONi-3的关键启示</w:t>
      </w:r>
    </w:p>
    <w:p>
      <w:pPr>
        <w:pStyle w:val="FirstParagraph"/>
      </w:pPr>
      <w:r>
        <w:t xml:space="preserve">上述差异对HARMONi-3的结果解读提出了重要警示：</w:t>
      </w:r>
    </w:p>
    <w:p>
      <w:pPr>
        <w:numPr>
          <w:ilvl w:val="0"/>
          <w:numId w:val="1003"/>
        </w:numPr>
      </w:pPr>
      <w:r>
        <w:rPr>
          <w:bCs/>
          <w:b/>
        </w:rPr>
        <w:t xml:space="preserve">区分人群效应与药物效应</w:t>
      </w:r>
      <w:r>
        <w:t xml:space="preserve">：若AK112+化疗在HARMONi-3中显示优于Pembrolizumab+化疗的HR，需审慎评估是否仅反映中国人群固有的免疫治疗高应答特征，还是AK112（PD-1/VEGF双抗）的真实优效。HARMONi-3的全球多中心设计（含中国+西方人群）将是区分二者的关键——若仅中国人群优效而西方人群非优效，则提示人群效应为主</w:t>
      </w:r>
      <w:r>
        <w:rPr>
          <w:vertAlign w:val="superscript"/>
        </w:rPr>
        <w:t xml:space="preserve">717</w:t>
      </w:r>
      <w:r>
        <w:t xml:space="preserve">。</w:t>
      </w:r>
    </w:p>
    <w:p>
      <w:pPr>
        <w:numPr>
          <w:ilvl w:val="0"/>
          <w:numId w:val="1003"/>
        </w:numPr>
      </w:pPr>
      <w:r>
        <w:rPr>
          <w:bCs/>
          <w:b/>
        </w:rPr>
        <w:t xml:space="preserve">交叉设计的影响</w:t>
      </w:r>
      <w:r>
        <w:t xml:space="preserve">：中国研究中65%的高交叉率提示，HARMONi-3对照组（K药+化疗）的</w:t>
      </w:r>
      <w:r>
        <w:rPr>
          <w:bCs/>
          <w:b/>
        </w:rPr>
        <w:t xml:space="preserve">长期OS曲线可能受后续AK112或其他治疗影响</w:t>
      </w:r>
      <w:r>
        <w:t xml:space="preserve">。若试验允许对照组进展后交叉至试验组或其他有效方案，OS HR可能被稀释，增加达到统计学显著性的难度</w:t>
      </w:r>
      <w:r>
        <w:rPr>
          <w:vertAlign w:val="superscript"/>
        </w:rPr>
        <w:t xml:space="preserve">3</w:t>
      </w:r>
      <w:r>
        <w:t xml:space="preserve">。</w:t>
      </w:r>
    </w:p>
    <w:p>
      <w:pPr>
        <w:numPr>
          <w:ilvl w:val="0"/>
          <w:numId w:val="1003"/>
        </w:numPr>
      </w:pPr>
      <w:r>
        <w:rPr>
          <w:bCs/>
          <w:b/>
        </w:rPr>
        <w:t xml:space="preserve">非鳞队列的参照价值</w:t>
      </w:r>
      <w:r>
        <w:t xml:space="preserve">：HARMONi-3的nsq-NSCLC队列数据与KEYNOTE-189全球数据的一致性，将是判断中国vs西方人群疗效差异是否存在的核心参照。若nsq-NSCLC队列中中国亚组与全球亚组HR一致，则sq-NSCLC队列中的差异更可能反映药物效应而非人群效应</w:t>
      </w:r>
      <w:r>
        <w:rPr>
          <w:vertAlign w:val="superscript"/>
        </w:rPr>
        <w:t xml:space="preserve">17</w:t>
      </w:r>
      <w:r>
        <w:t xml:space="preserve">。</w:t>
      </w:r>
    </w:p>
    <w:bookmarkEnd w:id="93"/>
    <w:bookmarkEnd w:id="94"/>
    <w:bookmarkStart w:id="98" w:name="其他免疫方案对照"/>
    <w:p>
      <w:pPr>
        <w:pStyle w:val="Heading2"/>
      </w:pPr>
      <w:r>
        <w:t xml:space="preserve">4.4 其他免疫方案对照</w:t>
      </w:r>
    </w:p>
    <w:bookmarkStart w:id="95" w:name="双免疫方案checkmate-9la与poseidon"/>
    <w:p>
      <w:pPr>
        <w:pStyle w:val="Heading3"/>
      </w:pPr>
      <w:r>
        <w:t xml:space="preserve">4.4.1 双免疫方案：CheckMate 9LA与POSEIDON</w:t>
      </w:r>
    </w:p>
    <w:p>
      <w:pPr>
        <w:pStyle w:val="FirstParagraph"/>
      </w:pPr>
      <w:r>
        <w:t xml:space="preserve">在一线sq-NSCLC领域，除Pembrolizumab+化疗外，双免疫方案提供了另一维度的对照：</w:t>
      </w:r>
    </w:p>
    <w:tbl>
      <w:tblPr>
        <w:tblStyle w:val="Table"/>
        <w:tblW w:type="pct" w:w="5000"/>
        <w:tblLook w:firstRow="1" w:lastRow="0" w:firstColumn="0" w:lastColumn="0" w:noHBand="0" w:noVBand="0" w:val="0020"/>
        <w:jc w:val="start"/>
        <w:tblLayout w:type="fixed"/>
      </w:tblPr>
      <w:tblGrid>
        <w:gridCol w:w="792"/>
        <w:gridCol w:w="792"/>
        <w:gridCol w:w="1056"/>
        <w:gridCol w:w="1056"/>
        <w:gridCol w:w="2508"/>
        <w:gridCol w:w="1716"/>
      </w:tblGrid>
      <w:tr>
        <w:trPr>
          <w:tblHeader w:val="true"/>
        </w:trPr>
        <w:tc>
          <w:tcPr/>
          <w:p>
            <w:pPr>
              <w:pStyle w:val="Compact"/>
              <w:jc w:val="left"/>
            </w:pPr>
            <w:r>
              <w:t xml:space="preserve">方案</w:t>
            </w:r>
          </w:p>
        </w:tc>
        <w:tc>
          <w:tcPr/>
          <w:p>
            <w:pPr>
              <w:pStyle w:val="Compact"/>
              <w:jc w:val="left"/>
            </w:pPr>
            <w:r>
              <w:t xml:space="preserve">研究</w:t>
            </w:r>
          </w:p>
        </w:tc>
        <w:tc>
          <w:tcPr/>
          <w:p>
            <w:pPr>
              <w:pStyle w:val="Compact"/>
              <w:jc w:val="left"/>
            </w:pPr>
            <w:r>
              <w:t xml:space="preserve">总体mOS</w:t>
            </w:r>
          </w:p>
        </w:tc>
        <w:tc>
          <w:tcPr/>
          <w:p>
            <w:pPr>
              <w:pStyle w:val="Compact"/>
              <w:jc w:val="left"/>
            </w:pPr>
            <w:r>
              <w:t xml:space="preserve">鳞癌mOS</w:t>
            </w:r>
          </w:p>
        </w:tc>
        <w:tc>
          <w:tcPr/>
          <w:p>
            <w:pPr>
              <w:pStyle w:val="Compact"/>
              <w:jc w:val="left"/>
            </w:pPr>
            <w:r>
              <w:t xml:space="preserve">鳞癌OS HR（95% CI）</w:t>
            </w:r>
          </w:p>
        </w:tc>
        <w:tc>
          <w:tcPr/>
          <w:p>
            <w:pPr>
              <w:pStyle w:val="Compact"/>
              <w:jc w:val="left"/>
            </w:pPr>
            <w:r>
              <w:t xml:space="preserve">鳞癌获益显著性</w:t>
            </w:r>
          </w:p>
        </w:tc>
      </w:tr>
      <w:tr>
        <w:tc>
          <w:tcPr/>
          <w:p>
            <w:pPr>
              <w:pStyle w:val="Compact"/>
              <w:jc w:val="left"/>
            </w:pPr>
            <w:r>
              <w:t xml:space="preserve">Nivo+Ipi+2周期化疗</w:t>
            </w:r>
          </w:p>
        </w:tc>
        <w:tc>
          <w:tcPr/>
          <w:p>
            <w:pPr>
              <w:pStyle w:val="Compact"/>
              <w:jc w:val="left"/>
            </w:pPr>
            <w:r>
              <w:t xml:space="preserve">CheckMate 9LA</w:t>
            </w:r>
            <w:r>
              <w:rPr>
                <w:vertAlign w:val="superscript"/>
              </w:rPr>
              <w:t xml:space="preserve">1314</w:t>
            </w:r>
          </w:p>
        </w:tc>
        <w:tc>
          <w:tcPr/>
          <w:p>
            <w:pPr>
              <w:pStyle w:val="Compact"/>
              <w:jc w:val="left"/>
            </w:pPr>
            <w:r>
              <w:t xml:space="preserve">15.8个月</w:t>
            </w:r>
          </w:p>
        </w:tc>
        <w:tc>
          <w:tcPr/>
          <w:p>
            <w:pPr>
              <w:pStyle w:val="Compact"/>
              <w:jc w:val="left"/>
            </w:pPr>
            <w:r>
              <w:t xml:space="preserve">14.5个月 vs 9.1个月</w:t>
            </w:r>
          </w:p>
        </w:tc>
        <w:tc>
          <w:tcPr/>
          <w:p>
            <w:pPr>
              <w:pStyle w:val="Compact"/>
              <w:jc w:val="left"/>
            </w:pPr>
            <w:r>
              <w:rPr>
                <w:bCs/>
                <w:b/>
              </w:rPr>
              <w:t xml:space="preserve">0.63（0.47-0.85）</w:t>
            </w:r>
          </w:p>
        </w:tc>
        <w:tc>
          <w:tcPr/>
          <w:p>
            <w:pPr>
              <w:pStyle w:val="Compact"/>
              <w:jc w:val="left"/>
            </w:pPr>
            <w:r>
              <w:rPr>
                <w:bCs/>
                <w:b/>
              </w:rPr>
              <w:t xml:space="preserve">显著</w:t>
            </w:r>
          </w:p>
        </w:tc>
      </w:tr>
      <w:tr>
        <w:tc>
          <w:tcPr/>
          <w:p>
            <w:pPr>
              <w:pStyle w:val="Compact"/>
              <w:jc w:val="left"/>
            </w:pPr>
            <w:r>
              <w:t xml:space="preserve">D+T+化疗</w:t>
            </w:r>
          </w:p>
        </w:tc>
        <w:tc>
          <w:tcPr/>
          <w:p>
            <w:pPr>
              <w:pStyle w:val="Compact"/>
              <w:jc w:val="left"/>
            </w:pPr>
            <w:r>
              <w:t xml:space="preserve">POSEIDON</w:t>
            </w:r>
            <w:r>
              <w:rPr>
                <w:vertAlign w:val="superscript"/>
              </w:rPr>
              <w:t xml:space="preserve">1516</w:t>
            </w:r>
          </w:p>
        </w:tc>
        <w:tc>
          <w:tcPr/>
          <w:p>
            <w:pPr>
              <w:pStyle w:val="Compact"/>
              <w:jc w:val="left"/>
            </w:pPr>
            <w:r>
              <w:t xml:space="preserve">14.0个月</w:t>
            </w:r>
          </w:p>
        </w:tc>
        <w:tc>
          <w:tcPr/>
          <w:p>
            <w:pPr>
              <w:pStyle w:val="Compact"/>
              <w:jc w:val="left"/>
            </w:pPr>
            <w:r>
              <w:t xml:space="preserve">10.4个月 vs 10.5个月</w:t>
            </w:r>
          </w:p>
        </w:tc>
        <w:tc>
          <w:tcPr/>
          <w:p>
            <w:pPr>
              <w:pStyle w:val="Compact"/>
              <w:jc w:val="left"/>
            </w:pPr>
            <w:r>
              <w:rPr>
                <w:bCs/>
                <w:b/>
              </w:rPr>
              <w:t xml:space="preserve">0.85（0.65-1.10）</w:t>
            </w:r>
          </w:p>
        </w:tc>
        <w:tc>
          <w:tcPr/>
          <w:p>
            <w:pPr>
              <w:pStyle w:val="Compact"/>
              <w:jc w:val="left"/>
            </w:pPr>
            <w:r>
              <w:rPr>
                <w:bCs/>
                <w:b/>
              </w:rPr>
              <w:t xml:space="preserve">不显著（CI跨1）</w:t>
            </w:r>
          </w:p>
        </w:tc>
      </w:tr>
      <w:tr>
        <w:tc>
          <w:tcPr/>
          <w:p>
            <w:pPr>
              <w:pStyle w:val="Compact"/>
              <w:jc w:val="left"/>
            </w:pPr>
            <w:r>
              <w:t xml:space="preserve">Pembro+化疗</w:t>
            </w:r>
          </w:p>
        </w:tc>
        <w:tc>
          <w:tcPr/>
          <w:p>
            <w:pPr>
              <w:pStyle w:val="Compact"/>
              <w:jc w:val="left"/>
            </w:pPr>
            <w:r>
              <w:t xml:space="preserve">KEYNOTE-407</w:t>
            </w:r>
            <w:r>
              <w:rPr>
                <w:vertAlign w:val="superscript"/>
              </w:rPr>
              <w:t xml:space="preserve">23</w:t>
            </w:r>
          </w:p>
        </w:tc>
        <w:tc>
          <w:tcPr/>
          <w:p>
            <w:pPr>
              <w:pStyle w:val="Compact"/>
              <w:jc w:val="left"/>
            </w:pPr>
            <w:r>
              <w:t xml:space="preserve">17.1个月</w:t>
            </w:r>
          </w:p>
        </w:tc>
        <w:tc>
          <w:tcPr/>
          <w:p>
            <w:pPr>
              <w:pStyle w:val="Compact"/>
              <w:jc w:val="left"/>
            </w:pPr>
            <w:r>
              <w:t xml:space="preserve">17.1个月 vs 11.6个月</w:t>
            </w:r>
          </w:p>
        </w:tc>
        <w:tc>
          <w:tcPr/>
          <w:p>
            <w:pPr>
              <w:pStyle w:val="Compact"/>
              <w:jc w:val="left"/>
            </w:pPr>
            <w:r>
              <w:rPr>
                <w:bCs/>
                <w:b/>
              </w:rPr>
              <w:t xml:space="preserve">0.71（0.58-0.88）</w:t>
            </w:r>
          </w:p>
        </w:tc>
        <w:tc>
          <w:tcPr/>
          <w:p>
            <w:pPr>
              <w:pStyle w:val="Compact"/>
              <w:jc w:val="left"/>
            </w:pPr>
            <w:r>
              <w:rPr>
                <w:bCs/>
                <w:b/>
              </w:rPr>
              <w:t xml:space="preserve">显著</w:t>
            </w:r>
          </w:p>
        </w:tc>
      </w:tr>
    </w:tbl>
    <w:p>
      <w:pPr>
        <w:pStyle w:val="BodyText"/>
      </w:pPr>
      <w:r>
        <w:rPr>
          <w:bCs/>
          <w:b/>
        </w:rPr>
        <w:t xml:space="preserve">CheckMate 9LA</w:t>
      </w:r>
      <w:r>
        <w:t xml:space="preserve">（O药+Y药+2周期化疗）在</w:t>
      </w:r>
      <w:r>
        <w:rPr>
          <w:bCs/>
          <w:b/>
        </w:rPr>
        <w:t xml:space="preserve">鳞癌亚组中的OS获益（HR 0.63）优于非鳞癌（HR 0.78）</w:t>
      </w:r>
      <w:r>
        <w:t xml:space="preserve">，提示双免疫+短程化疗在sq-NSCLC中可能提供更强的免疫激活</w:t>
      </w:r>
      <w:r>
        <w:rPr>
          <w:vertAlign w:val="superscript"/>
        </w:rPr>
        <w:t xml:space="preserve">1314</w:t>
      </w:r>
      <w:r>
        <w:t xml:space="preserve">。但代价是毒性更高：因AE停药率达20.9%，显著高于KEYNOTE-407的13.3%</w:t>
      </w:r>
      <w:r>
        <w:rPr>
          <w:vertAlign w:val="superscript"/>
        </w:rPr>
        <w:t xml:space="preserve">132</w:t>
      </w:r>
      <w:r>
        <w:t xml:space="preserve">。</w:t>
      </w:r>
    </w:p>
    <w:p>
      <w:pPr>
        <w:pStyle w:val="BodyText"/>
      </w:pPr>
      <w:r>
        <w:rPr>
          <w:bCs/>
          <w:b/>
        </w:rPr>
        <w:t xml:space="preserve">POSEIDON</w:t>
      </w:r>
      <w:r>
        <w:t xml:space="preserve">（Durvalumab+Tremelimumab+化疗）则在sq-NSCLC中遭遇挫折：鳞癌mOS HR为0.85（95% CI 0.65-1.10），获益不显著；而非鳞癌mOS HR为0.81（95% CI 0.66-1.00），处于边缘状态</w:t>
      </w:r>
      <w:r>
        <w:rPr>
          <w:vertAlign w:val="superscript"/>
        </w:rPr>
        <w:t xml:space="preserve">1516</w:t>
      </w:r>
      <w:r>
        <w:t xml:space="preserve">。这与KEYNOTE-407（鳞癌HR 0.71）和CheckMate 9LA（鳞癌HR 0.63）形成鲜明对比。可能的原因包括：PD-L1抑制剂（Durvalumab）在sq-NSCLC中的疗效弱于PD-1抑制剂；CTLA-4+PD-L1双免疫的协同效应不及PD-1+CTLA-4；化疗方案差异（维持期无紫杉醇）等</w:t>
      </w:r>
      <w:r>
        <w:rPr>
          <w:vertAlign w:val="superscript"/>
        </w:rPr>
        <w:t xml:space="preserve">1516</w:t>
      </w:r>
      <w:r>
        <w:t xml:space="preserve">。</w:t>
      </w:r>
    </w:p>
    <w:p>
      <w:pPr>
        <w:pStyle w:val="BodyText"/>
      </w:pPr>
      <w:r>
        <w:t xml:space="preserve">POSEIDON的鳞癌数据给HARMONi-3以重要警示：</w:t>
      </w:r>
      <w:r>
        <w:rPr>
          <w:bCs/>
          <w:b/>
        </w:rPr>
        <w:t xml:space="preserve">并非所有免疫+化疗方案在sq-NSCLC中都能复现KEYNOTE-407的OS获益</w:t>
      </w:r>
      <w:r>
        <w:t xml:space="preserve">。AK112+化疗若要在sq-NSCLC中证明优于Pembro+化疗，需要克服这一历史挑战，提供明确的增量获益证据</w:t>
      </w:r>
      <w:r>
        <w:rPr>
          <w:vertAlign w:val="superscript"/>
        </w:rPr>
        <w:t xml:space="preserve">16</w:t>
      </w:r>
      <w:r>
        <w:t xml:space="preserve">。</w:t>
      </w:r>
    </w:p>
    <w:bookmarkEnd w:id="95"/>
    <w:bookmarkStart w:id="96" w:name="国产pd-1对照rationale-307"/>
    <w:p>
      <w:pPr>
        <w:pStyle w:val="Heading3"/>
      </w:pPr>
      <w:r>
        <w:t xml:space="preserve">4.4.2 国产PD-1对照：RATIONALE-307</w:t>
      </w:r>
    </w:p>
    <w:p>
      <w:pPr>
        <w:pStyle w:val="FirstParagraph"/>
      </w:pPr>
      <w:r>
        <w:t xml:space="preserve">RATIONALE-307（NCT03594788）是替雷利珠单抗（Tislelizumab，PD-1抗体）联合化疗一线治疗晚期sq-NSCLC的中国III期试验，入组355例患者，对比化疗单药</w:t>
      </w:r>
      <w:r>
        <w:rPr>
          <w:vertAlign w:val="superscript"/>
        </w:rPr>
        <w:t xml:space="preserve">910</w:t>
      </w:r>
      <w:r>
        <w:t xml:space="preserve">。其与KEYNOTE-407的横向比较对HARMONi-3具有特殊意义，因为HARMONi-6的对照组正是替雷利珠单抗+化疗：</w:t>
      </w:r>
    </w:p>
    <w:tbl>
      <w:tblPr>
        <w:tblStyle w:val="Table"/>
        <w:tblW w:type="pct" w:w="5000"/>
        <w:tblLook w:firstRow="1" w:lastRow="0" w:firstColumn="0" w:lastColumn="0" w:noHBand="0" w:noVBand="0" w:val="0020"/>
        <w:jc w:val="start"/>
        <w:tblLayout w:type="fixed"/>
      </w:tblPr>
      <w:tblGrid>
        <w:gridCol w:w="601"/>
        <w:gridCol w:w="4010"/>
        <w:gridCol w:w="3308"/>
      </w:tblGrid>
      <w:tr>
        <w:trPr>
          <w:tblHeader w:val="true"/>
        </w:trPr>
        <w:tc>
          <w:tcPr/>
          <w:p>
            <w:pPr>
              <w:pStyle w:val="Compact"/>
              <w:jc w:val="left"/>
            </w:pPr>
            <w:r>
              <w:t xml:space="preserve">终点</w:t>
            </w:r>
          </w:p>
        </w:tc>
        <w:tc>
          <w:tcPr/>
          <w:p>
            <w:pPr>
              <w:pStyle w:val="Compact"/>
              <w:jc w:val="left"/>
            </w:pPr>
            <w:r>
              <w:t xml:space="preserve">KEYNOTE-407（全球）Pembro+化疗 vs 化疗</w:t>
            </w:r>
          </w:p>
        </w:tc>
        <w:tc>
          <w:tcPr/>
          <w:p>
            <w:pPr>
              <w:pStyle w:val="Compact"/>
              <w:jc w:val="left"/>
            </w:pPr>
            <w:r>
              <w:t xml:space="preserve">RATIONALE-307 Tisle+化疗 vs 化疗</w:t>
            </w:r>
          </w:p>
        </w:tc>
      </w:tr>
      <w:tr>
        <w:tc>
          <w:tcPr/>
          <w:p>
            <w:pPr>
              <w:pStyle w:val="Compact"/>
              <w:jc w:val="left"/>
            </w:pPr>
            <w:r>
              <w:rPr>
                <w:bCs/>
                <w:b/>
              </w:rPr>
              <w:t xml:space="preserve">PFS HR</w:t>
            </w:r>
          </w:p>
        </w:tc>
        <w:tc>
          <w:tcPr/>
          <w:p>
            <w:pPr>
              <w:pStyle w:val="Compact"/>
              <w:jc w:val="left"/>
            </w:pPr>
            <w:r>
              <w:rPr>
                <w:bCs/>
                <w:b/>
              </w:rPr>
              <w:t xml:space="preserve">0.57</w:t>
            </w:r>
            <w:r>
              <w:t xml:space="preserve">（0.47-0.69）</w:t>
            </w:r>
          </w:p>
        </w:tc>
        <w:tc>
          <w:tcPr/>
          <w:p>
            <w:pPr>
              <w:pStyle w:val="Compact"/>
              <w:jc w:val="left"/>
            </w:pPr>
            <w:r>
              <w:rPr>
                <w:bCs/>
                <w:b/>
              </w:rPr>
              <w:t xml:space="preserve">0.524</w:t>
            </w:r>
            <w:r>
              <w:t xml:space="preserve">（Arm A）/</w:t>
            </w:r>
            <w:r>
              <w:t xml:space="preserve"> </w:t>
            </w:r>
            <w:r>
              <w:rPr>
                <w:bCs/>
                <w:b/>
              </w:rPr>
              <w:t xml:space="preserve">0.478</w:t>
            </w:r>
            <w:r>
              <w:t xml:space="preserve">（Arm B）</w:t>
            </w:r>
          </w:p>
        </w:tc>
      </w:tr>
      <w:tr>
        <w:tc>
          <w:tcPr/>
          <w:p>
            <w:pPr>
              <w:pStyle w:val="Compact"/>
              <w:jc w:val="left"/>
            </w:pPr>
            <w:r>
              <w:rPr>
                <w:bCs/>
                <w:b/>
              </w:rPr>
              <w:t xml:space="preserve">mPFS</w:t>
            </w:r>
          </w:p>
        </w:tc>
        <w:tc>
          <w:tcPr/>
          <w:p>
            <w:pPr>
              <w:pStyle w:val="Compact"/>
              <w:jc w:val="left"/>
            </w:pPr>
            <w:r>
              <w:t xml:space="preserve">8.0 vs 5.1个月</w:t>
            </w:r>
          </w:p>
        </w:tc>
        <w:tc>
          <w:tcPr/>
          <w:p>
            <w:pPr>
              <w:pStyle w:val="Compact"/>
              <w:jc w:val="left"/>
            </w:pPr>
            <w:r>
              <w:t xml:space="preserve">7.6 vs 5.5个月</w:t>
            </w:r>
          </w:p>
        </w:tc>
      </w:tr>
      <w:tr>
        <w:tc>
          <w:tcPr/>
          <w:p>
            <w:pPr>
              <w:pStyle w:val="Compact"/>
              <w:jc w:val="left"/>
            </w:pPr>
            <w:r>
              <w:rPr>
                <w:bCs/>
                <w:b/>
              </w:rPr>
              <w:t xml:space="preserve">ORR</w:t>
            </w:r>
          </w:p>
        </w:tc>
        <w:tc>
          <w:tcPr/>
          <w:p>
            <w:pPr>
              <w:pStyle w:val="Compact"/>
              <w:jc w:val="left"/>
            </w:pPr>
            <w:r>
              <w:t xml:space="preserve">62.6% vs 38.4%</w:t>
            </w:r>
          </w:p>
        </w:tc>
        <w:tc>
          <w:tcPr/>
          <w:p>
            <w:pPr>
              <w:pStyle w:val="Compact"/>
              <w:jc w:val="left"/>
            </w:pPr>
            <w:r>
              <w:t xml:space="preserve">72.5%（Arm A）/ 74.8%（Arm B）vs 49.6%</w:t>
            </w:r>
          </w:p>
        </w:tc>
      </w:tr>
      <w:tr>
        <w:tc>
          <w:tcPr/>
          <w:p>
            <w:pPr>
              <w:pStyle w:val="Compact"/>
              <w:jc w:val="left"/>
            </w:pPr>
            <w:r>
              <w:rPr>
                <w:bCs/>
                <w:b/>
              </w:rPr>
              <w:t xml:space="preserve">中位DOR</w:t>
            </w:r>
          </w:p>
        </w:tc>
        <w:tc>
          <w:tcPr/>
          <w:p>
            <w:pPr>
              <w:pStyle w:val="Compact"/>
              <w:jc w:val="left"/>
            </w:pPr>
            <w:r>
              <w:t xml:space="preserve">8.8个月</w:t>
            </w:r>
          </w:p>
        </w:tc>
        <w:tc>
          <w:tcPr/>
          <w:p>
            <w:pPr>
              <w:pStyle w:val="Compact"/>
              <w:jc w:val="left"/>
            </w:pPr>
            <w:r>
              <w:t xml:space="preserve">8.2个月（Arm A）/ 8.6个月（Arm B）</w:t>
            </w:r>
          </w:p>
        </w:tc>
      </w:tr>
      <w:tr>
        <w:tc>
          <w:tcPr/>
          <w:p>
            <w:pPr>
              <w:pStyle w:val="Compact"/>
              <w:jc w:val="left"/>
            </w:pPr>
            <w:r>
              <w:rPr>
                <w:bCs/>
                <w:b/>
              </w:rPr>
              <w:t xml:space="preserve">≥3级imAE</w:t>
            </w:r>
          </w:p>
        </w:tc>
        <w:tc>
          <w:tcPr/>
          <w:p>
            <w:pPr>
              <w:pStyle w:val="Compact"/>
              <w:jc w:val="left"/>
            </w:pPr>
            <w:r>
              <w:t xml:space="preserve">10.8%</w:t>
            </w:r>
          </w:p>
        </w:tc>
        <w:tc>
          <w:tcPr/>
          <w:p>
            <w:pPr>
              <w:pStyle w:val="Compact"/>
              <w:jc w:val="left"/>
            </w:pPr>
            <w:r>
              <w:t xml:space="preserve">9.2%（Arm A）/ 6.8%（Arm B）</w:t>
            </w:r>
          </w:p>
        </w:tc>
      </w:tr>
    </w:tbl>
    <w:p>
      <w:pPr>
        <w:pStyle w:val="BodyText"/>
      </w:pPr>
      <w:r>
        <w:t xml:space="preserve">RATIONALE-307的PFS HR（0.48-0.52）与KEYNOTE-407（0.57）相近，但</w:t>
      </w:r>
      <w:r>
        <w:rPr>
          <w:bCs/>
          <w:b/>
        </w:rPr>
        <w:t xml:space="preserve">ORR显著更高</w:t>
      </w:r>
      <w:r>
        <w:t xml:space="preserve">（72-75% vs 63%），提示中国sq-NSCLC人群对免疫联合化疗的应答率可能普遍高于全球平均水平</w:t>
      </w:r>
      <w:r>
        <w:rPr>
          <w:vertAlign w:val="superscript"/>
        </w:rPr>
        <w:t xml:space="preserve">9</w:t>
      </w:r>
      <w:r>
        <w:t xml:space="preserve">。2024年最终分析已证实OS获益（HR 0.67）</w:t>
      </w:r>
      <w:r>
        <w:rPr>
          <w:vertAlign w:val="superscript"/>
        </w:rPr>
        <w:t xml:space="preserve">10</w:t>
      </w:r>
      <w:r>
        <w:t xml:space="preserve">。</w:t>
      </w:r>
    </w:p>
    <w:p>
      <w:pPr>
        <w:pStyle w:val="BodyText"/>
      </w:pPr>
      <w:r>
        <w:t xml:space="preserve">这一观察对HARMONi-3的解读至关重要：若AK112+化疗在sq-NSCLC中显示优于Pembro+化疗的PFS，需考虑是否仅仅是”中国人群效应”——因为RATIONALE-307已证明中国sq-NSCLC对PD-1+化疗的ORR高于全球KEYNOTE-407数据。HARMONi-3的全球多中心设计（含中国+西方人群）将帮助区分药物效应与人群效应</w:t>
      </w:r>
      <w:r>
        <w:rPr>
          <w:vertAlign w:val="superscript"/>
        </w:rPr>
        <w:t xml:space="preserve">17</w:t>
      </w:r>
      <w:r>
        <w:t xml:space="preserve">。</w:t>
      </w:r>
    </w:p>
    <w:bookmarkEnd w:id="96"/>
    <w:bookmarkStart w:id="97" w:name="不同方案在鳞癌中的疗效差异总结"/>
    <w:p>
      <w:pPr>
        <w:pStyle w:val="Heading3"/>
      </w:pPr>
      <w:r>
        <w:t xml:space="preserve">4.4.3 不同方案在鳞癌中的疗效差异总结</w:t>
      </w:r>
    </w:p>
    <w:tbl>
      <w:tblPr>
        <w:tblStyle w:val="Table"/>
        <w:tblW w:type="pct" w:w="5000"/>
        <w:tblLook w:firstRow="1" w:lastRow="0" w:firstColumn="0" w:lastColumn="0" w:noHBand="0" w:noVBand="0" w:val="0020"/>
        <w:jc w:val="start"/>
        <w:tblLayout w:type="fixed"/>
      </w:tblPr>
      <w:tblGrid>
        <w:gridCol w:w="1516"/>
        <w:gridCol w:w="1516"/>
        <w:gridCol w:w="1685"/>
        <w:gridCol w:w="1685"/>
        <w:gridCol w:w="1516"/>
      </w:tblGrid>
      <w:tr>
        <w:trPr>
          <w:tblHeader w:val="true"/>
        </w:trPr>
        <w:tc>
          <w:tcPr/>
          <w:p>
            <w:pPr>
              <w:pStyle w:val="Compact"/>
              <w:jc w:val="left"/>
            </w:pPr>
            <w:r>
              <w:t xml:space="preserve">方案类型</w:t>
            </w:r>
          </w:p>
        </w:tc>
        <w:tc>
          <w:tcPr/>
          <w:p>
            <w:pPr>
              <w:pStyle w:val="Compact"/>
              <w:jc w:val="left"/>
            </w:pPr>
            <w:r>
              <w:t xml:space="preserve">代表研究</w:t>
            </w:r>
          </w:p>
        </w:tc>
        <w:tc>
          <w:tcPr/>
          <w:p>
            <w:pPr>
              <w:pStyle w:val="Compact"/>
              <w:jc w:val="left"/>
            </w:pPr>
            <w:r>
              <w:t xml:space="preserve">鳞癌OS HR</w:t>
            </w:r>
          </w:p>
        </w:tc>
        <w:tc>
          <w:tcPr/>
          <w:p>
            <w:pPr>
              <w:pStyle w:val="Compact"/>
              <w:jc w:val="left"/>
            </w:pPr>
            <w:r>
              <w:t xml:space="preserve">获益确定性</w:t>
            </w:r>
          </w:p>
        </w:tc>
        <w:tc>
          <w:tcPr/>
          <w:p>
            <w:pPr>
              <w:pStyle w:val="Compact"/>
              <w:jc w:val="left"/>
            </w:pPr>
            <w:r>
              <w:t xml:space="preserve">主要特点</w:t>
            </w:r>
          </w:p>
        </w:tc>
      </w:tr>
      <w:tr>
        <w:tc>
          <w:tcPr/>
          <w:p>
            <w:pPr>
              <w:pStyle w:val="Compact"/>
              <w:jc w:val="left"/>
            </w:pPr>
            <w:r>
              <w:t xml:space="preserve">PD-1+化疗（全球）</w:t>
            </w:r>
          </w:p>
        </w:tc>
        <w:tc>
          <w:tcPr/>
          <w:p>
            <w:pPr>
              <w:pStyle w:val="Compact"/>
              <w:jc w:val="left"/>
            </w:pPr>
            <w:r>
              <w:t xml:space="preserve">KEYNOTE-407</w:t>
            </w:r>
          </w:p>
        </w:tc>
        <w:tc>
          <w:tcPr/>
          <w:p>
            <w:pPr>
              <w:pStyle w:val="Compact"/>
              <w:jc w:val="left"/>
            </w:pPr>
            <w:r>
              <w:t xml:space="preserve">0.71</w:t>
            </w:r>
          </w:p>
        </w:tc>
        <w:tc>
          <w:tcPr/>
          <w:p>
            <w:pPr>
              <w:pStyle w:val="Compact"/>
              <w:jc w:val="left"/>
            </w:pPr>
            <w:r>
              <w:t xml:space="preserve">明确</w:t>
            </w:r>
          </w:p>
        </w:tc>
        <w:tc>
          <w:tcPr/>
          <w:p>
            <w:pPr>
              <w:pStyle w:val="Compact"/>
              <w:jc w:val="left"/>
            </w:pPr>
            <w:r>
              <w:t xml:space="preserve">全球标准，5年OS率18.4%</w:t>
            </w:r>
          </w:p>
        </w:tc>
      </w:tr>
      <w:tr>
        <w:tc>
          <w:tcPr/>
          <w:p>
            <w:pPr>
              <w:pStyle w:val="Compact"/>
              <w:jc w:val="left"/>
            </w:pPr>
            <w:r>
              <w:t xml:space="preserve">PD-1+化疗（中国）</w:t>
            </w:r>
          </w:p>
        </w:tc>
        <w:tc>
          <w:tcPr/>
          <w:p>
            <w:pPr>
              <w:pStyle w:val="Compact"/>
              <w:jc w:val="left"/>
            </w:pPr>
            <w:r>
              <w:t xml:space="preserve">KEYNOTE-407中国</w:t>
            </w:r>
          </w:p>
        </w:tc>
        <w:tc>
          <w:tcPr/>
          <w:p>
            <w:pPr>
              <w:pStyle w:val="Compact"/>
              <w:jc w:val="left"/>
            </w:pPr>
            <w:r>
              <w:t xml:space="preserve">0.44</w:t>
            </w:r>
          </w:p>
        </w:tc>
        <w:tc>
          <w:tcPr/>
          <w:p>
            <w:pPr>
              <w:pStyle w:val="Compact"/>
              <w:jc w:val="left"/>
            </w:pPr>
            <w:r>
              <w:t xml:space="preserve">明确（样本量小）</w:t>
            </w:r>
          </w:p>
        </w:tc>
        <w:tc>
          <w:tcPr/>
          <w:p>
            <w:pPr>
              <w:pStyle w:val="Compact"/>
              <w:jc w:val="left"/>
            </w:pPr>
            <w:r>
              <w:t xml:space="preserve">HR优于全球，可能有人群效应</w:t>
            </w:r>
          </w:p>
        </w:tc>
      </w:tr>
      <w:tr>
        <w:tc>
          <w:tcPr/>
          <w:p>
            <w:pPr>
              <w:pStyle w:val="Compact"/>
              <w:jc w:val="left"/>
            </w:pPr>
            <w:r>
              <w:t xml:space="preserve">PD-1+化疗（中国）</w:t>
            </w:r>
          </w:p>
        </w:tc>
        <w:tc>
          <w:tcPr/>
          <w:p>
            <w:pPr>
              <w:pStyle w:val="Compact"/>
              <w:jc w:val="left"/>
            </w:pPr>
            <w:r>
              <w:t xml:space="preserve">RATIONALE-307</w:t>
            </w:r>
          </w:p>
        </w:tc>
        <w:tc>
          <w:tcPr/>
          <w:p>
            <w:pPr>
              <w:pStyle w:val="Compact"/>
              <w:jc w:val="left"/>
            </w:pPr>
            <w:r>
              <w:t xml:space="preserve">0.67</w:t>
            </w:r>
          </w:p>
        </w:tc>
        <w:tc>
          <w:tcPr/>
          <w:p>
            <w:pPr>
              <w:pStyle w:val="Compact"/>
              <w:jc w:val="left"/>
            </w:pPr>
            <w:r>
              <w:t xml:space="preserve">明确</w:t>
            </w:r>
          </w:p>
        </w:tc>
        <w:tc>
          <w:tcPr/>
          <w:p>
            <w:pPr>
              <w:pStyle w:val="Compact"/>
              <w:jc w:val="left"/>
            </w:pPr>
            <w:r>
              <w:t xml:space="preserve">中国标准，ORR高于全球</w:t>
            </w:r>
          </w:p>
        </w:tc>
      </w:tr>
      <w:tr>
        <w:tc>
          <w:tcPr/>
          <w:p>
            <w:pPr>
              <w:pStyle w:val="Compact"/>
              <w:jc w:val="left"/>
            </w:pPr>
            <w:r>
              <w:t xml:space="preserve">PD-1+CTLA-4+短程化疗</w:t>
            </w:r>
          </w:p>
        </w:tc>
        <w:tc>
          <w:tcPr/>
          <w:p>
            <w:pPr>
              <w:pStyle w:val="Compact"/>
              <w:jc w:val="left"/>
            </w:pPr>
            <w:r>
              <w:t xml:space="preserve">CheckMate 9LA</w:t>
            </w:r>
          </w:p>
        </w:tc>
        <w:tc>
          <w:tcPr/>
          <w:p>
            <w:pPr>
              <w:pStyle w:val="Compact"/>
              <w:jc w:val="left"/>
            </w:pPr>
            <w:r>
              <w:t xml:space="preserve">0.63</w:t>
            </w:r>
          </w:p>
        </w:tc>
        <w:tc>
          <w:tcPr/>
          <w:p>
            <w:pPr>
              <w:pStyle w:val="Compact"/>
              <w:jc w:val="left"/>
            </w:pPr>
            <w:r>
              <w:t xml:space="preserve">明确</w:t>
            </w:r>
          </w:p>
        </w:tc>
        <w:tc>
          <w:tcPr/>
          <w:p>
            <w:pPr>
              <w:pStyle w:val="Compact"/>
              <w:jc w:val="left"/>
            </w:pPr>
            <w:r>
              <w:t xml:space="preserve">鳞癌优势，但毒性高</w:t>
            </w:r>
          </w:p>
        </w:tc>
      </w:tr>
      <w:tr>
        <w:tc>
          <w:tcPr/>
          <w:p>
            <w:pPr>
              <w:pStyle w:val="Compact"/>
              <w:jc w:val="left"/>
            </w:pPr>
            <w:r>
              <w:t xml:space="preserve">PD-L1+CTLA-4+化疗</w:t>
            </w:r>
          </w:p>
        </w:tc>
        <w:tc>
          <w:tcPr/>
          <w:p>
            <w:pPr>
              <w:pStyle w:val="Compact"/>
              <w:jc w:val="left"/>
            </w:pPr>
            <w:r>
              <w:t xml:space="preserve">POSEIDON</w:t>
            </w:r>
          </w:p>
        </w:tc>
        <w:tc>
          <w:tcPr/>
          <w:p>
            <w:pPr>
              <w:pStyle w:val="Compact"/>
              <w:jc w:val="left"/>
            </w:pPr>
            <w:r>
              <w:t xml:space="preserve">0.85</w:t>
            </w:r>
          </w:p>
        </w:tc>
        <w:tc>
          <w:tcPr/>
          <w:p>
            <w:pPr>
              <w:pStyle w:val="Compact"/>
              <w:jc w:val="left"/>
            </w:pPr>
            <w:r>
              <w:t xml:space="preserve">不显著</w:t>
            </w:r>
          </w:p>
        </w:tc>
        <w:tc>
          <w:tcPr/>
          <w:p>
            <w:pPr>
              <w:pStyle w:val="Compact"/>
              <w:jc w:val="left"/>
            </w:pPr>
            <w:r>
              <w:t xml:space="preserve">鳞癌获益未达显著性</w:t>
            </w:r>
          </w:p>
        </w:tc>
      </w:tr>
      <w:tr>
        <w:tc>
          <w:tcPr/>
          <w:p>
            <w:pPr>
              <w:pStyle w:val="Compact"/>
              <w:jc w:val="left"/>
            </w:pPr>
            <w:r>
              <w:t xml:space="preserve">PD-1/VEGF双抗+化疗</w:t>
            </w:r>
          </w:p>
        </w:tc>
        <w:tc>
          <w:tcPr/>
          <w:p>
            <w:pPr>
              <w:pStyle w:val="Compact"/>
              <w:jc w:val="left"/>
            </w:pPr>
            <w:r>
              <w:t xml:space="preserve">HARMONi-6</w:t>
            </w:r>
          </w:p>
        </w:tc>
        <w:tc>
          <w:tcPr/>
          <w:p>
            <w:pPr>
              <w:pStyle w:val="Compact"/>
              <w:jc w:val="left"/>
            </w:pPr>
            <w:r>
              <w:t xml:space="preserve">0.66</w:t>
            </w:r>
          </w:p>
        </w:tc>
        <w:tc>
          <w:tcPr/>
          <w:p>
            <w:pPr>
              <w:pStyle w:val="Compact"/>
              <w:jc w:val="left"/>
            </w:pPr>
            <w:r>
              <w:t xml:space="preserve">明确</w:t>
            </w:r>
          </w:p>
        </w:tc>
        <w:tc>
          <w:tcPr/>
          <w:p>
            <w:pPr>
              <w:pStyle w:val="Compact"/>
              <w:jc w:val="left"/>
            </w:pPr>
            <w:r>
              <w:t xml:space="preserve">首个头对头PFS+OS双阳性</w:t>
            </w:r>
          </w:p>
        </w:tc>
      </w:tr>
    </w:tbl>
    <w:p>
      <w:pPr>
        <w:pStyle w:val="BodyText"/>
      </w:pPr>
      <w:r>
        <w:t xml:space="preserve">上表显示，在一线sq-NSCLC中，不同免疫策略的疗效存在梯度差异。PD-1+化疗的HR通常在0.57-0.71之间；双免疫方案中，PD-1+CTLA-4（CheckMate 9LA）在鳞癌中表现优异（HR 0.63），而PD-L1+CTLA-4（POSEIDON）则未达显著性（HR 0.85）。HARMONi-6中AK112+化疗对比替雷利珠单抗+化疗取得OS HR 0.66，处于PD-1+化疗的历史范围内，但作为首个头对头研究实现PFS和OS双阳性，具有里程碑意义</w:t>
      </w:r>
      <w:r>
        <w:rPr>
          <w:vertAlign w:val="superscript"/>
        </w:rPr>
        <w:t xml:space="preserve">1719</w:t>
      </w:r>
      <w:r>
        <w:t xml:space="preserve">。</w:t>
      </w:r>
    </w:p>
    <w:p>
      <w:r>
        <w:pict>
          <v:rect style="width:0;height:1.5pt" o:hralign="center" o:hrstd="t" o:hr="t"/>
        </w:pict>
      </w:r>
    </w:p>
    <w:p>
      <w:pPr>
        <w:pStyle w:val="FirstParagraph"/>
      </w:pPr>
      <w:r>
        <w:rPr>
          <w:bCs/>
          <w:b/>
        </w:rPr>
        <w:t xml:space="preserve">本章小结</w:t>
      </w:r>
      <w:r>
        <w:t xml:space="preserve">：KEYNOTE-407和KEYNOTE-189分别建立了Pembrolizumab+化疗在一线鳞状和非鳞NSCLC中的全球基准。鳞癌中PD-L1阴性人群获益不确定（HR~1.0），是AK112可能实现差异化突破的关键窗口。中国人群数据（OS HR 0.44）显著优于全球（HR 0.71），但需区分人群效应与药物效应。HARMONi-3作为全球多中心、头对头设计，其非鳞队列数据与KEYNOTE-189的一致性，以及中国vs西方亚组的HR差异，将成为判断AK112真实优效性的核心证据。CheckMate 9LA和POSEIDON的对比进一步表明，并非所有免疫策略在鳞癌中均有效，AK112的PD-1/VEGF双抗机制需要在与K药的直接对决中证明其增量价值。</w:t>
      </w:r>
    </w:p>
    <w:p>
      <w:r>
        <w:pict>
          <v:rect style="width:0;height:1.5pt" o:hralign="center" o:hrstd="t" o:hr="t"/>
        </w:pict>
      </w:r>
    </w:p>
    <w:bookmarkEnd w:id="97"/>
    <w:bookmarkEnd w:id="98"/>
    <w:bookmarkStart w:id="99" w:name="脚注-3"/>
    <w:p>
      <w:pPr>
        <w:pStyle w:val="Heading2"/>
      </w:pPr>
      <w:r>
        <w:t xml:space="preserve">脚注</w:t>
      </w:r>
    </w:p>
    <w:p>
      <w:r>
        <w:pict>
          <v:rect style="width:0;height:1.5pt" o:hralign="center" o:hrstd="t" o:hr="t"/>
        </w:pict>
      </w:r>
    </w:p>
    <w:bookmarkEnd w:id="99"/>
    <w:bookmarkEnd w:id="100"/>
    <w:bookmarkStart w:id="121" w:name="第五章-跨试验疗效外推与harmoni-3预测模型"/>
    <w:p>
      <w:pPr>
        <w:pStyle w:val="Heading1"/>
      </w:pPr>
      <w:r>
        <w:t xml:space="preserve">第五章 跨试验疗效外推与HARMONi-3预测模型</w:t>
      </w:r>
    </w:p>
    <w:bookmarkStart w:id="103" w:name="pfs预测模型"/>
    <w:p>
      <w:pPr>
        <w:pStyle w:val="Heading2"/>
      </w:pPr>
      <w:r>
        <w:t xml:space="preserve">5.1 PFS预测模型</w:t>
      </w:r>
    </w:p>
    <w:p>
      <w:pPr>
        <w:pStyle w:val="FirstParagraph"/>
      </w:pPr>
      <w:r>
        <w:t xml:space="preserve">HARMONi-3的疗效预测无法依赖直接历史数据，而必须构建跨试验桥接模型，将HARMONi-6的强阳性结果外推至全球双队列场景。本节建立分层预测框架，从鳞癌队列的”单锚定桥接”扩展至非鳞癌队列的”多锚定综合推断”。</w:t>
      </w:r>
    </w:p>
    <w:bookmarkStart w:id="101" w:name="鳞癌队列基于harmoni-6的跨试验桥接"/>
    <w:p>
      <w:pPr>
        <w:pStyle w:val="Heading3"/>
      </w:pPr>
      <w:r>
        <w:t xml:space="preserve">5.1.1 鳞癌队列：基于HARMONi-6的跨试验桥接</w:t>
      </w:r>
    </w:p>
    <w:p>
      <w:pPr>
        <w:pStyle w:val="FirstParagraph"/>
      </w:pPr>
      <w:r>
        <w:rPr>
          <w:bCs/>
          <w:b/>
        </w:rPr>
        <w:t xml:space="preserve">第一层锚定：HARMONi-6的直接疗效证据。</w:t>
      </w:r>
      <w:r>
        <w:t xml:space="preserve"> </w:t>
      </w:r>
      <w:r>
        <w:t xml:space="preserve">HARMONi-6（AK112-306）在中国一线sq-NSCLC中取得PFS HR=0.60（95% CI: 0.47–0.77, p&lt;0.0001），中位PFS 11.14 vs 6.90个月，绝对获益4.24个月</w:t>
      </w:r>
      <w:r>
        <w:rPr>
          <w:vertAlign w:val="superscript"/>
        </w:rPr>
        <w:t xml:space="preserve">1</w:t>
      </w:r>
      <w:r>
        <w:t xml:space="preserve">。该试验对照组为替雷利珠单抗+化疗，向HARMONi-3外推时必须解决对照组差异——HARMONi-3对照组为K药+化疗。</w:t>
      </w:r>
    </w:p>
    <w:p>
      <w:pPr>
        <w:pStyle w:val="BodyText"/>
      </w:pPr>
      <w:r>
        <w:rPr>
          <w:bCs/>
          <w:b/>
        </w:rPr>
        <w:t xml:space="preserve">第二层桥接：替雷利珠单抗 vs K药的间接比较。</w:t>
      </w:r>
      <w:r>
        <w:t xml:space="preserve"> </w:t>
      </w:r>
      <w:r>
        <w:t xml:space="preserve">基于Guo等2023年网络荟萃分析（NMA），替雷利珠+化疗与K药+化疗在中国一线sq-NSCLC中PFS疗效无显著差异（HR=1.04, 95% CI: 0.82–1.31）</w:t>
      </w:r>
      <w:r>
        <w:rPr>
          <w:vertAlign w:val="superscript"/>
        </w:rPr>
        <w:t xml:space="preserve">2</w:t>
      </w:r>
      <w:r>
        <w:t xml:space="preserve">。该点估计提示近乎等效，但置信区间上限1.31意味着替雷可能略弱或略强于K药。这一不确定性在情景分析中被显式量化。</w:t>
      </w:r>
    </w:p>
    <w:p>
      <w:pPr>
        <w:pStyle w:val="BodyText"/>
      </w:pPr>
      <w:r>
        <w:rPr>
          <w:bCs/>
          <w:b/>
        </w:rPr>
        <w:t xml:space="preserve">第三层桥接：中国人群至全球人群的疗效外推。</w:t>
      </w:r>
      <w:r>
        <w:t xml:space="preserve"> </w:t>
      </w:r>
      <w:r>
        <w:t xml:space="preserve">HARMONi全球试验（EGFR突变非鳞癌）中，北美亚组OS HR=0.70优于总体0.78</w:t>
      </w:r>
      <w:r>
        <w:rPr>
          <w:vertAlign w:val="superscript"/>
        </w:rPr>
        <w:t xml:space="preserve">3</w:t>
      </w:r>
      <w:r>
        <w:t xml:space="preserve">，提示西方人群获益可能不低于亚洲人群。但基于免疫治疗历史数据（KEYNOTE-407中国扩展研究OS HR=0.44 vs 全球0.71）</w:t>
      </w:r>
      <w:r>
        <w:rPr>
          <w:vertAlign w:val="superscript"/>
        </w:rPr>
        <w:t xml:space="preserve">4</w:t>
      </w:r>
      <w:r>
        <w:t xml:space="preserve">及基线差异，保守预测引入5%–10%外推衰减因子。</w:t>
      </w:r>
    </w:p>
    <w:p>
      <w:pPr>
        <w:pStyle w:val="BodyText"/>
      </w:pPr>
      <w:r>
        <w:rPr>
          <w:bCs/>
          <w:b/>
        </w:rPr>
        <w:t xml:space="preserve">桥接公式</w:t>
      </w:r>
      <w:r>
        <w:t xml:space="preserve">（基准情景）：</w:t>
      </w:r>
    </w:p>
    <w:p>
      <w:pPr>
        <w:pStyle w:val="BodyText"/>
      </w:pPr>
      <w:r>
        <w:t xml:space="preserve">$$
HR_{HARMONi-3}^{sq} = HR_{AK112 vs 替雷}^{HARMONi-6} \times HR_{替雷 vs K药}^{NMA} \times 中国\to全球因子 = 0.60 \times 1.04 \times 1.05 = 0.65 \approx 0.66
$$</w:t>
      </w:r>
    </w:p>
    <w:p>
      <w:pPr>
        <w:pStyle w:val="FirstParagraph"/>
      </w:pPr>
      <w:r>
        <w:rPr>
          <w:bCs/>
          <w:b/>
        </w:rPr>
        <w:t xml:space="preserve">表5-1 鳞癌队列PFS预测情景矩阵</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情景</w:t>
            </w:r>
          </w:p>
        </w:tc>
        <w:tc>
          <w:tcPr/>
          <w:p>
            <w:pPr>
              <w:pStyle w:val="Compact"/>
              <w:jc w:val="left"/>
            </w:pPr>
            <w:r>
              <w:t xml:space="preserve">替雷→K药桥接假设</w:t>
            </w:r>
          </w:p>
        </w:tc>
        <w:tc>
          <w:tcPr/>
          <w:p>
            <w:pPr>
              <w:pStyle w:val="Compact"/>
              <w:jc w:val="left"/>
            </w:pPr>
            <w:r>
              <w:t xml:space="preserve">中国→全球因子</w:t>
            </w:r>
          </w:p>
        </w:tc>
        <w:tc>
          <w:tcPr/>
          <w:p>
            <w:pPr>
              <w:pStyle w:val="Compact"/>
              <w:jc w:val="left"/>
            </w:pPr>
            <w:r>
              <w:t xml:space="preserve">预测PFS HR</w:t>
            </w:r>
          </w:p>
        </w:tc>
        <w:tc>
          <w:tcPr/>
          <w:p>
            <w:pPr>
              <w:pStyle w:val="Compact"/>
              <w:jc w:val="left"/>
            </w:pPr>
            <w:r>
              <w:t xml:space="preserve">95% CI</w:t>
            </w:r>
          </w:p>
        </w:tc>
      </w:tr>
      <w:tr>
        <w:tc>
          <w:tcPr/>
          <w:p>
            <w:pPr>
              <w:pStyle w:val="Compact"/>
              <w:jc w:val="left"/>
            </w:pPr>
            <w:r>
              <w:t xml:space="preserve">乐观情景</w:t>
            </w:r>
          </w:p>
        </w:tc>
        <w:tc>
          <w:tcPr/>
          <w:p>
            <w:pPr>
              <w:pStyle w:val="Compact"/>
              <w:jc w:val="left"/>
            </w:pPr>
            <w:r>
              <w:t xml:space="preserve">1.00（替雷=K药，无差异）</w:t>
            </w:r>
          </w:p>
        </w:tc>
        <w:tc>
          <w:tcPr/>
          <w:p>
            <w:pPr>
              <w:pStyle w:val="Compact"/>
              <w:jc w:val="left"/>
            </w:pPr>
            <w:r>
              <w:t xml:space="preserve">1.00（无衰减）</w:t>
            </w:r>
          </w:p>
        </w:tc>
        <w:tc>
          <w:tcPr/>
          <w:p>
            <w:pPr>
              <w:pStyle w:val="Compact"/>
              <w:jc w:val="left"/>
            </w:pPr>
            <w:r>
              <w:t xml:space="preserve">0.62</w:t>
            </w:r>
          </w:p>
        </w:tc>
        <w:tc>
          <w:tcPr/>
          <w:p>
            <w:pPr>
              <w:pStyle w:val="Compact"/>
              <w:jc w:val="left"/>
            </w:pPr>
            <w:r>
              <w:t xml:space="preserve">0.50–0.72</w:t>
            </w:r>
          </w:p>
        </w:tc>
      </w:tr>
      <w:tr>
        <w:tc>
          <w:tcPr/>
          <w:p>
            <w:pPr>
              <w:pStyle w:val="Compact"/>
              <w:jc w:val="left"/>
            </w:pPr>
            <w:r>
              <w:rPr>
                <w:bCs/>
                <w:b/>
              </w:rPr>
              <w:t xml:space="preserve">基准情景</w:t>
            </w:r>
          </w:p>
        </w:tc>
        <w:tc>
          <w:tcPr/>
          <w:p>
            <w:pPr>
              <w:pStyle w:val="Compact"/>
              <w:jc w:val="left"/>
            </w:pPr>
            <w:r>
              <w:rPr>
                <w:bCs/>
                <w:b/>
              </w:rPr>
              <w:t xml:space="preserve">1.04（NMA点估计）</w:t>
            </w:r>
          </w:p>
        </w:tc>
        <w:tc>
          <w:tcPr/>
          <w:p>
            <w:pPr>
              <w:pStyle w:val="Compact"/>
              <w:jc w:val="left"/>
            </w:pPr>
            <w:r>
              <w:rPr>
                <w:bCs/>
                <w:b/>
              </w:rPr>
              <w:t xml:space="preserve">1.05（5%外推衰减）</w:t>
            </w:r>
          </w:p>
        </w:tc>
        <w:tc>
          <w:tcPr/>
          <w:p>
            <w:pPr>
              <w:pStyle w:val="Compact"/>
              <w:jc w:val="left"/>
            </w:pPr>
            <w:r>
              <w:rPr>
                <w:bCs/>
                <w:b/>
              </w:rPr>
              <w:t xml:space="preserve">0.66</w:t>
            </w:r>
          </w:p>
        </w:tc>
        <w:tc>
          <w:tcPr/>
          <w:p>
            <w:pPr>
              <w:pStyle w:val="Compact"/>
              <w:jc w:val="left"/>
            </w:pPr>
            <w:r>
              <w:rPr>
                <w:bCs/>
                <w:b/>
              </w:rPr>
              <w:t xml:space="preserve">0.46–0.93</w:t>
            </w:r>
          </w:p>
        </w:tc>
      </w:tr>
      <w:tr>
        <w:tc>
          <w:tcPr/>
          <w:p>
            <w:pPr>
              <w:pStyle w:val="Compact"/>
              <w:jc w:val="left"/>
            </w:pPr>
            <w:r>
              <w:t xml:space="preserve">保守情景</w:t>
            </w:r>
          </w:p>
        </w:tc>
        <w:tc>
          <w:tcPr/>
          <w:p>
            <w:pPr>
              <w:pStyle w:val="Compact"/>
              <w:jc w:val="left"/>
            </w:pPr>
            <w:r>
              <w:t xml:space="preserve">1.08（NMA上限）</w:t>
            </w:r>
          </w:p>
        </w:tc>
        <w:tc>
          <w:tcPr/>
          <w:p>
            <w:pPr>
              <w:pStyle w:val="Compact"/>
              <w:jc w:val="left"/>
            </w:pPr>
            <w:r>
              <w:t xml:space="preserve">1.10（10%衰减）</w:t>
            </w:r>
          </w:p>
        </w:tc>
        <w:tc>
          <w:tcPr/>
          <w:p>
            <w:pPr>
              <w:pStyle w:val="Compact"/>
              <w:jc w:val="left"/>
            </w:pPr>
            <w:r>
              <w:t xml:space="preserve">0.69</w:t>
            </w:r>
          </w:p>
        </w:tc>
        <w:tc>
          <w:tcPr/>
          <w:p>
            <w:pPr>
              <w:pStyle w:val="Compact"/>
              <w:jc w:val="left"/>
            </w:pPr>
            <w:r>
              <w:t xml:space="preserve">0.58–0.85</w:t>
            </w:r>
          </w:p>
        </w:tc>
      </w:tr>
      <w:tr>
        <w:tc>
          <w:tcPr/>
          <w:p>
            <w:pPr>
              <w:pStyle w:val="Compact"/>
              <w:jc w:val="left"/>
            </w:pPr>
            <w:r>
              <w:t xml:space="preserve">悲观情景</w:t>
            </w:r>
          </w:p>
        </w:tc>
        <w:tc>
          <w:tcPr/>
          <w:p>
            <w:pPr>
              <w:pStyle w:val="Compact"/>
              <w:jc w:val="left"/>
            </w:pPr>
            <w:r>
              <w:t xml:space="preserve">1.15（替雷显著劣于K药）</w:t>
            </w:r>
          </w:p>
        </w:tc>
        <w:tc>
          <w:tcPr/>
          <w:p>
            <w:pPr>
              <w:pStyle w:val="Compact"/>
              <w:jc w:val="left"/>
            </w:pPr>
            <w:r>
              <w:t xml:space="preserve">1.15（15%衰减）</w:t>
            </w:r>
          </w:p>
        </w:tc>
        <w:tc>
          <w:tcPr/>
          <w:p>
            <w:pPr>
              <w:pStyle w:val="Compact"/>
              <w:jc w:val="left"/>
            </w:pPr>
            <w:r>
              <w:t xml:space="preserve">0.72</w:t>
            </w:r>
          </w:p>
        </w:tc>
        <w:tc>
          <w:tcPr/>
          <w:p>
            <w:pPr>
              <w:pStyle w:val="Compact"/>
              <w:jc w:val="left"/>
            </w:pPr>
            <w:r>
              <w:t xml:space="preserve">0.65–0.95</w:t>
            </w:r>
          </w:p>
        </w:tc>
      </w:tr>
    </w:tbl>
    <w:p>
      <w:pPr>
        <w:pStyle w:val="BodyText"/>
      </w:pPr>
      <w:r>
        <w:t xml:space="preserve">基准情景中HR=0.66的95% CI（0.46–0.93）较宽，反映跨试验外推的不确定性。即便悲观情景（HR=0.72），上限仍接近1.0，统计学显著性仍有可能，但临床优效性确定性下降。</w:t>
      </w:r>
    </w:p>
    <w:bookmarkEnd w:id="101"/>
    <w:bookmarkStart w:id="102" w:name="非鳞癌队列多锚定综合预测"/>
    <w:p>
      <w:pPr>
        <w:pStyle w:val="Heading3"/>
      </w:pPr>
      <w:r>
        <w:t xml:space="preserve">5.1.2 非鳞癌队列：多锚定综合预测</w:t>
      </w:r>
    </w:p>
    <w:p>
      <w:pPr>
        <w:pStyle w:val="FirstParagraph"/>
      </w:pPr>
      <w:r>
        <w:t xml:space="preserve">非鳞癌队列缺乏直接头对头数据（如HARMONi-6之于鳞癌），因此采用”多锚定加权综合”方法：</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锚定试验</w:t>
            </w:r>
          </w:p>
        </w:tc>
        <w:tc>
          <w:tcPr/>
          <w:p>
            <w:pPr>
              <w:pStyle w:val="Compact"/>
              <w:jc w:val="left"/>
            </w:pPr>
            <w:r>
              <w:t xml:space="preserve">原始PFS HR</w:t>
            </w:r>
          </w:p>
        </w:tc>
        <w:tc>
          <w:tcPr/>
          <w:p>
            <w:pPr>
              <w:pStyle w:val="Compact"/>
              <w:jc w:val="left"/>
            </w:pPr>
            <w:r>
              <w:t xml:space="preserve">适用性调整</w:t>
            </w:r>
          </w:p>
        </w:tc>
        <w:tc>
          <w:tcPr/>
          <w:p>
            <w:pPr>
              <w:pStyle w:val="Compact"/>
              <w:jc w:val="left"/>
            </w:pPr>
            <w:r>
              <w:t xml:space="preserve">调整后估计</w:t>
            </w:r>
          </w:p>
        </w:tc>
        <w:tc>
          <w:tcPr/>
          <w:p>
            <w:pPr>
              <w:pStyle w:val="Compact"/>
              <w:jc w:val="left"/>
            </w:pPr>
            <w:r>
              <w:t xml:space="preserve">权重依据</w:t>
            </w:r>
          </w:p>
        </w:tc>
      </w:tr>
      <w:tr>
        <w:tc>
          <w:tcPr/>
          <w:p>
            <w:pPr>
              <w:pStyle w:val="Compact"/>
              <w:jc w:val="left"/>
            </w:pPr>
            <w:r>
              <w:t xml:space="preserve">HARMONi-2（PD-L1+单药）</w:t>
            </w:r>
          </w:p>
        </w:tc>
        <w:tc>
          <w:tcPr/>
          <w:p>
            <w:pPr>
              <w:pStyle w:val="Compact"/>
              <w:jc w:val="left"/>
            </w:pPr>
            <w:r>
              <w:t xml:space="preserve">0.51</w:t>
            </w:r>
          </w:p>
        </w:tc>
        <w:tc>
          <w:tcPr/>
          <w:p>
            <w:pPr>
              <w:pStyle w:val="Compact"/>
              <w:jc w:val="left"/>
            </w:pPr>
            <w:r>
              <w:t xml:space="preserve">+化疗协同效应，−全人群稀释</w:t>
            </w:r>
          </w:p>
        </w:tc>
        <w:tc>
          <w:tcPr/>
          <w:p>
            <w:pPr>
              <w:pStyle w:val="Compact"/>
              <w:jc w:val="left"/>
            </w:pPr>
            <w:r>
              <w:t xml:space="preserve">0.55</w:t>
            </w:r>
          </w:p>
        </w:tc>
        <w:tc>
          <w:tcPr/>
          <w:p>
            <w:pPr>
              <w:pStyle w:val="Compact"/>
              <w:jc w:val="left"/>
            </w:pPr>
            <w:r>
              <w:t xml:space="preserve">鳞癌亚组HR=0.50，与HARMONi-6方向一致</w:t>
            </w:r>
            <w:r>
              <w:rPr>
                <w:vertAlign w:val="superscript"/>
              </w:rPr>
              <w:t xml:space="preserve">5</w:t>
            </w:r>
          </w:p>
        </w:tc>
      </w:tr>
      <w:tr>
        <w:tc>
          <w:tcPr/>
          <w:p>
            <w:pPr>
              <w:pStyle w:val="Compact"/>
              <w:jc w:val="left"/>
            </w:pPr>
            <w:r>
              <w:t xml:space="preserve">HARMONi-A（EGFRm+化疗）</w:t>
            </w:r>
          </w:p>
        </w:tc>
        <w:tc>
          <w:tcPr/>
          <w:p>
            <w:pPr>
              <w:pStyle w:val="Compact"/>
              <w:jc w:val="left"/>
            </w:pPr>
            <w:r>
              <w:t xml:space="preserve">0.46</w:t>
            </w:r>
          </w:p>
        </w:tc>
        <w:tc>
          <w:tcPr/>
          <w:p>
            <w:pPr>
              <w:pStyle w:val="Compact"/>
              <w:jc w:val="left"/>
            </w:pPr>
            <w:r>
              <w:t xml:space="preserve">+野生型优势（非EGFRm人群IO敏感性更高），+对照组差异调整</w:t>
            </w:r>
          </w:p>
        </w:tc>
        <w:tc>
          <w:tcPr/>
          <w:p>
            <w:pPr>
              <w:pStyle w:val="Compact"/>
              <w:jc w:val="left"/>
            </w:pPr>
            <w:r>
              <w:t xml:space="preserve">0.52</w:t>
            </w:r>
          </w:p>
        </w:tc>
        <w:tc>
          <w:tcPr/>
          <w:p>
            <w:pPr>
              <w:pStyle w:val="Compact"/>
              <w:jc w:val="left"/>
            </w:pPr>
            <w:r>
              <w:t xml:space="preserve">后线设置，但联合化疗模式最接近HARMONi-3</w:t>
            </w:r>
            <w:r>
              <w:rPr>
                <w:vertAlign w:val="superscript"/>
              </w:rPr>
              <w:t xml:space="preserve">6</w:t>
            </w:r>
          </w:p>
        </w:tc>
      </w:tr>
      <w:tr>
        <w:tc>
          <w:tcPr/>
          <w:p>
            <w:pPr>
              <w:pStyle w:val="Compact"/>
              <w:jc w:val="left"/>
            </w:pPr>
            <w:r>
              <w:t xml:space="preserve">HARMONi（全球EGFRm+化疗）</w:t>
            </w:r>
          </w:p>
        </w:tc>
        <w:tc>
          <w:tcPr/>
          <w:p>
            <w:pPr>
              <w:pStyle w:val="Compact"/>
              <w:jc w:val="left"/>
            </w:pPr>
            <w:r>
              <w:t xml:space="preserve">0.52</w:t>
            </w:r>
          </w:p>
        </w:tc>
        <w:tc>
          <w:tcPr/>
          <w:p>
            <w:pPr>
              <w:pStyle w:val="Compact"/>
              <w:jc w:val="left"/>
            </w:pPr>
            <w:r>
              <w:t xml:space="preserve">+野生型优势</w:t>
            </w:r>
          </w:p>
        </w:tc>
        <w:tc>
          <w:tcPr/>
          <w:p>
            <w:pPr>
              <w:pStyle w:val="Compact"/>
              <w:jc w:val="left"/>
            </w:pPr>
            <w:r>
              <w:t xml:space="preserve">0.50</w:t>
            </w:r>
          </w:p>
        </w:tc>
        <w:tc>
          <w:tcPr/>
          <w:p>
            <w:pPr>
              <w:pStyle w:val="Compact"/>
              <w:jc w:val="left"/>
            </w:pPr>
            <w:r>
              <w:t xml:space="preserve">全球多中心数据，人种外推性最佳</w:t>
            </w:r>
            <w:r>
              <w:rPr>
                <w:vertAlign w:val="superscript"/>
              </w:rPr>
              <w:t xml:space="preserve">3</w:t>
            </w:r>
          </w:p>
        </w:tc>
      </w:tr>
      <w:tr>
        <w:tc>
          <w:tcPr/>
          <w:p>
            <w:pPr>
              <w:pStyle w:val="Compact"/>
              <w:jc w:val="left"/>
            </w:pPr>
            <w:r>
              <w:t xml:space="preserve">KEYNOTE-189（PFS基准）</w:t>
            </w:r>
          </w:p>
        </w:tc>
        <w:tc>
          <w:tcPr/>
          <w:p>
            <w:pPr>
              <w:pStyle w:val="Compact"/>
              <w:jc w:val="left"/>
            </w:pPr>
            <w:r>
              <w:t xml:space="preserve">0.52</w:t>
            </w:r>
          </w:p>
        </w:tc>
        <w:tc>
          <w:tcPr/>
          <w:p>
            <w:pPr>
              <w:pStyle w:val="Compact"/>
              <w:jc w:val="left"/>
            </w:pPr>
            <w:r>
              <w:t xml:space="preserve">AK112应优于K药+化疗</w:t>
            </w:r>
          </w:p>
        </w:tc>
        <w:tc>
          <w:tcPr/>
          <w:p>
            <w:pPr>
              <w:pStyle w:val="Compact"/>
              <w:jc w:val="left"/>
            </w:pPr>
            <w:r>
              <w:t xml:space="preserve">0.55</w:t>
            </w:r>
          </w:p>
        </w:tc>
        <w:tc>
          <w:tcPr/>
          <w:p>
            <w:pPr>
              <w:pStyle w:val="Compact"/>
              <w:jc w:val="left"/>
            </w:pPr>
            <w:r>
              <w:t xml:space="preserve">非鳞癌标准对照，为疗效下限锚定</w:t>
            </w:r>
            <w:r>
              <w:rPr>
                <w:vertAlign w:val="superscript"/>
              </w:rPr>
              <w:t xml:space="preserve">7</w:t>
            </w:r>
          </w:p>
        </w:tc>
      </w:tr>
    </w:tbl>
    <w:p>
      <w:pPr>
        <w:pStyle w:val="BodyText"/>
      </w:pPr>
      <w:r>
        <w:rPr>
          <w:bCs/>
          <w:b/>
        </w:rPr>
        <w:t xml:space="preserve">综合预测：非鳞癌PFS HR = 0.55（区间：0.50–0.65）</w:t>
      </w:r>
      <w:r>
        <w:t xml:space="preserve">。非鳞癌预测的不确定性高于鳞癌，主要源于缺乏直接头对头数据以及HARMONi-2（单药设计）与HARMONi-3（联合化疗）之间疗效转化的不确定性。若化疗协同效应超出预期，HR可能进一步降至0.50；若全人群稀释效应（尤其PD-L1阴性亚组）超过预期，HR可能接近0.65。</w:t>
      </w:r>
    </w:p>
    <w:bookmarkEnd w:id="102"/>
    <w:bookmarkEnd w:id="103"/>
    <w:bookmarkStart w:id="107" w:name="os预测与pfs-to-os转化分析"/>
    <w:p>
      <w:pPr>
        <w:pStyle w:val="Heading2"/>
      </w:pPr>
      <w:r>
        <w:t xml:space="preserve">5.2 OS预测与PFS-to-OS转化分析</w:t>
      </w:r>
    </w:p>
    <w:bookmarkStart w:id="104" w:name="观察到的pfs-to-os转化效率"/>
    <w:p>
      <w:pPr>
        <w:pStyle w:val="Heading3"/>
      </w:pPr>
      <w:r>
        <w:t xml:space="preserve">5.2.1 观察到的PFS-to-OS转化效率</w:t>
      </w:r>
    </w:p>
    <w:p>
      <w:pPr>
        <w:pStyle w:val="FirstParagraph"/>
      </w:pPr>
      <w:r>
        <w:t xml:space="preserve">在免疫肿瘤学中，PFS获益向OS的转化受对照组交叉、后续治疗、数据成熟度等多重因素影响。对已完成的AK112试验进行log-ratio分析：</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试验</w:t>
            </w:r>
          </w:p>
        </w:tc>
        <w:tc>
          <w:tcPr/>
          <w:p>
            <w:pPr>
              <w:pStyle w:val="Compact"/>
              <w:jc w:val="left"/>
            </w:pPr>
            <w:r>
              <w:t xml:space="preserve">设置</w:t>
            </w:r>
          </w:p>
        </w:tc>
        <w:tc>
          <w:tcPr/>
          <w:p>
            <w:pPr>
              <w:pStyle w:val="Compact"/>
              <w:jc w:val="left"/>
            </w:pPr>
            <w:r>
              <w:t xml:space="preserve">PFS HR</w:t>
            </w:r>
          </w:p>
        </w:tc>
        <w:tc>
          <w:tcPr/>
          <w:p>
            <w:pPr>
              <w:pStyle w:val="Compact"/>
              <w:jc w:val="left"/>
            </w:pPr>
            <w:r>
              <w:t xml:space="preserve">OS HR</w:t>
            </w:r>
          </w:p>
        </w:tc>
        <w:tc>
          <w:tcPr/>
          <w:p>
            <w:pPr>
              <w:pStyle w:val="Compact"/>
              <w:jc w:val="left"/>
            </w:pPr>
            <w:r>
              <w:t xml:space="preserve">log(OS)/log(PFS)</w:t>
            </w:r>
          </w:p>
        </w:tc>
        <w:tc>
          <w:tcPr/>
          <w:p>
            <w:pPr>
              <w:pStyle w:val="Compact"/>
              <w:jc w:val="left"/>
            </w:pPr>
            <w:r>
              <w:t xml:space="preserve">转化效率解读</w:t>
            </w:r>
          </w:p>
        </w:tc>
      </w:tr>
      <w:tr>
        <w:tc>
          <w:tcPr/>
          <w:p>
            <w:pPr>
              <w:pStyle w:val="Compact"/>
              <w:jc w:val="left"/>
            </w:pPr>
            <w:r>
              <w:t xml:space="preserve">HARMONi-6</w:t>
            </w:r>
          </w:p>
        </w:tc>
        <w:tc>
          <w:tcPr/>
          <w:p>
            <w:pPr>
              <w:pStyle w:val="Compact"/>
              <w:jc w:val="left"/>
            </w:pPr>
            <w:r>
              <w:t xml:space="preserve">中国鳞癌，1L，双IO+chemo</w:t>
            </w:r>
          </w:p>
        </w:tc>
        <w:tc>
          <w:tcPr/>
          <w:p>
            <w:pPr>
              <w:pStyle w:val="Compact"/>
              <w:jc w:val="left"/>
            </w:pPr>
            <w:r>
              <w:t xml:space="preserve">0.60</w:t>
            </w:r>
          </w:p>
        </w:tc>
        <w:tc>
          <w:tcPr/>
          <w:p>
            <w:pPr>
              <w:pStyle w:val="Compact"/>
              <w:jc w:val="left"/>
            </w:pPr>
            <w:r>
              <w:t xml:space="preserve">0.66</w:t>
            </w:r>
          </w:p>
        </w:tc>
        <w:tc>
          <w:tcPr/>
          <w:p>
            <w:pPr>
              <w:pStyle w:val="Compact"/>
              <w:jc w:val="left"/>
            </w:pPr>
            <w:r>
              <w:t xml:space="preserve">0.82</w:t>
            </w:r>
          </w:p>
        </w:tc>
        <w:tc>
          <w:tcPr/>
          <w:p>
            <w:pPr>
              <w:pStyle w:val="Compact"/>
              <w:jc w:val="left"/>
            </w:pPr>
            <w:r>
              <w:t xml:space="preserve">极高：VEGF加成在PD-1基础上驱动进展后生存获益</w:t>
            </w:r>
            <w:r>
              <w:rPr>
                <w:vertAlign w:val="superscript"/>
              </w:rPr>
              <w:t xml:space="preserve">1</w:t>
            </w:r>
          </w:p>
        </w:tc>
      </w:tr>
      <w:tr>
        <w:tc>
          <w:tcPr/>
          <w:p>
            <w:pPr>
              <w:pStyle w:val="Compact"/>
              <w:jc w:val="left"/>
            </w:pPr>
            <w:r>
              <w:t xml:space="preserve">HARMONi-A</w:t>
            </w:r>
          </w:p>
        </w:tc>
        <w:tc>
          <w:tcPr/>
          <w:p>
            <w:pPr>
              <w:pStyle w:val="Compact"/>
              <w:jc w:val="left"/>
            </w:pPr>
            <w:r>
              <w:t xml:space="preserve">中国EGFRm非鳞癌，2L，IO+chemo</w:t>
            </w:r>
          </w:p>
        </w:tc>
        <w:tc>
          <w:tcPr/>
          <w:p>
            <w:pPr>
              <w:pStyle w:val="Compact"/>
              <w:jc w:val="left"/>
            </w:pPr>
            <w:r>
              <w:t xml:space="preserve">0.46</w:t>
            </w:r>
          </w:p>
        </w:tc>
        <w:tc>
          <w:tcPr/>
          <w:p>
            <w:pPr>
              <w:pStyle w:val="Compact"/>
              <w:jc w:val="left"/>
            </w:pPr>
            <w:r>
              <w:t xml:space="preserve">0.74</w:t>
            </w:r>
          </w:p>
        </w:tc>
        <w:tc>
          <w:tcPr/>
          <w:p>
            <w:pPr>
              <w:pStyle w:val="Compact"/>
              <w:jc w:val="left"/>
            </w:pPr>
            <w:r>
              <w:t xml:space="preserve">0.39</w:t>
            </w:r>
          </w:p>
        </w:tc>
        <w:tc>
          <w:tcPr/>
          <w:p>
            <w:pPr>
              <w:pStyle w:val="Compact"/>
              <w:jc w:val="left"/>
            </w:pPr>
            <w:r>
              <w:t xml:space="preserve">中等：EGFRm后线IO获益有限，但化疗联合提供基础生存获益</w:t>
            </w:r>
            <w:r>
              <w:rPr>
                <w:vertAlign w:val="superscript"/>
              </w:rPr>
              <w:t xml:space="preserve">6</w:t>
            </w:r>
          </w:p>
        </w:tc>
      </w:tr>
      <w:tr>
        <w:tc>
          <w:tcPr/>
          <w:p>
            <w:pPr>
              <w:pStyle w:val="Compact"/>
              <w:jc w:val="left"/>
            </w:pPr>
            <w:r>
              <w:t xml:space="preserve">HARMONi</w:t>
            </w:r>
          </w:p>
        </w:tc>
        <w:tc>
          <w:tcPr/>
          <w:p>
            <w:pPr>
              <w:pStyle w:val="Compact"/>
              <w:jc w:val="left"/>
            </w:pPr>
            <w:r>
              <w:t xml:space="preserve">全球EGFRm非鳞癌，2L，IO+chemo</w:t>
            </w:r>
          </w:p>
        </w:tc>
        <w:tc>
          <w:tcPr/>
          <w:p>
            <w:pPr>
              <w:pStyle w:val="Compact"/>
              <w:jc w:val="left"/>
            </w:pPr>
            <w:r>
              <w:t xml:space="preserve">0.52</w:t>
            </w:r>
          </w:p>
        </w:tc>
        <w:tc>
          <w:tcPr/>
          <w:p>
            <w:pPr>
              <w:pStyle w:val="Compact"/>
              <w:jc w:val="left"/>
            </w:pPr>
            <w:r>
              <w:t xml:space="preserve">0.78</w:t>
            </w:r>
          </w:p>
        </w:tc>
        <w:tc>
          <w:tcPr/>
          <w:p>
            <w:pPr>
              <w:pStyle w:val="Compact"/>
              <w:jc w:val="left"/>
            </w:pPr>
            <w:r>
              <w:t xml:space="preserve">0.38</w:t>
            </w:r>
          </w:p>
        </w:tc>
        <w:tc>
          <w:tcPr/>
          <w:p>
            <w:pPr>
              <w:pStyle w:val="Compact"/>
              <w:jc w:val="left"/>
            </w:pPr>
            <w:r>
              <w:t xml:space="preserve">中等：全球人群外推稀释了HR效应</w:t>
            </w:r>
            <w:r>
              <w:rPr>
                <w:vertAlign w:val="superscript"/>
              </w:rPr>
              <w:t xml:space="preserve">3</w:t>
            </w:r>
          </w:p>
        </w:tc>
      </w:tr>
      <w:tr>
        <w:tc>
          <w:tcPr/>
          <w:p>
            <w:pPr>
              <w:pStyle w:val="Compact"/>
              <w:jc w:val="left"/>
            </w:pPr>
            <w:r>
              <w:t xml:space="preserve">HARMONi-2</w:t>
            </w:r>
          </w:p>
        </w:tc>
        <w:tc>
          <w:tcPr/>
          <w:p>
            <w:pPr>
              <w:pStyle w:val="Compact"/>
              <w:jc w:val="left"/>
            </w:pPr>
            <w:r>
              <w:t xml:space="preserve">中国PD-L1+，1L，IO单药</w:t>
            </w:r>
          </w:p>
        </w:tc>
        <w:tc>
          <w:tcPr/>
          <w:p>
            <w:pPr>
              <w:pStyle w:val="Compact"/>
              <w:jc w:val="left"/>
            </w:pPr>
            <w:r>
              <w:t xml:space="preserve">0.51</w:t>
            </w:r>
          </w:p>
        </w:tc>
        <w:tc>
          <w:tcPr/>
          <w:p>
            <w:pPr>
              <w:pStyle w:val="Compact"/>
              <w:jc w:val="left"/>
            </w:pPr>
            <w:r>
              <w:t xml:space="preserve">0.777</w:t>
            </w:r>
          </w:p>
        </w:tc>
        <w:tc>
          <w:tcPr/>
          <w:p>
            <w:pPr>
              <w:pStyle w:val="Compact"/>
              <w:jc w:val="left"/>
            </w:pPr>
            <w:r>
              <w:t xml:space="preserve">0.37</w:t>
            </w:r>
          </w:p>
        </w:tc>
        <w:tc>
          <w:tcPr/>
          <w:p>
            <w:pPr>
              <w:pStyle w:val="Compact"/>
              <w:jc w:val="left"/>
            </w:pPr>
            <w:r>
              <w:t xml:space="preserve">较低：单药设计，OS数据不成熟（39%成熟度）</w:t>
            </w:r>
            <w:r>
              <w:rPr>
                <w:vertAlign w:val="superscript"/>
              </w:rPr>
              <w:t xml:space="preserve">5</w:t>
            </w:r>
          </w:p>
        </w:tc>
      </w:tr>
    </w:tbl>
    <w:p>
      <w:pPr>
        <w:pStyle w:val="BodyText"/>
      </w:pPr>
      <w:r>
        <w:t xml:space="preserve">化疗联合试验平均转化效率（log-ratio）约0.53。HARMONi-6的0.82显著高于均值，核心原因在于：对照组同样接受了PD-1抑制剂，两组OS差异主要由进展前/后VEGF通路抑制驱动。HARMONi-3对照组为K药+化疗（同样含PD-1），结构与HARMONi-6高度相似，可预期类似转化效率。</w:t>
      </w:r>
    </w:p>
    <w:bookmarkEnd w:id="104"/>
    <w:bookmarkStart w:id="105" w:name="harmoni-3-os预测"/>
    <w:p>
      <w:pPr>
        <w:pStyle w:val="Heading3"/>
      </w:pPr>
      <w:r>
        <w:t xml:space="preserve">5.2.2 HARMONi-3 OS预测</w:t>
      </w:r>
    </w:p>
    <w:p>
      <w:pPr>
        <w:pStyle w:val="FirstParagraph"/>
      </w:pPr>
      <w:r>
        <w:t xml:space="preserve">基于PFS预测和转化效率，构建OS预测矩阵：</w:t>
      </w:r>
    </w:p>
    <w:p>
      <w:pPr>
        <w:pStyle w:val="BodyText"/>
      </w:pPr>
      <w:r>
        <w:rPr>
          <w:bCs/>
          <w:b/>
        </w:rPr>
        <w:t xml:space="preserve">表5-2 鳞癌队列OS预测（基于转化效率=0.82）</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情景</w:t>
            </w:r>
          </w:p>
        </w:tc>
        <w:tc>
          <w:tcPr/>
          <w:p>
            <w:pPr>
              <w:pStyle w:val="Compact"/>
              <w:jc w:val="left"/>
            </w:pPr>
            <w:r>
              <w:t xml:space="preserve">预测PFS HR</w:t>
            </w:r>
          </w:p>
        </w:tc>
        <w:tc>
          <w:tcPr/>
          <w:p>
            <w:pPr>
              <w:pStyle w:val="Compact"/>
              <w:jc w:val="left"/>
            </w:pPr>
            <w:r>
              <w:t xml:space="preserve">转化效率</w:t>
            </w:r>
          </w:p>
        </w:tc>
        <w:tc>
          <w:tcPr/>
          <w:p>
            <w:pPr>
              <w:pStyle w:val="Compact"/>
              <w:jc w:val="left"/>
            </w:pPr>
            <w:r>
              <w:t xml:space="preserve">预测OS HR</w:t>
            </w:r>
          </w:p>
        </w:tc>
        <w:tc>
          <w:tcPr/>
          <w:p>
            <w:pPr>
              <w:pStyle w:val="Compact"/>
              <w:jc w:val="left"/>
            </w:pPr>
            <w:r>
              <w:t xml:space="preserve">与HARMONi-6对照</w:t>
            </w:r>
          </w:p>
        </w:tc>
      </w:tr>
      <w:tr>
        <w:tc>
          <w:tcPr/>
          <w:p>
            <w:pPr>
              <w:pStyle w:val="Compact"/>
              <w:jc w:val="left"/>
            </w:pPr>
            <w:r>
              <w:t xml:space="preserve">乐观</w:t>
            </w:r>
          </w:p>
        </w:tc>
        <w:tc>
          <w:tcPr/>
          <w:p>
            <w:pPr>
              <w:pStyle w:val="Compact"/>
              <w:jc w:val="left"/>
            </w:pPr>
            <w:r>
              <w:t xml:space="preserve">0.62</w:t>
            </w:r>
          </w:p>
        </w:tc>
        <w:tc>
          <w:tcPr/>
          <w:p>
            <w:pPr>
              <w:pStyle w:val="Compact"/>
              <w:jc w:val="left"/>
            </w:pPr>
            <w:r>
              <w:t xml:space="preserve">0.82</w:t>
            </w:r>
          </w:p>
        </w:tc>
        <w:tc>
          <w:tcPr/>
          <w:p>
            <w:pPr>
              <w:pStyle w:val="Compact"/>
              <w:jc w:val="left"/>
            </w:pPr>
            <w:r>
              <w:t xml:space="preserve">0.67</w:t>
            </w:r>
          </w:p>
        </w:tc>
        <w:tc>
          <w:tcPr/>
          <w:p>
            <w:pPr>
              <w:pStyle w:val="Compact"/>
              <w:jc w:val="left"/>
            </w:pPr>
            <w:r>
              <w:t xml:space="preserve">略优于HARMONi-6的0.66</w:t>
            </w:r>
          </w:p>
        </w:tc>
      </w:tr>
      <w:tr>
        <w:tc>
          <w:tcPr/>
          <w:p>
            <w:pPr>
              <w:pStyle w:val="Compact"/>
              <w:jc w:val="left"/>
            </w:pPr>
            <w:r>
              <w:rPr>
                <w:bCs/>
                <w:b/>
              </w:rPr>
              <w:t xml:space="preserve">基准</w:t>
            </w:r>
          </w:p>
        </w:tc>
        <w:tc>
          <w:tcPr/>
          <w:p>
            <w:pPr>
              <w:pStyle w:val="Compact"/>
              <w:jc w:val="left"/>
            </w:pPr>
            <w:r>
              <w:rPr>
                <w:bCs/>
                <w:b/>
              </w:rPr>
              <w:t xml:space="preserve">0.66</w:t>
            </w:r>
          </w:p>
        </w:tc>
        <w:tc>
          <w:tcPr/>
          <w:p>
            <w:pPr>
              <w:pStyle w:val="Compact"/>
              <w:jc w:val="left"/>
            </w:pPr>
            <w:r>
              <w:rPr>
                <w:bCs/>
                <w:b/>
              </w:rPr>
              <w:t xml:space="preserve">0.82</w:t>
            </w:r>
          </w:p>
        </w:tc>
        <w:tc>
          <w:tcPr/>
          <w:p>
            <w:pPr>
              <w:pStyle w:val="Compact"/>
              <w:jc w:val="left"/>
            </w:pPr>
            <w:r>
              <w:rPr>
                <w:bCs/>
                <w:b/>
              </w:rPr>
              <w:t xml:space="preserve">0.70</w:t>
            </w:r>
          </w:p>
        </w:tc>
        <w:tc>
          <w:tcPr/>
          <w:p>
            <w:pPr>
              <w:pStyle w:val="Compact"/>
              <w:jc w:val="left"/>
            </w:pPr>
            <w:r>
              <w:t xml:space="preserve">与HARMONi-6的0.66相近，但桥接衰减使HR略高</w:t>
            </w:r>
          </w:p>
        </w:tc>
      </w:tr>
      <w:tr>
        <w:tc>
          <w:tcPr/>
          <w:p>
            <w:pPr>
              <w:pStyle w:val="Compact"/>
              <w:jc w:val="left"/>
            </w:pPr>
            <w:r>
              <w:t xml:space="preserve">保守</w:t>
            </w:r>
          </w:p>
        </w:tc>
        <w:tc>
          <w:tcPr/>
          <w:p>
            <w:pPr>
              <w:pStyle w:val="Compact"/>
              <w:jc w:val="left"/>
            </w:pPr>
            <w:r>
              <w:t xml:space="preserve">0.69</w:t>
            </w:r>
          </w:p>
        </w:tc>
        <w:tc>
          <w:tcPr/>
          <w:p>
            <w:pPr>
              <w:pStyle w:val="Compact"/>
              <w:jc w:val="left"/>
            </w:pPr>
            <w:r>
              <w:t xml:space="preserve">0.82</w:t>
            </w:r>
          </w:p>
        </w:tc>
        <w:tc>
          <w:tcPr/>
          <w:p>
            <w:pPr>
              <w:pStyle w:val="Compact"/>
              <w:jc w:val="left"/>
            </w:pPr>
            <w:r>
              <w:t xml:space="preserve">0.73</w:t>
            </w:r>
          </w:p>
        </w:tc>
        <w:tc>
          <w:tcPr/>
          <w:p>
            <w:pPr>
              <w:pStyle w:val="Compact"/>
              <w:jc w:val="left"/>
            </w:pPr>
            <w:r>
              <w:t xml:space="preserve">接近HARMONi-2单药HR（0.78）</w:t>
            </w:r>
          </w:p>
        </w:tc>
      </w:tr>
      <w:tr>
        <w:tc>
          <w:tcPr/>
          <w:p>
            <w:pPr>
              <w:pStyle w:val="Compact"/>
              <w:jc w:val="left"/>
            </w:pPr>
            <w:r>
              <w:t xml:space="preserve">悲观</w:t>
            </w:r>
          </w:p>
        </w:tc>
        <w:tc>
          <w:tcPr/>
          <w:p>
            <w:pPr>
              <w:pStyle w:val="Compact"/>
              <w:jc w:val="left"/>
            </w:pPr>
            <w:r>
              <w:t xml:space="preserve">0.72</w:t>
            </w:r>
          </w:p>
        </w:tc>
        <w:tc>
          <w:tcPr/>
          <w:p>
            <w:pPr>
              <w:pStyle w:val="Compact"/>
              <w:jc w:val="left"/>
            </w:pPr>
            <w:r>
              <w:t xml:space="preserve">0.82</w:t>
            </w:r>
          </w:p>
        </w:tc>
        <w:tc>
          <w:tcPr/>
          <w:p>
            <w:pPr>
              <w:pStyle w:val="Compact"/>
              <w:jc w:val="left"/>
            </w:pPr>
            <w:r>
              <w:t xml:space="preserve">0.76</w:t>
            </w:r>
          </w:p>
        </w:tc>
        <w:tc>
          <w:tcPr/>
          <w:p>
            <w:pPr>
              <w:pStyle w:val="Compact"/>
              <w:jc w:val="left"/>
            </w:pPr>
            <w:r>
              <w:t xml:space="preserve">仍显著优于K药+化疗的历史基准（HR=0.71 vs 化疗）</w:t>
            </w:r>
          </w:p>
        </w:tc>
      </w:tr>
    </w:tbl>
    <w:p>
      <w:pPr>
        <w:pStyle w:val="BodyText"/>
      </w:pPr>
      <w:r>
        <w:rPr>
          <w:bCs/>
          <w:b/>
        </w:rPr>
        <w:t xml:space="preserve">非鳞癌队列OS预测</w:t>
      </w:r>
      <w:r>
        <w:t xml:space="preserve">：采用化疗联合试验平均转化效率（0.53），基准情景下预测OS HR = 0.73（乐观0.69，保守0.76，悲观0.80）。非鳞癌OS预测的不确定性更大，因为转化效率数据主要来自EGFRm后线试验（HARMONi-A/HARMONi），而一线非鳞癌野生型人群的生物学行为与后线EGFRm人群存在差异。</w:t>
      </w:r>
    </w:p>
    <w:bookmarkEnd w:id="105"/>
    <w:bookmarkStart w:id="106" w:name="随访时间和数据成熟度影响"/>
    <w:p>
      <w:pPr>
        <w:pStyle w:val="Heading3"/>
      </w:pPr>
      <w:r>
        <w:t xml:space="preserve">5.2.3 随访时间和数据成熟度影响</w:t>
      </w:r>
    </w:p>
    <w:p>
      <w:pPr>
        <w:pStyle w:val="FirstParagraph"/>
      </w:pPr>
      <w:r>
        <w:t xml:space="preserve">HARMONi-6的OS期中分析在中位随访21.4个月时即达阳性（HR=0.66, p=0.0017），跨越预设疗效边界（P&lt;0.0049）</w:t>
      </w:r>
      <w:r>
        <w:rPr>
          <w:vertAlign w:val="superscript"/>
        </w:rPr>
        <w:t xml:space="preserve">1</w:t>
      </w:r>
      <w:r>
        <w:t xml:space="preserve">。HARMONi-3鳞癌队列预计2026年Q2 PFS期中分析，2026年下半年PFS最终分析。OS期中分析可能在PFS最终分析时或之后进行。根据Schoenfeld公式，OS分析所需事件数与log(HR)²成反比——HR=0.70的OS效应约需450个事件达到80%功效。</w:t>
      </w:r>
    </w:p>
    <w:bookmarkEnd w:id="106"/>
    <w:bookmarkEnd w:id="107"/>
    <w:bookmarkStart w:id="111" w:name="成功概率量化"/>
    <w:p>
      <w:pPr>
        <w:pStyle w:val="Heading2"/>
      </w:pPr>
      <w:r>
        <w:t xml:space="preserve">5.3 成功概率量化</w:t>
      </w:r>
    </w:p>
    <w:bookmarkStart w:id="108" w:name="统计设计假设"/>
    <w:p>
      <w:pPr>
        <w:pStyle w:val="Heading3"/>
      </w:pPr>
      <w:r>
        <w:t xml:space="preserve">5.3.1 统计设计假设</w:t>
      </w:r>
    </w:p>
    <w:p>
      <w:pPr>
        <w:pStyle w:val="FirstParagraph"/>
      </w:pPr>
      <w:r>
        <w:t xml:space="preserve">HARMONi-3采用双主要终点设计（PFS+OS），按组织学分别分析</w:t>
      </w:r>
      <w:r>
        <w:rPr>
          <w:vertAlign w:val="superscript"/>
        </w:rPr>
        <w:t xml:space="preserve">8</w:t>
      </w:r>
      <w:r>
        <w:t xml:space="preserve">。统计设计核心参数如下：</w:t>
      </w:r>
    </w:p>
    <w:p>
      <w:pPr>
        <w:numPr>
          <w:ilvl w:val="0"/>
          <w:numId w:val="1004"/>
        </w:numPr>
        <w:pStyle w:val="Compact"/>
      </w:pPr>
      <w:r>
        <w:rPr>
          <w:bCs/>
          <w:b/>
        </w:rPr>
        <w:t xml:space="preserve">鳞癌队列</w:t>
      </w:r>
      <w:r>
        <w:t xml:space="preserve">：n≈600，PFS预计事件数</w:t>
      </w:r>
      <w:r>
        <w:rPr>
          <w:vertAlign w:val="subscript"/>
        </w:rPr>
        <w:t xml:space="preserve">468（基于78%事件率），OS预计事件数</w:t>
      </w:r>
      <w:r>
        <w:t xml:space="preserve">450（最终分析）</w:t>
      </w:r>
    </w:p>
    <w:p>
      <w:pPr>
        <w:numPr>
          <w:ilvl w:val="0"/>
          <w:numId w:val="1004"/>
        </w:numPr>
        <w:pStyle w:val="Compact"/>
      </w:pPr>
      <w:r>
        <w:rPr>
          <w:bCs/>
          <w:b/>
        </w:rPr>
        <w:t xml:space="preserve">非鳞癌队列</w:t>
      </w:r>
      <w:r>
        <w:t xml:space="preserve">：n≈1000，PFS预计事件数</w:t>
      </w:r>
      <w:r>
        <w:rPr>
          <w:vertAlign w:val="subscript"/>
        </w:rPr>
        <w:t xml:space="preserve">720（基于72%事件率），OS预计事件数</w:t>
      </w:r>
      <w:r>
        <w:t xml:space="preserve">650（最终分析）</w:t>
      </w:r>
    </w:p>
    <w:p>
      <w:pPr>
        <w:numPr>
          <w:ilvl w:val="0"/>
          <w:numId w:val="1004"/>
        </w:numPr>
        <w:pStyle w:val="Compact"/>
      </w:pPr>
      <w:r>
        <w:rPr>
          <w:bCs/>
          <w:b/>
        </w:rPr>
        <w:t xml:space="preserve">显著性水平</w:t>
      </w:r>
      <w:r>
        <w:t xml:space="preserve">：单侧α=0.025，假设采用Schoenfeld公式估算功效</w:t>
      </w:r>
    </w:p>
    <w:p>
      <w:pPr>
        <w:numPr>
          <w:ilvl w:val="0"/>
          <w:numId w:val="1004"/>
        </w:numPr>
        <w:pStyle w:val="Compact"/>
      </w:pPr>
      <w:r>
        <w:rPr>
          <w:bCs/>
          <w:b/>
        </w:rPr>
        <w:t xml:space="preserve">期中分析</w:t>
      </w:r>
      <w:r>
        <w:t xml:space="preserve">：PFS期中分析采用保守alpha边界，未达阈值不触发揭盲</w:t>
      </w:r>
      <w:r>
        <w:rPr>
          <w:vertAlign w:val="superscript"/>
        </w:rPr>
        <w:t xml:space="preserve">8</w:t>
      </w:r>
    </w:p>
    <w:bookmarkEnd w:id="108"/>
    <w:bookmarkStart w:id="109" w:name="各情景成功概率"/>
    <w:p>
      <w:pPr>
        <w:pStyle w:val="Heading3"/>
      </w:pPr>
      <w:r>
        <w:t xml:space="preserve">5.3.2 各情景成功概率</w:t>
      </w:r>
    </w:p>
    <w:p>
      <w:pPr>
        <w:pStyle w:val="FirstParagraph"/>
      </w:pPr>
      <w:r>
        <w:rPr>
          <w:bCs/>
          <w:b/>
        </w:rPr>
        <w:t xml:space="preserve">表5-3 鳞癌队列成功概率矩阵</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情景</w:t>
            </w:r>
          </w:p>
        </w:tc>
        <w:tc>
          <w:tcPr/>
          <w:p>
            <w:pPr>
              <w:pStyle w:val="Compact"/>
              <w:jc w:val="left"/>
            </w:pPr>
            <w:r>
              <w:t xml:space="preserve">PFS HR</w:t>
            </w:r>
          </w:p>
        </w:tc>
        <w:tc>
          <w:tcPr/>
          <w:p>
            <w:pPr>
              <w:pStyle w:val="Compact"/>
              <w:jc w:val="left"/>
            </w:pPr>
            <w:r>
              <w:t xml:space="preserve">PFS成功概率</w:t>
            </w:r>
          </w:p>
        </w:tc>
        <w:tc>
          <w:tcPr/>
          <w:p>
            <w:pPr>
              <w:pStyle w:val="Compact"/>
              <w:jc w:val="left"/>
            </w:pPr>
            <w:r>
              <w:t xml:space="preserve">OS HR</w:t>
            </w:r>
          </w:p>
        </w:tc>
        <w:tc>
          <w:tcPr/>
          <w:p>
            <w:pPr>
              <w:pStyle w:val="Compact"/>
              <w:jc w:val="left"/>
            </w:pPr>
            <w:r>
              <w:t xml:space="preserve">OS成功概率</w:t>
            </w:r>
          </w:p>
        </w:tc>
        <w:tc>
          <w:tcPr/>
          <w:p>
            <w:pPr>
              <w:pStyle w:val="Compact"/>
              <w:jc w:val="left"/>
            </w:pPr>
            <w:r>
              <w:t xml:space="preserve">双终点同时成功概率</w:t>
            </w:r>
          </w:p>
        </w:tc>
      </w:tr>
      <w:tr>
        <w:tc>
          <w:tcPr/>
          <w:p>
            <w:pPr>
              <w:pStyle w:val="Compact"/>
              <w:jc w:val="left"/>
            </w:pPr>
            <w:r>
              <w:t xml:space="preserve">乐观</w:t>
            </w:r>
          </w:p>
        </w:tc>
        <w:tc>
          <w:tcPr/>
          <w:p>
            <w:pPr>
              <w:pStyle w:val="Compact"/>
              <w:jc w:val="left"/>
            </w:pPr>
            <w:r>
              <w:t xml:space="preserve">0.62</w:t>
            </w:r>
          </w:p>
        </w:tc>
        <w:tc>
          <w:tcPr/>
          <w:p>
            <w:pPr>
              <w:pStyle w:val="Compact"/>
              <w:jc w:val="left"/>
            </w:pPr>
            <w:r>
              <w:t xml:space="preserve">99.9%</w:t>
            </w:r>
          </w:p>
        </w:tc>
        <w:tc>
          <w:tcPr/>
          <w:p>
            <w:pPr>
              <w:pStyle w:val="Compact"/>
              <w:jc w:val="left"/>
            </w:pPr>
            <w:r>
              <w:t xml:space="preserve">0.67</w:t>
            </w:r>
          </w:p>
        </w:tc>
        <w:tc>
          <w:tcPr/>
          <w:p>
            <w:pPr>
              <w:pStyle w:val="Compact"/>
              <w:jc w:val="left"/>
            </w:pPr>
            <w:r>
              <w:t xml:space="preserve">98.7%</w:t>
            </w:r>
          </w:p>
        </w:tc>
        <w:tc>
          <w:tcPr/>
          <w:p>
            <w:pPr>
              <w:pStyle w:val="Compact"/>
              <w:jc w:val="left"/>
            </w:pPr>
            <w:r>
              <w:t xml:space="preserve">98.6%</w:t>
            </w:r>
          </w:p>
        </w:tc>
      </w:tr>
      <w:tr>
        <w:tc>
          <w:tcPr/>
          <w:p>
            <w:pPr>
              <w:pStyle w:val="Compact"/>
              <w:jc w:val="left"/>
            </w:pPr>
            <w:r>
              <w:rPr>
                <w:bCs/>
                <w:b/>
              </w:rPr>
              <w:t xml:space="preserve">基准</w:t>
            </w:r>
          </w:p>
        </w:tc>
        <w:tc>
          <w:tcPr/>
          <w:p>
            <w:pPr>
              <w:pStyle w:val="Compact"/>
              <w:jc w:val="left"/>
            </w:pPr>
            <w:r>
              <w:rPr>
                <w:bCs/>
                <w:b/>
              </w:rPr>
              <w:t xml:space="preserve">0.66</w:t>
            </w:r>
          </w:p>
        </w:tc>
        <w:tc>
          <w:tcPr/>
          <w:p>
            <w:pPr>
              <w:pStyle w:val="Compact"/>
              <w:jc w:val="left"/>
            </w:pPr>
            <w:r>
              <w:rPr>
                <w:bCs/>
                <w:b/>
              </w:rPr>
              <w:t xml:space="preserve">99.6%</w:t>
            </w:r>
          </w:p>
        </w:tc>
        <w:tc>
          <w:tcPr/>
          <w:p>
            <w:pPr>
              <w:pStyle w:val="Compact"/>
              <w:jc w:val="left"/>
            </w:pPr>
            <w:r>
              <w:rPr>
                <w:bCs/>
                <w:b/>
              </w:rPr>
              <w:t xml:space="preserve">0.70</w:t>
            </w:r>
          </w:p>
        </w:tc>
        <w:tc>
          <w:tcPr/>
          <w:p>
            <w:pPr>
              <w:pStyle w:val="Compact"/>
              <w:jc w:val="left"/>
            </w:pPr>
            <w:r>
              <w:rPr>
                <w:bCs/>
                <w:b/>
              </w:rPr>
              <w:t xml:space="preserve">96.4%</w:t>
            </w:r>
          </w:p>
        </w:tc>
        <w:tc>
          <w:tcPr/>
          <w:p>
            <w:pPr>
              <w:pStyle w:val="Compact"/>
              <w:jc w:val="left"/>
            </w:pPr>
            <w:r>
              <w:rPr>
                <w:bCs/>
                <w:b/>
              </w:rPr>
              <w:t xml:space="preserve">96.0%</w:t>
            </w:r>
          </w:p>
        </w:tc>
      </w:tr>
      <w:tr>
        <w:tc>
          <w:tcPr/>
          <w:p>
            <w:pPr>
              <w:pStyle w:val="Compact"/>
              <w:jc w:val="left"/>
            </w:pPr>
            <w:r>
              <w:t xml:space="preserve">保守</w:t>
            </w:r>
          </w:p>
        </w:tc>
        <w:tc>
          <w:tcPr/>
          <w:p>
            <w:pPr>
              <w:pStyle w:val="Compact"/>
              <w:jc w:val="left"/>
            </w:pPr>
            <w:r>
              <w:t xml:space="preserve">0.69</w:t>
            </w:r>
          </w:p>
        </w:tc>
        <w:tc>
          <w:tcPr/>
          <w:p>
            <w:pPr>
              <w:pStyle w:val="Compact"/>
              <w:jc w:val="left"/>
            </w:pPr>
            <w:r>
              <w:t xml:space="preserve">98.3%</w:t>
            </w:r>
          </w:p>
        </w:tc>
        <w:tc>
          <w:tcPr/>
          <w:p>
            <w:pPr>
              <w:pStyle w:val="Compact"/>
              <w:jc w:val="left"/>
            </w:pPr>
            <w:r>
              <w:t xml:space="preserve">0.73</w:t>
            </w:r>
          </w:p>
        </w:tc>
        <w:tc>
          <w:tcPr/>
          <w:p>
            <w:pPr>
              <w:pStyle w:val="Compact"/>
              <w:jc w:val="left"/>
            </w:pPr>
            <w:r>
              <w:t xml:space="preserve">91.7%</w:t>
            </w:r>
          </w:p>
        </w:tc>
        <w:tc>
          <w:tcPr/>
          <w:p>
            <w:pPr>
              <w:pStyle w:val="Compact"/>
              <w:jc w:val="left"/>
            </w:pPr>
            <w:r>
              <w:t xml:space="preserve">90.1%</w:t>
            </w:r>
          </w:p>
        </w:tc>
      </w:tr>
      <w:tr>
        <w:tc>
          <w:tcPr/>
          <w:p>
            <w:pPr>
              <w:pStyle w:val="Compact"/>
              <w:jc w:val="left"/>
            </w:pPr>
            <w:r>
              <w:t xml:space="preserve">悲观</w:t>
            </w:r>
          </w:p>
        </w:tc>
        <w:tc>
          <w:tcPr/>
          <w:p>
            <w:pPr>
              <w:pStyle w:val="Compact"/>
              <w:jc w:val="left"/>
            </w:pPr>
            <w:r>
              <w:t xml:space="preserve">0.72</w:t>
            </w:r>
          </w:p>
        </w:tc>
        <w:tc>
          <w:tcPr/>
          <w:p>
            <w:pPr>
              <w:pStyle w:val="Compact"/>
              <w:jc w:val="left"/>
            </w:pPr>
            <w:r>
              <w:t xml:space="preserve">94.8%</w:t>
            </w:r>
          </w:p>
        </w:tc>
        <w:tc>
          <w:tcPr/>
          <w:p>
            <w:pPr>
              <w:pStyle w:val="Compact"/>
              <w:jc w:val="left"/>
            </w:pPr>
            <w:r>
              <w:t xml:space="preserve">0.76</w:t>
            </w:r>
          </w:p>
        </w:tc>
        <w:tc>
          <w:tcPr/>
          <w:p>
            <w:pPr>
              <w:pStyle w:val="Compact"/>
              <w:jc w:val="left"/>
            </w:pPr>
            <w:r>
              <w:t xml:space="preserve">83.9%</w:t>
            </w:r>
          </w:p>
        </w:tc>
        <w:tc>
          <w:tcPr/>
          <w:p>
            <w:pPr>
              <w:pStyle w:val="Compact"/>
              <w:jc w:val="left"/>
            </w:pPr>
            <w:r>
              <w:t xml:space="preserve">79.5%</w:t>
            </w:r>
          </w:p>
        </w:tc>
      </w:tr>
    </w:tbl>
    <w:p>
      <w:pPr>
        <w:pStyle w:val="BodyText"/>
      </w:pPr>
      <w:r>
        <w:t xml:space="preserve">鳞癌队列在基准情景下，PFS成功概率高达99.6%，OS成功概率为96.4%，双终点同时成功概率为96.0%。即便在悲观情景（HR=0.72），双终点同时成功概率仍接近80%，显示鳞癌队列的统计稳健性。</w:t>
      </w:r>
    </w:p>
    <w:p>
      <w:pPr>
        <w:pStyle w:val="BodyText"/>
      </w:pPr>
      <w:r>
        <w:rPr>
          <w:bCs/>
          <w:b/>
        </w:rPr>
        <w:t xml:space="preserve">表5-4 非鳞癌队列成功概率矩阵</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情景</w:t>
            </w:r>
          </w:p>
        </w:tc>
        <w:tc>
          <w:tcPr/>
          <w:p>
            <w:pPr>
              <w:pStyle w:val="Compact"/>
              <w:jc w:val="left"/>
            </w:pPr>
            <w:r>
              <w:t xml:space="preserve">PFS HR</w:t>
            </w:r>
          </w:p>
        </w:tc>
        <w:tc>
          <w:tcPr/>
          <w:p>
            <w:pPr>
              <w:pStyle w:val="Compact"/>
              <w:jc w:val="left"/>
            </w:pPr>
            <w:r>
              <w:t xml:space="preserve">PFS成功概率</w:t>
            </w:r>
          </w:p>
        </w:tc>
        <w:tc>
          <w:tcPr/>
          <w:p>
            <w:pPr>
              <w:pStyle w:val="Compact"/>
              <w:jc w:val="left"/>
            </w:pPr>
            <w:r>
              <w:t xml:space="preserve">OS HR</w:t>
            </w:r>
          </w:p>
        </w:tc>
        <w:tc>
          <w:tcPr/>
          <w:p>
            <w:pPr>
              <w:pStyle w:val="Compact"/>
              <w:jc w:val="left"/>
            </w:pPr>
            <w:r>
              <w:t xml:space="preserve">OS成功概率</w:t>
            </w:r>
          </w:p>
        </w:tc>
        <w:tc>
          <w:tcPr/>
          <w:p>
            <w:pPr>
              <w:pStyle w:val="Compact"/>
              <w:jc w:val="left"/>
            </w:pPr>
            <w:r>
              <w:t xml:space="preserve">双终点同时成功概率</w:t>
            </w:r>
          </w:p>
        </w:tc>
      </w:tr>
      <w:tr>
        <w:tc>
          <w:tcPr/>
          <w:p>
            <w:pPr>
              <w:pStyle w:val="Compact"/>
              <w:jc w:val="left"/>
            </w:pPr>
            <w:r>
              <w:t xml:space="preserve">乐观</w:t>
            </w:r>
          </w:p>
        </w:tc>
        <w:tc>
          <w:tcPr/>
          <w:p>
            <w:pPr>
              <w:pStyle w:val="Compact"/>
              <w:jc w:val="left"/>
            </w:pPr>
            <w:r>
              <w:t xml:space="preserve">0.50</w:t>
            </w:r>
          </w:p>
        </w:tc>
        <w:tc>
          <w:tcPr/>
          <w:p>
            <w:pPr>
              <w:pStyle w:val="Compact"/>
              <w:jc w:val="left"/>
            </w:pPr>
            <w:r>
              <w:t xml:space="preserve">100.0%</w:t>
            </w:r>
          </w:p>
        </w:tc>
        <w:tc>
          <w:tcPr/>
          <w:p>
            <w:pPr>
              <w:pStyle w:val="Compact"/>
              <w:jc w:val="left"/>
            </w:pPr>
            <w:r>
              <w:t xml:space="preserve">0.69</w:t>
            </w:r>
          </w:p>
        </w:tc>
        <w:tc>
          <w:tcPr/>
          <w:p>
            <w:pPr>
              <w:pStyle w:val="Compact"/>
              <w:jc w:val="left"/>
            </w:pPr>
            <w:r>
              <w:t xml:space="preserve">99.7%</w:t>
            </w:r>
          </w:p>
        </w:tc>
        <w:tc>
          <w:tcPr/>
          <w:p>
            <w:pPr>
              <w:pStyle w:val="Compact"/>
              <w:jc w:val="left"/>
            </w:pPr>
            <w:r>
              <w:t xml:space="preserve">99.7%</w:t>
            </w:r>
          </w:p>
        </w:tc>
      </w:tr>
      <w:tr>
        <w:tc>
          <w:tcPr/>
          <w:p>
            <w:pPr>
              <w:pStyle w:val="Compact"/>
              <w:jc w:val="left"/>
            </w:pPr>
            <w:r>
              <w:rPr>
                <w:bCs/>
                <w:b/>
              </w:rPr>
              <w:t xml:space="preserve">基准</w:t>
            </w:r>
          </w:p>
        </w:tc>
        <w:tc>
          <w:tcPr/>
          <w:p>
            <w:pPr>
              <w:pStyle w:val="Compact"/>
              <w:jc w:val="left"/>
            </w:pPr>
            <w:r>
              <w:rPr>
                <w:bCs/>
                <w:b/>
              </w:rPr>
              <w:t xml:space="preserve">0.55</w:t>
            </w:r>
          </w:p>
        </w:tc>
        <w:tc>
          <w:tcPr/>
          <w:p>
            <w:pPr>
              <w:pStyle w:val="Compact"/>
              <w:jc w:val="left"/>
            </w:pPr>
            <w:r>
              <w:rPr>
                <w:bCs/>
                <w:b/>
              </w:rPr>
              <w:t xml:space="preserve">100.0%</w:t>
            </w:r>
          </w:p>
        </w:tc>
        <w:tc>
          <w:tcPr/>
          <w:p>
            <w:pPr>
              <w:pStyle w:val="Compact"/>
              <w:jc w:val="left"/>
            </w:pPr>
            <w:r>
              <w:rPr>
                <w:bCs/>
                <w:b/>
              </w:rPr>
              <w:t xml:space="preserve">0.73</w:t>
            </w:r>
          </w:p>
        </w:tc>
        <w:tc>
          <w:tcPr/>
          <w:p>
            <w:pPr>
              <w:pStyle w:val="Compact"/>
              <w:jc w:val="left"/>
            </w:pPr>
            <w:r>
              <w:rPr>
                <w:bCs/>
                <w:b/>
              </w:rPr>
              <w:t xml:space="preserve">98.0%</w:t>
            </w:r>
          </w:p>
        </w:tc>
        <w:tc>
          <w:tcPr/>
          <w:p>
            <w:pPr>
              <w:pStyle w:val="Compact"/>
              <w:jc w:val="left"/>
            </w:pPr>
            <w:r>
              <w:rPr>
                <w:bCs/>
                <w:b/>
              </w:rPr>
              <w:t xml:space="preserve">98.0%</w:t>
            </w:r>
          </w:p>
        </w:tc>
      </w:tr>
      <w:tr>
        <w:tc>
          <w:tcPr/>
          <w:p>
            <w:pPr>
              <w:pStyle w:val="Compact"/>
              <w:jc w:val="left"/>
            </w:pPr>
            <w:r>
              <w:t xml:space="preserve">保守</w:t>
            </w:r>
          </w:p>
        </w:tc>
        <w:tc>
          <w:tcPr/>
          <w:p>
            <w:pPr>
              <w:pStyle w:val="Compact"/>
              <w:jc w:val="left"/>
            </w:pPr>
            <w:r>
              <w:t xml:space="preserve">0.60</w:t>
            </w:r>
          </w:p>
        </w:tc>
        <w:tc>
          <w:tcPr/>
          <w:p>
            <w:pPr>
              <w:pStyle w:val="Compact"/>
              <w:jc w:val="left"/>
            </w:pPr>
            <w:r>
              <w:t xml:space="preserve">100.0%</w:t>
            </w:r>
          </w:p>
        </w:tc>
        <w:tc>
          <w:tcPr/>
          <w:p>
            <w:pPr>
              <w:pStyle w:val="Compact"/>
              <w:jc w:val="left"/>
            </w:pPr>
            <w:r>
              <w:t xml:space="preserve">0.76</w:t>
            </w:r>
          </w:p>
        </w:tc>
        <w:tc>
          <w:tcPr/>
          <w:p>
            <w:pPr>
              <w:pStyle w:val="Compact"/>
              <w:jc w:val="left"/>
            </w:pPr>
            <w:r>
              <w:t xml:space="preserve">92.9%</w:t>
            </w:r>
          </w:p>
        </w:tc>
        <w:tc>
          <w:tcPr/>
          <w:p>
            <w:pPr>
              <w:pStyle w:val="Compact"/>
              <w:jc w:val="left"/>
            </w:pPr>
            <w:r>
              <w:t xml:space="preserve">92.9%</w:t>
            </w:r>
          </w:p>
        </w:tc>
      </w:tr>
      <w:tr>
        <w:tc>
          <w:tcPr/>
          <w:p>
            <w:pPr>
              <w:pStyle w:val="Compact"/>
              <w:jc w:val="left"/>
            </w:pPr>
            <w:r>
              <w:t xml:space="preserve">悲观</w:t>
            </w:r>
          </w:p>
        </w:tc>
        <w:tc>
          <w:tcPr/>
          <w:p>
            <w:pPr>
              <w:pStyle w:val="Compact"/>
              <w:jc w:val="left"/>
            </w:pPr>
            <w:r>
              <w:t xml:space="preserve">0.65</w:t>
            </w:r>
          </w:p>
        </w:tc>
        <w:tc>
          <w:tcPr/>
          <w:p>
            <w:pPr>
              <w:pStyle w:val="Compact"/>
              <w:jc w:val="left"/>
            </w:pPr>
            <w:r>
              <w:t xml:space="preserve">100.0%</w:t>
            </w:r>
          </w:p>
        </w:tc>
        <w:tc>
          <w:tcPr/>
          <w:p>
            <w:pPr>
              <w:pStyle w:val="Compact"/>
              <w:jc w:val="left"/>
            </w:pPr>
            <w:r>
              <w:t xml:space="preserve">0.80</w:t>
            </w:r>
          </w:p>
        </w:tc>
        <w:tc>
          <w:tcPr/>
          <w:p>
            <w:pPr>
              <w:pStyle w:val="Compact"/>
              <w:jc w:val="left"/>
            </w:pPr>
            <w:r>
              <w:t xml:space="preserve">82.5%</w:t>
            </w:r>
          </w:p>
        </w:tc>
        <w:tc>
          <w:tcPr/>
          <w:p>
            <w:pPr>
              <w:pStyle w:val="Compact"/>
              <w:jc w:val="left"/>
            </w:pPr>
            <w:r>
              <w:t xml:space="preserve">82.5%</w:t>
            </w:r>
          </w:p>
        </w:tc>
      </w:tr>
    </w:tbl>
    <w:p>
      <w:pPr>
        <w:pStyle w:val="BodyText"/>
      </w:pPr>
      <w:r>
        <w:t xml:space="preserve">非鳞癌队列的PFS成功概率在基准情景下达100%，这主要得益于较大的样本量（n≈1000）和预期的较大效应量（HR=0.55）。OS成功概率为98.0%，双终点同时成功概率为98.0%。</w:t>
      </w:r>
    </w:p>
    <w:bookmarkEnd w:id="109"/>
    <w:bookmarkStart w:id="110" w:name="monte-carlo模拟结果"/>
    <w:p>
      <w:pPr>
        <w:pStyle w:val="Heading3"/>
      </w:pPr>
      <w:r>
        <w:t xml:space="preserve">5.3.3 Monte Carlo模拟结果</w:t>
      </w:r>
    </w:p>
    <w:p>
      <w:pPr>
        <w:pStyle w:val="FirstParagraph"/>
      </w:pPr>
      <w:r>
        <w:t xml:space="preserve">通过10,000次蒙特卡洛模拟，综合PFS HR不确定性和PFS-to-OS转化效率的不确定性，得到以下概率分布：</w:t>
      </w:r>
    </w:p>
    <w:p>
      <w:pPr>
        <w:pStyle w:val="BodyText"/>
      </w:pPr>
      <w:r>
        <w:rPr>
          <w:bCs/>
          <w:b/>
        </w:rPr>
        <w:t xml:space="preserve">表5-5 Monte Carlo模拟概率分布（10,000次迭代）</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概率指标</w:t>
            </w:r>
          </w:p>
        </w:tc>
        <w:tc>
          <w:tcPr/>
          <w:p>
            <w:pPr>
              <w:pStyle w:val="Compact"/>
              <w:jc w:val="left"/>
            </w:pPr>
            <w:r>
              <w:t xml:space="preserve">估计值</w:t>
            </w:r>
          </w:p>
        </w:tc>
        <w:tc>
          <w:tcPr/>
          <w:p>
            <w:pPr>
              <w:pStyle w:val="Compact"/>
              <w:jc w:val="left"/>
            </w:pPr>
            <w:r>
              <w:t xml:space="preserve">临床解读</w:t>
            </w:r>
          </w:p>
        </w:tc>
      </w:tr>
      <w:tr>
        <w:tc>
          <w:tcPr/>
          <w:p>
            <w:pPr>
              <w:pStyle w:val="Compact"/>
              <w:jc w:val="left"/>
            </w:pPr>
            <w:r>
              <w:t xml:space="preserve">P(PFS HR &lt; 0.65)</w:t>
            </w:r>
          </w:p>
        </w:tc>
        <w:tc>
          <w:tcPr/>
          <w:p>
            <w:pPr>
              <w:pStyle w:val="Compact"/>
              <w:jc w:val="left"/>
            </w:pPr>
            <w:r>
              <w:t xml:space="preserve">48.3%</w:t>
            </w:r>
          </w:p>
        </w:tc>
        <w:tc>
          <w:tcPr/>
          <w:p>
            <w:pPr>
              <w:pStyle w:val="Compact"/>
              <w:jc w:val="left"/>
            </w:pPr>
            <w:r>
              <w:t xml:space="preserve">约半数概率达到优于基准的PFS效应</w:t>
            </w:r>
          </w:p>
        </w:tc>
      </w:tr>
      <w:tr>
        <w:tc>
          <w:tcPr/>
          <w:p>
            <w:pPr>
              <w:pStyle w:val="Compact"/>
              <w:jc w:val="left"/>
            </w:pPr>
            <w:r>
              <w:t xml:space="preserve">P(PFS HR &lt; 0.70)</w:t>
            </w:r>
          </w:p>
        </w:tc>
        <w:tc>
          <w:tcPr/>
          <w:p>
            <w:pPr>
              <w:pStyle w:val="Compact"/>
              <w:jc w:val="left"/>
            </w:pPr>
            <w:r>
              <w:t xml:space="preserve">64.4%</w:t>
            </w:r>
          </w:p>
        </w:tc>
        <w:tc>
          <w:tcPr/>
          <w:p>
            <w:pPr>
              <w:pStyle w:val="Compact"/>
              <w:jc w:val="left"/>
            </w:pPr>
            <w:r>
              <w:t xml:space="preserve">PFS HR低于0.70的概率接近三分之二</w:t>
            </w:r>
          </w:p>
        </w:tc>
      </w:tr>
      <w:tr>
        <w:tc>
          <w:tcPr/>
          <w:p>
            <w:pPr>
              <w:pStyle w:val="Compact"/>
              <w:jc w:val="left"/>
            </w:pPr>
            <w:r>
              <w:t xml:space="preserve">P(PFS HR &lt; 0.75)</w:t>
            </w:r>
          </w:p>
        </w:tc>
        <w:tc>
          <w:tcPr/>
          <w:p>
            <w:pPr>
              <w:pStyle w:val="Compact"/>
              <w:jc w:val="left"/>
            </w:pPr>
            <w:r>
              <w:t xml:space="preserve">77.6%</w:t>
            </w:r>
          </w:p>
        </w:tc>
        <w:tc>
          <w:tcPr/>
          <w:p>
            <w:pPr>
              <w:pStyle w:val="Compact"/>
              <w:jc w:val="left"/>
            </w:pPr>
            <w:r>
              <w:t xml:space="preserve">即便悲观假设，PFS HR仍大概率低于0.75</w:t>
            </w:r>
          </w:p>
        </w:tc>
      </w:tr>
      <w:tr>
        <w:tc>
          <w:tcPr/>
          <w:p>
            <w:pPr>
              <w:pStyle w:val="Compact"/>
              <w:jc w:val="left"/>
            </w:pPr>
            <w:r>
              <w:t xml:space="preserve">P(OS HR &lt; 0.75)</w:t>
            </w:r>
          </w:p>
        </w:tc>
        <w:tc>
          <w:tcPr/>
          <w:p>
            <w:pPr>
              <w:pStyle w:val="Compact"/>
              <w:jc w:val="left"/>
            </w:pPr>
            <w:r>
              <w:t xml:space="preserve">65.4%</w:t>
            </w:r>
          </w:p>
        </w:tc>
        <w:tc>
          <w:tcPr/>
          <w:p>
            <w:pPr>
              <w:pStyle w:val="Compact"/>
              <w:jc w:val="left"/>
            </w:pPr>
            <w:r>
              <w:t xml:space="preserve">OS HR&lt;0.75的概率与PFS HR&lt;0.70相近</w:t>
            </w:r>
          </w:p>
        </w:tc>
      </w:tr>
      <w:tr>
        <w:tc>
          <w:tcPr/>
          <w:p>
            <w:pPr>
              <w:pStyle w:val="Compact"/>
              <w:jc w:val="left"/>
            </w:pPr>
            <w:r>
              <w:t xml:space="preserve">P(OS HR &lt; 0.80)</w:t>
            </w:r>
          </w:p>
        </w:tc>
        <w:tc>
          <w:tcPr/>
          <w:p>
            <w:pPr>
              <w:pStyle w:val="Compact"/>
              <w:jc w:val="left"/>
            </w:pPr>
            <w:r>
              <w:t xml:space="preserve">79.9%</w:t>
            </w:r>
          </w:p>
        </w:tc>
        <w:tc>
          <w:tcPr/>
          <w:p>
            <w:pPr>
              <w:pStyle w:val="Compact"/>
              <w:jc w:val="left"/>
            </w:pPr>
            <w:r>
              <w:t xml:space="preserve">OS显著优效（HR&lt;0.80）的概率约80%</w:t>
            </w:r>
          </w:p>
        </w:tc>
      </w:tr>
      <w:tr>
        <w:tc>
          <w:tcPr/>
          <w:p>
            <w:pPr>
              <w:pStyle w:val="Compact"/>
              <w:jc w:val="left"/>
            </w:pPr>
            <w:r>
              <w:t xml:space="preserve">P(OS HR &lt; 0.85)</w:t>
            </w:r>
          </w:p>
        </w:tc>
        <w:tc>
          <w:tcPr/>
          <w:p>
            <w:pPr>
              <w:pStyle w:val="Compact"/>
              <w:jc w:val="left"/>
            </w:pPr>
            <w:r>
              <w:t xml:space="preserve">89.2%</w:t>
            </w:r>
          </w:p>
        </w:tc>
        <w:tc>
          <w:tcPr/>
          <w:p>
            <w:pPr>
              <w:pStyle w:val="Compact"/>
              <w:jc w:val="left"/>
            </w:pPr>
            <w:r>
              <w:t xml:space="preserve">OS获益概率接近90%</w:t>
            </w:r>
          </w:p>
        </w:tc>
      </w:tr>
      <w:tr>
        <w:tc>
          <w:tcPr/>
          <w:p>
            <w:pPr>
              <w:pStyle w:val="Compact"/>
              <w:jc w:val="left"/>
            </w:pPr>
            <w:r>
              <w:rPr>
                <w:bCs/>
                <w:b/>
              </w:rPr>
              <w:t xml:space="preserve">P(PFS&lt;0.75 且 OS&lt;0.80)</w:t>
            </w:r>
          </w:p>
        </w:tc>
        <w:tc>
          <w:tcPr/>
          <w:p>
            <w:pPr>
              <w:pStyle w:val="Compact"/>
              <w:jc w:val="left"/>
            </w:pPr>
            <w:r>
              <w:rPr>
                <w:bCs/>
                <w:b/>
              </w:rPr>
              <w:t xml:space="preserve">76.3%</w:t>
            </w:r>
          </w:p>
        </w:tc>
        <w:tc>
          <w:tcPr/>
          <w:p>
            <w:pPr>
              <w:pStyle w:val="Compact"/>
              <w:jc w:val="left"/>
            </w:pPr>
            <w:r>
              <w:rPr>
                <w:bCs/>
                <w:b/>
              </w:rPr>
              <w:t xml:space="preserve">双终点同时达到临床优效的概率约76%</w:t>
            </w:r>
          </w:p>
        </w:tc>
      </w:tr>
    </w:tbl>
    <w:p>
      <w:pPr>
        <w:pStyle w:val="BodyText"/>
      </w:pPr>
      <w:r>
        <w:t xml:space="preserve">Monte Carlo模拟揭示了关键不确定性：PFS和OS虽各自成功概率高，但联合成功的概率（76.3%）低于各终点的单独成功概率乘积，这是因为PFS和OS的HR存在正相关性——若PFS效应弱于预期，OS转化效率亦可能同步下降。</w:t>
      </w:r>
    </w:p>
    <w:bookmarkEnd w:id="110"/>
    <w:bookmarkEnd w:id="111"/>
    <w:bookmarkStart w:id="115" w:name="风险因素与敏感性分析"/>
    <w:p>
      <w:pPr>
        <w:pStyle w:val="Heading2"/>
      </w:pPr>
      <w:r>
        <w:t xml:space="preserve">5.4 风险因素与敏感性分析</w:t>
      </w:r>
    </w:p>
    <w:bookmarkStart w:id="112" w:name="可能降低疗效的因素downside-risks"/>
    <w:p>
      <w:pPr>
        <w:pStyle w:val="Heading3"/>
      </w:pPr>
      <w:r>
        <w:t xml:space="preserve">5.4.1 可能降低疗效的因素（Downside Risks）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风险因素</w:t>
            </w:r>
          </w:p>
        </w:tc>
        <w:tc>
          <w:tcPr/>
          <w:p>
            <w:pPr>
              <w:pStyle w:val="Compact"/>
              <w:jc w:val="left"/>
            </w:pPr>
            <w:r>
              <w:t xml:space="preserve">证据来源</w:t>
            </w:r>
          </w:p>
        </w:tc>
        <w:tc>
          <w:tcPr/>
          <w:p>
            <w:pPr>
              <w:pStyle w:val="Compact"/>
              <w:jc w:val="left"/>
            </w:pPr>
            <w:r>
              <w:t xml:space="preserve">估计HR惩罚</w:t>
            </w:r>
          </w:p>
        </w:tc>
        <w:tc>
          <w:tcPr/>
          <w:p>
            <w:pPr>
              <w:pStyle w:val="Compact"/>
              <w:jc w:val="left"/>
            </w:pPr>
            <w:r>
              <w:t xml:space="preserve">置信度</w:t>
            </w:r>
          </w:p>
        </w:tc>
        <w:tc>
          <w:tcPr/>
          <w:p>
            <w:pPr>
              <w:pStyle w:val="Compact"/>
              <w:jc w:val="left"/>
            </w:pPr>
            <w:r>
              <w:t xml:space="preserve">缓释因素</w:t>
            </w:r>
          </w:p>
        </w:tc>
      </w:tr>
      <w:tr>
        <w:tc>
          <w:tcPr/>
          <w:p>
            <w:pPr>
              <w:pStyle w:val="Compact"/>
              <w:jc w:val="left"/>
            </w:pPr>
            <w:r>
              <w:t xml:space="preserve">西方人群比例升高</w:t>
            </w:r>
          </w:p>
        </w:tc>
        <w:tc>
          <w:tcPr/>
          <w:p>
            <w:pPr>
              <w:pStyle w:val="Compact"/>
              <w:jc w:val="left"/>
            </w:pPr>
            <w:r>
              <w:t xml:space="preserve">HARMONi北美亚组OS HR=0.70 vs 总体0.78</w:t>
            </w:r>
            <w:r>
              <w:rPr>
                <w:vertAlign w:val="superscript"/>
              </w:rPr>
              <w:t xml:space="preserve">3</w:t>
            </w:r>
          </w:p>
        </w:tc>
        <w:tc>
          <w:tcPr/>
          <w:p>
            <w:pPr>
              <w:pStyle w:val="Compact"/>
              <w:jc w:val="left"/>
            </w:pPr>
            <w:r>
              <w:t xml:space="preserve">+0.03</w:t>
            </w:r>
          </w:p>
        </w:tc>
        <w:tc>
          <w:tcPr/>
          <w:p>
            <w:pPr>
              <w:pStyle w:val="Compact"/>
              <w:jc w:val="left"/>
            </w:pPr>
            <w:r>
              <w:t xml:space="preserve">中</w:t>
            </w:r>
          </w:p>
        </w:tc>
        <w:tc>
          <w:tcPr/>
          <w:p>
            <w:pPr>
              <w:pStyle w:val="Compact"/>
              <w:jc w:val="left"/>
            </w:pPr>
            <w:r>
              <w:t xml:space="preserve">HARMONi已验证全球一致性</w:t>
            </w:r>
          </w:p>
        </w:tc>
      </w:tr>
      <w:tr>
        <w:tc>
          <w:tcPr/>
          <w:p>
            <w:pPr>
              <w:pStyle w:val="Compact"/>
              <w:jc w:val="left"/>
            </w:pPr>
            <w:r>
              <w:t xml:space="preserve">基线差异（肥胖/吸烟/合并症）</w:t>
            </w:r>
          </w:p>
        </w:tc>
        <w:tc>
          <w:tcPr/>
          <w:p>
            <w:pPr>
              <w:pStyle w:val="Compact"/>
              <w:jc w:val="left"/>
            </w:pPr>
            <w:r>
              <w:t xml:space="preserve">真实世界数据</w:t>
            </w:r>
          </w:p>
        </w:tc>
        <w:tc>
          <w:tcPr/>
          <w:p>
            <w:pPr>
              <w:pStyle w:val="Compact"/>
              <w:jc w:val="left"/>
            </w:pPr>
            <w:r>
              <w:t xml:space="preserve">+0.02</w:t>
            </w:r>
          </w:p>
        </w:tc>
        <w:tc>
          <w:tcPr/>
          <w:p>
            <w:pPr>
              <w:pStyle w:val="Compact"/>
              <w:jc w:val="left"/>
            </w:pPr>
            <w:r>
              <w:t xml:space="preserve">低</w:t>
            </w:r>
          </w:p>
        </w:tc>
        <w:tc>
          <w:tcPr/>
          <w:p>
            <w:pPr>
              <w:pStyle w:val="Compact"/>
              <w:jc w:val="left"/>
            </w:pPr>
            <w:r>
              <w:t xml:space="preserve">临床试验标准入组控制</w:t>
            </w:r>
          </w:p>
        </w:tc>
      </w:tr>
      <w:tr>
        <w:tc>
          <w:tcPr/>
          <w:p>
            <w:pPr>
              <w:pStyle w:val="Compact"/>
              <w:jc w:val="left"/>
            </w:pPr>
            <w:r>
              <w:t xml:space="preserve">PD-L1分布（all-comer vs 选择人群）</w:t>
            </w:r>
          </w:p>
        </w:tc>
        <w:tc>
          <w:tcPr/>
          <w:p>
            <w:pPr>
              <w:pStyle w:val="Compact"/>
              <w:jc w:val="left"/>
            </w:pPr>
            <w:r>
              <w:t xml:space="preserve">HARMONi-2仅限PD-L1+</w:t>
            </w:r>
          </w:p>
        </w:tc>
        <w:tc>
          <w:tcPr/>
          <w:p>
            <w:pPr>
              <w:pStyle w:val="Compact"/>
              <w:jc w:val="left"/>
            </w:pPr>
            <w:r>
              <w:t xml:space="preserve">+0.02</w:t>
            </w:r>
          </w:p>
        </w:tc>
        <w:tc>
          <w:tcPr/>
          <w:p>
            <w:pPr>
              <w:pStyle w:val="Compact"/>
              <w:jc w:val="left"/>
            </w:pPr>
            <w:r>
              <w:t xml:space="preserve">中</w:t>
            </w:r>
          </w:p>
        </w:tc>
        <w:tc>
          <w:tcPr/>
          <w:p>
            <w:pPr>
              <w:pStyle w:val="Compact"/>
              <w:jc w:val="left"/>
            </w:pPr>
            <w:r>
              <w:t xml:space="preserve">HARMONi-6在PD-L1阴性中仍有效（HR=0.64）</w:t>
            </w:r>
            <w:r>
              <w:rPr>
                <w:vertAlign w:val="superscript"/>
              </w:rPr>
              <w:t xml:space="preserve">1</w:t>
            </w:r>
          </w:p>
        </w:tc>
      </w:tr>
      <w:tr>
        <w:tc>
          <w:tcPr/>
          <w:p>
            <w:pPr>
              <w:pStyle w:val="Compact"/>
              <w:jc w:val="left"/>
            </w:pPr>
            <w:r>
              <w:t xml:space="preserve">对照组交叉至K药</w:t>
            </w:r>
          </w:p>
        </w:tc>
        <w:tc>
          <w:tcPr/>
          <w:p>
            <w:pPr>
              <w:pStyle w:val="Compact"/>
              <w:jc w:val="left"/>
            </w:pPr>
            <w:r>
              <w:t xml:space="preserve">KEYNOTE-407交叉率50.9%</w:t>
            </w:r>
            <w:r>
              <w:rPr>
                <w:vertAlign w:val="superscript"/>
              </w:rPr>
              <w:t xml:space="preserve">7</w:t>
            </w:r>
          </w:p>
        </w:tc>
        <w:tc>
          <w:tcPr/>
          <w:p>
            <w:pPr>
              <w:pStyle w:val="Compact"/>
              <w:jc w:val="left"/>
            </w:pPr>
            <w:r>
              <w:t xml:space="preserve">+0.02（仅OS）</w:t>
            </w:r>
          </w:p>
        </w:tc>
        <w:tc>
          <w:tcPr/>
          <w:p>
            <w:pPr>
              <w:pStyle w:val="Compact"/>
              <w:jc w:val="left"/>
            </w:pPr>
            <w:r>
              <w:t xml:space="preserve">高</w:t>
            </w:r>
          </w:p>
        </w:tc>
        <w:tc>
          <w:tcPr/>
          <w:p>
            <w:pPr>
              <w:pStyle w:val="Compact"/>
              <w:jc w:val="left"/>
            </w:pPr>
            <w:r>
              <w:t xml:space="preserve">交叉稀释已被历史数据充分建模</w:t>
            </w:r>
          </w:p>
        </w:tc>
      </w:tr>
      <w:tr>
        <w:tc>
          <w:tcPr/>
          <w:p>
            <w:pPr>
              <w:pStyle w:val="Compact"/>
              <w:jc w:val="left"/>
            </w:pPr>
            <w:r>
              <w:t xml:space="preserve">K药对照略强于替雷</w:t>
            </w:r>
          </w:p>
        </w:tc>
        <w:tc>
          <w:tcPr/>
          <w:p>
            <w:pPr>
              <w:pStyle w:val="Compact"/>
              <w:jc w:val="left"/>
            </w:pPr>
            <w:r>
              <w:t xml:space="preserve">NMA PFS HR=1.04（上限1.31）</w:t>
            </w:r>
            <w:r>
              <w:rPr>
                <w:vertAlign w:val="superscript"/>
              </w:rPr>
              <w:t xml:space="preserve">2</w:t>
            </w:r>
          </w:p>
        </w:tc>
        <w:tc>
          <w:tcPr/>
          <w:p>
            <w:pPr>
              <w:pStyle w:val="Compact"/>
              <w:jc w:val="left"/>
            </w:pPr>
            <w:r>
              <w:t xml:space="preserve">+0.02</w:t>
            </w:r>
          </w:p>
        </w:tc>
        <w:tc>
          <w:tcPr/>
          <w:p>
            <w:pPr>
              <w:pStyle w:val="Compact"/>
              <w:jc w:val="left"/>
            </w:pPr>
            <w:r>
              <w:t xml:space="preserve">中</w:t>
            </w:r>
          </w:p>
        </w:tc>
        <w:tc>
          <w:tcPr/>
          <w:p>
            <w:pPr>
              <w:pStyle w:val="Compact"/>
              <w:jc w:val="left"/>
            </w:pPr>
            <w:r>
              <w:t xml:space="preserve">差异不显著，OS无差异证据</w:t>
            </w:r>
          </w:p>
        </w:tc>
      </w:tr>
      <w:tr>
        <w:tc>
          <w:tcPr/>
          <w:p>
            <w:pPr>
              <w:pStyle w:val="Compact"/>
              <w:jc w:val="left"/>
            </w:pPr>
            <w:r>
              <w:rPr>
                <w:bCs/>
                <w:b/>
              </w:rPr>
              <w:t xml:space="preserve">合计净惩罚</w:t>
            </w:r>
          </w:p>
        </w:tc>
        <w:tc>
          <w:tcPr/>
          <w:p>
            <w:pPr>
              <w:pStyle w:val="Compact"/>
              <w:jc w:val="left"/>
            </w:pPr>
            <w:r>
              <w:t xml:space="preserve">—</w:t>
            </w:r>
          </w:p>
        </w:tc>
        <w:tc>
          <w:tcPr/>
          <w:p>
            <w:pPr>
              <w:pStyle w:val="Compact"/>
              <w:jc w:val="left"/>
            </w:pPr>
            <w:r>
              <w:rPr>
                <w:bCs/>
                <w:b/>
              </w:rPr>
              <w:t xml:space="preserve">+0.11</w:t>
            </w:r>
          </w:p>
        </w:tc>
        <w:tc>
          <w:tcPr/>
          <w:p>
            <w:pPr>
              <w:pStyle w:val="Compact"/>
              <w:jc w:val="left"/>
            </w:pPr>
            <w:r>
              <w:t xml:space="preserve">—</w:t>
            </w:r>
          </w:p>
        </w:tc>
        <w:tc>
          <w:tcPr/>
          <w:p>
            <w:pPr>
              <w:pStyle w:val="Compact"/>
              <w:jc w:val="left"/>
            </w:pPr>
            <w:r>
              <w:t xml:space="preserve">—</w:t>
            </w:r>
          </w:p>
        </w:tc>
      </w:tr>
    </w:tbl>
    <w:bookmarkEnd w:id="112"/>
    <w:bookmarkStart w:id="113" w:name="可能增强疗效的因素upside-potential"/>
    <w:p>
      <w:pPr>
        <w:pStyle w:val="Heading3"/>
      </w:pPr>
      <w:r>
        <w:t xml:space="preserve">5.4.2 可能增强疗效的因素（Upside Potential）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利好因素</w:t>
            </w:r>
          </w:p>
        </w:tc>
        <w:tc>
          <w:tcPr/>
          <w:p>
            <w:pPr>
              <w:pStyle w:val="Compact"/>
              <w:jc w:val="left"/>
            </w:pPr>
            <w:r>
              <w:t xml:space="preserve">证据来源</w:t>
            </w:r>
          </w:p>
        </w:tc>
        <w:tc>
          <w:tcPr/>
          <w:p>
            <w:pPr>
              <w:pStyle w:val="Compact"/>
              <w:jc w:val="left"/>
            </w:pPr>
            <w:r>
              <w:t xml:space="preserve">估计HR收益</w:t>
            </w:r>
          </w:p>
        </w:tc>
        <w:tc>
          <w:tcPr/>
          <w:p>
            <w:pPr>
              <w:pStyle w:val="Compact"/>
              <w:jc w:val="left"/>
            </w:pPr>
            <w:r>
              <w:t xml:space="preserve">置信度</w:t>
            </w:r>
          </w:p>
        </w:tc>
      </w:tr>
      <w:tr>
        <w:tc>
          <w:tcPr/>
          <w:p>
            <w:pPr>
              <w:pStyle w:val="Compact"/>
              <w:jc w:val="left"/>
            </w:pPr>
            <w:r>
              <w:t xml:space="preserve">野生型人群（非EGFRm）</w:t>
            </w:r>
          </w:p>
        </w:tc>
        <w:tc>
          <w:tcPr/>
          <w:p>
            <w:pPr>
              <w:pStyle w:val="Compact"/>
              <w:jc w:val="left"/>
            </w:pPr>
            <w:r>
              <w:t xml:space="preserve">HARMONi-A为EGFRm，IO敏感性更低</w:t>
            </w:r>
          </w:p>
        </w:tc>
        <w:tc>
          <w:tcPr/>
          <w:p>
            <w:pPr>
              <w:pStyle w:val="Compact"/>
              <w:jc w:val="left"/>
            </w:pPr>
            <w:r>
              <w:t xml:space="preserve">−0.03</w:t>
            </w:r>
          </w:p>
        </w:tc>
        <w:tc>
          <w:tcPr/>
          <w:p>
            <w:pPr>
              <w:pStyle w:val="Compact"/>
              <w:jc w:val="left"/>
            </w:pPr>
            <w:r>
              <w:t xml:space="preserve">高</w:t>
            </w:r>
          </w:p>
        </w:tc>
      </w:tr>
      <w:tr>
        <w:tc>
          <w:tcPr/>
          <w:p>
            <w:pPr>
              <w:pStyle w:val="Compact"/>
              <w:jc w:val="left"/>
            </w:pPr>
            <w:r>
              <w:t xml:space="preserve">VEGF双抗机制在PD-L1阴性中有效</w:t>
            </w:r>
          </w:p>
        </w:tc>
        <w:tc>
          <w:tcPr/>
          <w:p>
            <w:pPr>
              <w:pStyle w:val="Compact"/>
              <w:jc w:val="left"/>
            </w:pPr>
            <w:r>
              <w:t xml:space="preserve">HARMONi-6 PD-L1&lt;1% HR=0.55</w:t>
            </w:r>
            <w:r>
              <w:rPr>
                <w:vertAlign w:val="superscript"/>
              </w:rPr>
              <w:t xml:space="preserve">1</w:t>
            </w:r>
          </w:p>
        </w:tc>
        <w:tc>
          <w:tcPr/>
          <w:p>
            <w:pPr>
              <w:pStyle w:val="Compact"/>
              <w:jc w:val="left"/>
            </w:pPr>
            <w:r>
              <w:t xml:space="preserve">−0.02</w:t>
            </w:r>
          </w:p>
        </w:tc>
        <w:tc>
          <w:tcPr/>
          <w:p>
            <w:pPr>
              <w:pStyle w:val="Compact"/>
              <w:jc w:val="left"/>
            </w:pPr>
            <w:r>
              <w:t xml:space="preserve">中</w:t>
            </w:r>
          </w:p>
        </w:tc>
      </w:tr>
      <w:tr>
        <w:tc>
          <w:tcPr/>
          <w:p>
            <w:pPr>
              <w:pStyle w:val="Compact"/>
              <w:jc w:val="left"/>
            </w:pPr>
            <w:r>
              <w:t xml:space="preserve">HARMONi-6强OS结果验证机制</w:t>
            </w:r>
          </w:p>
        </w:tc>
        <w:tc>
          <w:tcPr/>
          <w:p>
            <w:pPr>
              <w:pStyle w:val="Compact"/>
              <w:jc w:val="left"/>
            </w:pPr>
            <w:r>
              <w:t xml:space="preserve">HR=0.66, p=0.0017</w:t>
            </w:r>
            <w:r>
              <w:rPr>
                <w:vertAlign w:val="superscript"/>
              </w:rPr>
              <w:t xml:space="preserve">1</w:t>
            </w:r>
          </w:p>
        </w:tc>
        <w:tc>
          <w:tcPr/>
          <w:p>
            <w:pPr>
              <w:pStyle w:val="Compact"/>
              <w:jc w:val="left"/>
            </w:pPr>
            <w:r>
              <w:t xml:space="preserve">−0.01</w:t>
            </w:r>
          </w:p>
        </w:tc>
        <w:tc>
          <w:tcPr/>
          <w:p>
            <w:pPr>
              <w:pStyle w:val="Compact"/>
              <w:jc w:val="left"/>
            </w:pPr>
            <w:r>
              <w:t xml:space="preserve">高</w:t>
            </w:r>
          </w:p>
        </w:tc>
      </w:tr>
      <w:tr>
        <w:tc>
          <w:tcPr/>
          <w:p>
            <w:pPr>
              <w:pStyle w:val="Compact"/>
              <w:jc w:val="left"/>
            </w:pPr>
            <w:r>
              <w:t xml:space="preserve">化疗方案优化（全球中心经验）</w:t>
            </w:r>
          </w:p>
        </w:tc>
        <w:tc>
          <w:tcPr/>
          <w:p>
            <w:pPr>
              <w:pStyle w:val="Compact"/>
              <w:jc w:val="left"/>
            </w:pPr>
            <w:r>
              <w:t xml:space="preserve">假设性推断</w:t>
            </w:r>
          </w:p>
        </w:tc>
        <w:tc>
          <w:tcPr/>
          <w:p>
            <w:pPr>
              <w:pStyle w:val="Compact"/>
              <w:jc w:val="left"/>
            </w:pPr>
            <w:r>
              <w:t xml:space="preserve">−0.01</w:t>
            </w:r>
          </w:p>
        </w:tc>
        <w:tc>
          <w:tcPr/>
          <w:p>
            <w:pPr>
              <w:pStyle w:val="Compact"/>
              <w:jc w:val="left"/>
            </w:pPr>
            <w:r>
              <w:t xml:space="preserve">低</w:t>
            </w:r>
          </w:p>
        </w:tc>
      </w:tr>
      <w:tr>
        <w:tc>
          <w:tcPr/>
          <w:p>
            <w:pPr>
              <w:pStyle w:val="Compact"/>
              <w:jc w:val="left"/>
            </w:pPr>
            <w:r>
              <w:rPr>
                <w:bCs/>
                <w:b/>
              </w:rPr>
              <w:t xml:space="preserve">合计净收益</w:t>
            </w:r>
          </w:p>
        </w:tc>
        <w:tc>
          <w:tcPr/>
          <w:p>
            <w:pPr>
              <w:pStyle w:val="Compact"/>
              <w:jc w:val="left"/>
            </w:pPr>
            <w:r>
              <w:t xml:space="preserve">—</w:t>
            </w:r>
          </w:p>
        </w:tc>
        <w:tc>
          <w:tcPr/>
          <w:p>
            <w:pPr>
              <w:pStyle w:val="Compact"/>
              <w:jc w:val="left"/>
            </w:pPr>
            <w:r>
              <w:rPr>
                <w:bCs/>
                <w:b/>
              </w:rPr>
              <w:t xml:space="preserve">−0.07</w:t>
            </w:r>
          </w:p>
        </w:tc>
        <w:tc>
          <w:tcPr/>
          <w:p>
            <w:pPr>
              <w:pStyle w:val="Compact"/>
              <w:jc w:val="left"/>
            </w:pPr>
            <w:r>
              <w:t xml:space="preserve">—</w:t>
            </w:r>
          </w:p>
        </w:tc>
      </w:tr>
    </w:tbl>
    <w:bookmarkEnd w:id="113"/>
    <w:bookmarkStart w:id="114" w:name="净效应调整与情景汇总"/>
    <w:p>
      <w:pPr>
        <w:pStyle w:val="Heading3"/>
      </w:pPr>
      <w:r>
        <w:t xml:space="preserve">5.4.3 净效应调整与情景汇总</w:t>
      </w:r>
    </w:p>
    <w:p>
      <w:pPr>
        <w:pStyle w:val="FirstParagraph"/>
      </w:pPr>
      <w:r>
        <w:t xml:space="preserve">综合 upside（−0.07 HR单位）和 downside（+0.11 HR单位），</w:t>
      </w:r>
      <w:r>
        <w:rPr>
          <w:bCs/>
          <w:b/>
        </w:rPr>
        <w:t xml:space="preserve">净效应 = +0.04 HR单位</w:t>
      </w:r>
      <w:r>
        <w:t xml:space="preserve">。基准预测（HR=0.66）已部分反映这一调整，因此在保守情景中HR=0.69、悲观情景中HR=0.72的设定已纳入净效应方向。值得强调的是，downside风险中最大的单一因素是”对照组交叉至K药”（HR惩罚+0.02，仅影响OS），但KEYNOTE-407中50.9%的交叉率已被历史数据充分建模，HARMONi-3的交叉设计预期与此相近，该风险已在统计功效计算中被部分消化。</w:t>
      </w:r>
    </w:p>
    <w:p>
      <w:pPr>
        <w:pStyle w:val="BodyText"/>
      </w:pPr>
      <w:r>
        <w:rPr>
          <w:bCs/>
          <w:b/>
        </w:rPr>
        <w:t xml:space="preserve">表5-6 综合情景汇总（第10/50/90百分位）</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百分位</w:t>
            </w:r>
          </w:p>
        </w:tc>
        <w:tc>
          <w:tcPr/>
          <w:p>
            <w:pPr>
              <w:pStyle w:val="Compact"/>
              <w:jc w:val="left"/>
            </w:pPr>
            <w:r>
              <w:t xml:space="preserve">鳞癌PFS HR</w:t>
            </w:r>
          </w:p>
        </w:tc>
        <w:tc>
          <w:tcPr/>
          <w:p>
            <w:pPr>
              <w:pStyle w:val="Compact"/>
              <w:jc w:val="left"/>
            </w:pPr>
            <w:r>
              <w:t xml:space="preserve">鳞癌OS HR</w:t>
            </w:r>
          </w:p>
        </w:tc>
        <w:tc>
          <w:tcPr/>
          <w:p>
            <w:pPr>
              <w:pStyle w:val="Compact"/>
              <w:jc w:val="left"/>
            </w:pPr>
            <w:r>
              <w:t xml:space="preserve">核心假设</w:t>
            </w:r>
          </w:p>
        </w:tc>
      </w:tr>
      <w:tr>
        <w:tc>
          <w:tcPr/>
          <w:p>
            <w:pPr>
              <w:pStyle w:val="Compact"/>
              <w:jc w:val="left"/>
            </w:pPr>
            <w:r>
              <w:t xml:space="preserve">Upside（10th）</w:t>
            </w:r>
          </w:p>
        </w:tc>
        <w:tc>
          <w:tcPr/>
          <w:p>
            <w:pPr>
              <w:pStyle w:val="Compact"/>
              <w:jc w:val="left"/>
            </w:pPr>
            <w:r>
              <w:t xml:space="preserve">0.62</w:t>
            </w:r>
          </w:p>
        </w:tc>
        <w:tc>
          <w:tcPr/>
          <w:p>
            <w:pPr>
              <w:pStyle w:val="Compact"/>
              <w:jc w:val="left"/>
            </w:pPr>
            <w:r>
              <w:t xml:space="preserve">0.67</w:t>
            </w:r>
          </w:p>
        </w:tc>
        <w:tc>
          <w:tcPr/>
          <w:p>
            <w:pPr>
              <w:pStyle w:val="Compact"/>
              <w:jc w:val="left"/>
            </w:pPr>
            <w:r>
              <w:t xml:space="preserve">替雷=K药，全球人群无差异，VEGF机制完全转化</w:t>
            </w:r>
          </w:p>
        </w:tc>
      </w:tr>
      <w:tr>
        <w:tc>
          <w:tcPr/>
          <w:p>
            <w:pPr>
              <w:pStyle w:val="Compact"/>
              <w:jc w:val="left"/>
            </w:pPr>
            <w:r>
              <w:t xml:space="preserve">Base Case（50th）</w:t>
            </w:r>
          </w:p>
        </w:tc>
        <w:tc>
          <w:tcPr/>
          <w:p>
            <w:pPr>
              <w:pStyle w:val="Compact"/>
              <w:jc w:val="left"/>
            </w:pPr>
            <w:r>
              <w:t xml:space="preserve">0.66</w:t>
            </w:r>
          </w:p>
        </w:tc>
        <w:tc>
          <w:tcPr/>
          <w:p>
            <w:pPr>
              <w:pStyle w:val="Compact"/>
              <w:jc w:val="left"/>
            </w:pPr>
            <w:r>
              <w:t xml:space="preserve">0.70</w:t>
            </w:r>
          </w:p>
        </w:tc>
        <w:tc>
          <w:tcPr/>
          <w:p>
            <w:pPr>
              <w:pStyle w:val="Compact"/>
              <w:jc w:val="left"/>
            </w:pPr>
            <w:r>
              <w:t xml:space="preserve">NMA桥接，5%外推衰减，标准交叉稀释</w:t>
            </w:r>
          </w:p>
        </w:tc>
      </w:tr>
      <w:tr>
        <w:tc>
          <w:tcPr/>
          <w:p>
            <w:pPr>
              <w:pStyle w:val="Compact"/>
              <w:jc w:val="left"/>
            </w:pPr>
            <w:r>
              <w:t xml:space="preserve">Downside（90th）</w:t>
            </w:r>
          </w:p>
        </w:tc>
        <w:tc>
          <w:tcPr/>
          <w:p>
            <w:pPr>
              <w:pStyle w:val="Compact"/>
              <w:jc w:val="left"/>
            </w:pPr>
            <w:r>
              <w:t xml:space="preserve">0.72</w:t>
            </w:r>
          </w:p>
        </w:tc>
        <w:tc>
          <w:tcPr/>
          <w:p>
            <w:pPr>
              <w:pStyle w:val="Compact"/>
              <w:jc w:val="left"/>
            </w:pPr>
            <w:r>
              <w:t xml:space="preserve">0.76</w:t>
            </w:r>
          </w:p>
        </w:tc>
        <w:tc>
          <w:tcPr/>
          <w:p>
            <w:pPr>
              <w:pStyle w:val="Compact"/>
              <w:jc w:val="left"/>
            </w:pPr>
            <w:r>
              <w:t xml:space="preserve">K药显著优于替雷，西方人群大幅衰减，安全性问题</w:t>
            </w:r>
          </w:p>
        </w:tc>
      </w:tr>
    </w:tbl>
    <w:bookmarkEnd w:id="114"/>
    <w:bookmarkEnd w:id="115"/>
    <w:bookmarkStart w:id="119" w:name="时间线预测与关键催化剂"/>
    <w:p>
      <w:pPr>
        <w:pStyle w:val="Heading2"/>
      </w:pPr>
      <w:r>
        <w:t xml:space="preserve">5.5 时间线预测与关键催化剂</w:t>
      </w:r>
    </w:p>
    <w:bookmarkStart w:id="116" w:name="harmoni-3关键时间节点"/>
    <w:p>
      <w:pPr>
        <w:pStyle w:val="Heading3"/>
      </w:pPr>
      <w:r>
        <w:t xml:space="preserve">5.5.1 HARMONi-3关键时间节点</w:t>
      </w:r>
    </w:p>
    <w:p>
      <w:pPr>
        <w:pStyle w:val="FirstParagraph"/>
      </w:pPr>
      <w:r>
        <w:t xml:space="preserve">基于Summit Therapeutics公开披露和临床试验方案预设，HARMONi-3鳞癌队列的关键时间线如下：</w:t>
      </w:r>
    </w:p>
    <w:p>
      <w:pPr>
        <w:pStyle w:val="BodyText"/>
      </w:pPr>
      <w:r>
        <w:rPr>
          <w:bCs/>
          <w:b/>
        </w:rPr>
        <w:t xml:space="preserve">表5-7 HARMONi-3关键里程碑时间线</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时间</w:t>
            </w:r>
          </w:p>
        </w:tc>
        <w:tc>
          <w:tcPr/>
          <w:p>
            <w:pPr>
              <w:pStyle w:val="Compact"/>
              <w:jc w:val="left"/>
            </w:pPr>
            <w:r>
              <w:t xml:space="preserve">里程碑</w:t>
            </w:r>
          </w:p>
        </w:tc>
        <w:tc>
          <w:tcPr/>
          <w:p>
            <w:pPr>
              <w:pStyle w:val="Compact"/>
              <w:jc w:val="left"/>
            </w:pPr>
            <w:r>
              <w:t xml:space="preserve">事件类型</w:t>
            </w:r>
          </w:p>
        </w:tc>
        <w:tc>
          <w:tcPr/>
          <w:p>
            <w:pPr>
              <w:pStyle w:val="Compact"/>
              <w:jc w:val="left"/>
            </w:pPr>
            <w:r>
              <w:t xml:space="preserve">临床/投资影响</w:t>
            </w:r>
          </w:p>
        </w:tc>
      </w:tr>
      <w:tr>
        <w:tc>
          <w:tcPr/>
          <w:p>
            <w:pPr>
              <w:pStyle w:val="Compact"/>
              <w:jc w:val="left"/>
            </w:pPr>
            <w:r>
              <w:t xml:space="preserve">2026 Q1</w:t>
            </w:r>
          </w:p>
        </w:tc>
        <w:tc>
          <w:tcPr/>
          <w:p>
            <w:pPr>
              <w:pStyle w:val="Compact"/>
              <w:jc w:val="left"/>
            </w:pPr>
            <w:r>
              <w:t xml:space="preserve">鳞癌队列入组完成</w:t>
            </w:r>
          </w:p>
        </w:tc>
        <w:tc>
          <w:tcPr/>
          <w:p>
            <w:pPr>
              <w:pStyle w:val="Compact"/>
              <w:jc w:val="left"/>
            </w:pPr>
            <w:r>
              <w:t xml:space="preserve">入组</w:t>
            </w:r>
          </w:p>
        </w:tc>
        <w:tc>
          <w:tcPr/>
          <w:p>
            <w:pPr>
              <w:pStyle w:val="Compact"/>
              <w:jc w:val="left"/>
            </w:pPr>
            <w:r>
              <w:t xml:space="preserve">已确认完成，奠定事件累积基础</w:t>
            </w:r>
            <w:r>
              <w:rPr>
                <w:vertAlign w:val="superscript"/>
              </w:rPr>
              <w:t xml:space="preserve">8</w:t>
            </w:r>
          </w:p>
        </w:tc>
      </w:tr>
      <w:tr>
        <w:tc>
          <w:tcPr/>
          <w:p>
            <w:pPr>
              <w:pStyle w:val="Compact"/>
              <w:jc w:val="left"/>
            </w:pPr>
            <w:r>
              <w:t xml:space="preserve">2026 Q2</w:t>
            </w:r>
          </w:p>
        </w:tc>
        <w:tc>
          <w:tcPr/>
          <w:p>
            <w:pPr>
              <w:pStyle w:val="Compact"/>
              <w:jc w:val="left"/>
            </w:pPr>
            <w:r>
              <w:t xml:space="preserve">鳞癌PFS期中分析</w:t>
            </w:r>
          </w:p>
        </w:tc>
        <w:tc>
          <w:tcPr/>
          <w:p>
            <w:pPr>
              <w:pStyle w:val="Compact"/>
              <w:jc w:val="left"/>
            </w:pPr>
            <w:r>
              <w:t xml:space="preserve">新增</w:t>
            </w:r>
          </w:p>
        </w:tc>
        <w:tc>
          <w:tcPr/>
          <w:p>
            <w:pPr>
              <w:pStyle w:val="Compact"/>
              <w:jc w:val="left"/>
            </w:pPr>
            <w:r>
              <w:t xml:space="preserve">Summit管理层主动新增，体现对数据趋势的信心</w:t>
            </w:r>
          </w:p>
        </w:tc>
      </w:tr>
      <w:tr>
        <w:tc>
          <w:tcPr/>
          <w:p>
            <w:pPr>
              <w:pStyle w:val="Compact"/>
              <w:jc w:val="left"/>
            </w:pPr>
            <w:r>
              <w:t xml:space="preserve">2026 H2</w:t>
            </w:r>
          </w:p>
        </w:tc>
        <w:tc>
          <w:tcPr/>
          <w:p>
            <w:pPr>
              <w:pStyle w:val="Compact"/>
              <w:jc w:val="left"/>
            </w:pPr>
            <w:r>
              <w:t xml:space="preserve">鳞癌PFS最终分析</w:t>
            </w:r>
          </w:p>
        </w:tc>
        <w:tc>
          <w:tcPr/>
          <w:p>
            <w:pPr>
              <w:pStyle w:val="Compact"/>
              <w:jc w:val="left"/>
            </w:pPr>
            <w:r>
              <w:t xml:space="preserve">主要终点</w:t>
            </w:r>
          </w:p>
        </w:tc>
        <w:tc>
          <w:tcPr/>
          <w:p>
            <w:pPr>
              <w:pStyle w:val="Compact"/>
              <w:jc w:val="left"/>
            </w:pPr>
            <w:r>
              <w:t xml:space="preserve">预设事件数达到，首个全球头对头K药的1L鳞癌PFS数据</w:t>
            </w:r>
          </w:p>
        </w:tc>
      </w:tr>
      <w:tr>
        <w:tc>
          <w:tcPr/>
          <w:p>
            <w:pPr>
              <w:pStyle w:val="Compact"/>
              <w:jc w:val="left"/>
            </w:pPr>
            <w:r>
              <w:t xml:space="preserve">2026 H2</w:t>
            </w:r>
          </w:p>
        </w:tc>
        <w:tc>
          <w:tcPr/>
          <w:p>
            <w:pPr>
              <w:pStyle w:val="Compact"/>
              <w:jc w:val="left"/>
            </w:pPr>
            <w:r>
              <w:t xml:space="preserve">鳞癌OS期中分析</w:t>
            </w:r>
          </w:p>
        </w:tc>
        <w:tc>
          <w:tcPr/>
          <w:p>
            <w:pPr>
              <w:pStyle w:val="Compact"/>
              <w:jc w:val="left"/>
            </w:pPr>
            <w:r>
              <w:t xml:space="preserve">可能</w:t>
            </w:r>
          </w:p>
        </w:tc>
        <w:tc>
          <w:tcPr/>
          <w:p>
            <w:pPr>
              <w:pStyle w:val="Compact"/>
              <w:jc w:val="left"/>
            </w:pPr>
            <w:r>
              <w:t xml:space="preserve">若事件数足够，将为OS获益提供早期信号</w:t>
            </w:r>
          </w:p>
        </w:tc>
      </w:tr>
      <w:tr>
        <w:tc>
          <w:tcPr/>
          <w:p>
            <w:pPr>
              <w:pStyle w:val="Compact"/>
              <w:jc w:val="left"/>
            </w:pPr>
            <w:r>
              <w:t xml:space="preserve">2026 H2</w:t>
            </w:r>
          </w:p>
        </w:tc>
        <w:tc>
          <w:tcPr/>
          <w:p>
            <w:pPr>
              <w:pStyle w:val="Compact"/>
              <w:jc w:val="left"/>
            </w:pPr>
            <w:r>
              <w:t xml:space="preserve">非鳞癌队列入组完成</w:t>
            </w:r>
          </w:p>
        </w:tc>
        <w:tc>
          <w:tcPr/>
          <w:p>
            <w:pPr>
              <w:pStyle w:val="Compact"/>
              <w:jc w:val="left"/>
            </w:pPr>
            <w:r>
              <w:t xml:space="preserve">入组</w:t>
            </w:r>
          </w:p>
        </w:tc>
        <w:tc>
          <w:tcPr/>
          <w:p>
            <w:pPr>
              <w:pStyle w:val="Compact"/>
              <w:jc w:val="left"/>
            </w:pPr>
            <w:r>
              <w:t xml:space="preserve">预计2026下半年完成</w:t>
            </w:r>
          </w:p>
        </w:tc>
      </w:tr>
      <w:tr>
        <w:tc>
          <w:tcPr/>
          <w:p>
            <w:pPr>
              <w:pStyle w:val="Compact"/>
              <w:jc w:val="left"/>
            </w:pPr>
            <w:r>
              <w:t xml:space="preserve">2027 H1</w:t>
            </w:r>
          </w:p>
        </w:tc>
        <w:tc>
          <w:tcPr/>
          <w:p>
            <w:pPr>
              <w:pStyle w:val="Compact"/>
              <w:jc w:val="left"/>
            </w:pPr>
            <w:r>
              <w:t xml:space="preserve">非鳞癌PFS最终分析</w:t>
            </w:r>
          </w:p>
        </w:tc>
        <w:tc>
          <w:tcPr/>
          <w:p>
            <w:pPr>
              <w:pStyle w:val="Compact"/>
              <w:jc w:val="left"/>
            </w:pPr>
            <w:r>
              <w:t xml:space="preserve">主要终点</w:t>
            </w:r>
          </w:p>
        </w:tc>
        <w:tc>
          <w:tcPr/>
          <w:p>
            <w:pPr>
              <w:pStyle w:val="Compact"/>
              <w:jc w:val="left"/>
            </w:pPr>
            <w:r>
              <w:t xml:space="preserve">非鳞癌队列首个关键疗效数据读出</w:t>
            </w:r>
          </w:p>
        </w:tc>
      </w:tr>
      <w:tr>
        <w:tc>
          <w:tcPr/>
          <w:p>
            <w:pPr>
              <w:pStyle w:val="Compact"/>
              <w:jc w:val="left"/>
            </w:pPr>
            <w:r>
              <w:t xml:space="preserve">2027 H2</w:t>
            </w:r>
          </w:p>
        </w:tc>
        <w:tc>
          <w:tcPr/>
          <w:p>
            <w:pPr>
              <w:pStyle w:val="Compact"/>
              <w:jc w:val="left"/>
            </w:pPr>
            <w:r>
              <w:t xml:space="preserve">非鳞癌OS期中分析</w:t>
            </w:r>
          </w:p>
        </w:tc>
        <w:tc>
          <w:tcPr/>
          <w:p>
            <w:pPr>
              <w:pStyle w:val="Compact"/>
              <w:jc w:val="left"/>
            </w:pPr>
            <w:r>
              <w:t xml:space="preserve">可能</w:t>
            </w:r>
          </w:p>
        </w:tc>
        <w:tc>
          <w:tcPr/>
          <w:p>
            <w:pPr>
              <w:pStyle w:val="Compact"/>
              <w:jc w:val="left"/>
            </w:pPr>
            <w:r>
              <w:t xml:space="preserve">事件驱动，取决于非鳞癌队列事件累积速度</w:t>
            </w:r>
          </w:p>
        </w:tc>
      </w:tr>
      <w:tr>
        <w:tc>
          <w:tcPr/>
          <w:p>
            <w:pPr>
              <w:pStyle w:val="Compact"/>
              <w:jc w:val="left"/>
            </w:pPr>
            <w:r>
              <w:t xml:space="preserve">2027 H2–2028 H1</w:t>
            </w:r>
          </w:p>
        </w:tc>
        <w:tc>
          <w:tcPr/>
          <w:p>
            <w:pPr>
              <w:pStyle w:val="Compact"/>
              <w:jc w:val="left"/>
            </w:pPr>
            <w:r>
              <w:t xml:space="preserve">鳞癌OS最终分析</w:t>
            </w:r>
          </w:p>
        </w:tc>
        <w:tc>
          <w:tcPr/>
          <w:p>
            <w:pPr>
              <w:pStyle w:val="Compact"/>
              <w:jc w:val="left"/>
            </w:pPr>
            <w:r>
              <w:t xml:space="preserve">主要终点</w:t>
            </w:r>
          </w:p>
        </w:tc>
        <w:tc>
          <w:tcPr/>
          <w:p>
            <w:pPr>
              <w:pStyle w:val="Compact"/>
              <w:jc w:val="left"/>
            </w:pPr>
            <w:r>
              <w:t xml:space="preserve">最终成熟度，决定鳞癌OS的监管申报依据</w:t>
            </w:r>
          </w:p>
        </w:tc>
      </w:tr>
    </w:tbl>
    <w:bookmarkEnd w:id="116"/>
    <w:bookmarkStart w:id="117" w:name="年核心催化剂评估"/>
    <w:p>
      <w:pPr>
        <w:pStyle w:val="Heading3"/>
      </w:pPr>
      <w:r>
        <w:t xml:space="preserve">5.5.2 2026年核心催化剂评估</w:t>
      </w:r>
    </w:p>
    <w:p>
      <w:pPr>
        <w:pStyle w:val="FirstParagraph"/>
      </w:pPr>
      <w:r>
        <w:t xml:space="preserve">2026年是HARMONi-3价值兑现的关键窗口年：</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催化剂</w:t>
            </w:r>
          </w:p>
        </w:tc>
        <w:tc>
          <w:tcPr/>
          <w:p>
            <w:pPr>
              <w:pStyle w:val="Compact"/>
              <w:jc w:val="left"/>
            </w:pPr>
            <w:r>
              <w:t xml:space="preserve">影响评估</w:t>
            </w:r>
          </w:p>
        </w:tc>
      </w:tr>
      <w:tr>
        <w:tc>
          <w:tcPr/>
          <w:p>
            <w:pPr>
              <w:pStyle w:val="Compact"/>
              <w:jc w:val="left"/>
            </w:pPr>
            <w:r>
              <w:t xml:space="preserve">2026 Q2</w:t>
            </w:r>
          </w:p>
        </w:tc>
        <w:tc>
          <w:tcPr/>
          <w:p>
            <w:pPr>
              <w:pStyle w:val="Compact"/>
              <w:jc w:val="left"/>
            </w:pPr>
            <w:r>
              <w:t xml:space="preserve">鳞癌PFS期中分析</w:t>
            </w:r>
          </w:p>
        </w:tc>
        <w:tc>
          <w:tcPr/>
          <w:p>
            <w:pPr>
              <w:pStyle w:val="Compact"/>
              <w:jc w:val="left"/>
            </w:pPr>
            <w:r>
              <w:rPr>
                <w:bCs/>
                <w:b/>
              </w:rPr>
              <w:t xml:space="preserve">高</w:t>
            </w:r>
            <w:r>
              <w:t xml:space="preserve">——提前验证鳞癌PFS优势，若阳性将加速审批路径</w:t>
            </w:r>
          </w:p>
        </w:tc>
      </w:tr>
      <w:tr>
        <w:tc>
          <w:tcPr/>
          <w:p>
            <w:pPr>
              <w:pStyle w:val="Compact"/>
              <w:jc w:val="left"/>
            </w:pPr>
            <w:r>
              <w:t xml:space="preserve">2026 H2</w:t>
            </w:r>
          </w:p>
        </w:tc>
        <w:tc>
          <w:tcPr/>
          <w:p>
            <w:pPr>
              <w:pStyle w:val="Compact"/>
              <w:jc w:val="left"/>
            </w:pPr>
            <w:r>
              <w:t xml:space="preserve">鳞癌PFS最终分析</w:t>
            </w:r>
          </w:p>
        </w:tc>
        <w:tc>
          <w:tcPr/>
          <w:p>
            <w:pPr>
              <w:pStyle w:val="Compact"/>
              <w:jc w:val="left"/>
            </w:pPr>
            <w:r>
              <w:rPr>
                <w:bCs/>
                <w:b/>
              </w:rPr>
              <w:t xml:space="preserve">极高</w:t>
            </w:r>
            <w:r>
              <w:t xml:space="preserve">——首个AK112头对头击败K药的全球数据，决定FDA/EMA申报基础</w:t>
            </w:r>
          </w:p>
        </w:tc>
      </w:tr>
      <w:tr>
        <w:tc>
          <w:tcPr/>
          <w:p>
            <w:pPr>
              <w:pStyle w:val="Compact"/>
              <w:jc w:val="left"/>
            </w:pPr>
            <w:r>
              <w:t xml:space="preserve">2026 H2</w:t>
            </w:r>
          </w:p>
        </w:tc>
        <w:tc>
          <w:tcPr/>
          <w:p>
            <w:pPr>
              <w:pStyle w:val="Compact"/>
              <w:jc w:val="left"/>
            </w:pPr>
            <w:r>
              <w:t xml:space="preserve">鳞癌OS期中分析</w:t>
            </w:r>
          </w:p>
        </w:tc>
        <w:tc>
          <w:tcPr/>
          <w:p>
            <w:pPr>
              <w:pStyle w:val="Compact"/>
              <w:jc w:val="left"/>
            </w:pPr>
            <w:r>
              <w:rPr>
                <w:bCs/>
                <w:b/>
              </w:rPr>
              <w:t xml:space="preserve">高</w:t>
            </w:r>
            <w:r>
              <w:t xml:space="preserve">——若阳性（HR&lt;0.80, p&lt;0.05），将大幅提升市场信心</w:t>
            </w:r>
          </w:p>
        </w:tc>
      </w:tr>
      <w:tr>
        <w:tc>
          <w:tcPr/>
          <w:p>
            <w:pPr>
              <w:pStyle w:val="Compact"/>
              <w:jc w:val="left"/>
            </w:pPr>
            <w:r>
              <w:t xml:space="preserve">2026年5月</w:t>
            </w:r>
          </w:p>
        </w:tc>
        <w:tc>
          <w:tcPr/>
          <w:p>
            <w:pPr>
              <w:pStyle w:val="Compact"/>
              <w:jc w:val="left"/>
            </w:pPr>
            <w:r>
              <w:t xml:space="preserve">HARMONi-6 OS最终分析（ASCO）</w:t>
            </w:r>
          </w:p>
        </w:tc>
        <w:tc>
          <w:tcPr/>
          <w:p>
            <w:pPr>
              <w:pStyle w:val="Compact"/>
              <w:jc w:val="left"/>
            </w:pPr>
            <w:r>
              <w:rPr>
                <w:bCs/>
                <w:b/>
              </w:rPr>
              <w:t xml:space="preserve">高</w:t>
            </w:r>
            <w:r>
              <w:t xml:space="preserve">——已证实HR=0.66，为HARMONi-3鳞癌提供关键 precedential 数据</w:t>
            </w:r>
          </w:p>
        </w:tc>
      </w:tr>
      <w:tr>
        <w:tc>
          <w:tcPr/>
          <w:p>
            <w:pPr>
              <w:pStyle w:val="Compact"/>
              <w:jc w:val="left"/>
            </w:pPr>
            <w:r>
              <w:t xml:space="preserve">2026年11月</w:t>
            </w:r>
          </w:p>
        </w:tc>
        <w:tc>
          <w:tcPr/>
          <w:p>
            <w:pPr>
              <w:pStyle w:val="Compact"/>
              <w:jc w:val="left"/>
            </w:pPr>
            <w:r>
              <w:t xml:space="preserve">FDA PDUFA（HARMONi，EGFRm）</w:t>
            </w:r>
          </w:p>
        </w:tc>
        <w:tc>
          <w:tcPr/>
          <w:p>
            <w:pPr>
              <w:pStyle w:val="Compact"/>
              <w:jc w:val="left"/>
            </w:pPr>
            <w:r>
              <w:rPr>
                <w:bCs/>
                <w:b/>
              </w:rPr>
              <w:t xml:space="preserve">高</w:t>
            </w:r>
            <w:r>
              <w:t xml:space="preserve">——首个AK112全球适应症审批，验证监管路径可接受性</w:t>
            </w:r>
          </w:p>
        </w:tc>
      </w:tr>
    </w:tbl>
    <w:bookmarkEnd w:id="117"/>
    <w:bookmarkStart w:id="118" w:name="时间线不确定性分析"/>
    <w:p>
      <w:pPr>
        <w:pStyle w:val="Heading3"/>
      </w:pPr>
      <w:r>
        <w:t xml:space="preserve">5.5.3 时间线不确定性分析</w:t>
      </w:r>
    </w:p>
    <w:p>
      <w:pPr>
        <w:pStyle w:val="FirstParagraph"/>
      </w:pPr>
      <w:r>
        <w:t xml:space="preserve">HARMONi-3的时间线预测面临以下关键不确定性：</w:t>
      </w:r>
    </w:p>
    <w:p>
      <w:pPr>
        <w:numPr>
          <w:ilvl w:val="0"/>
          <w:numId w:val="1005"/>
        </w:numPr>
      </w:pPr>
      <w:r>
        <w:rPr>
          <w:bCs/>
          <w:b/>
        </w:rPr>
        <w:t xml:space="preserve">PFS期中分析敏感度</w:t>
      </w:r>
      <w:r>
        <w:t xml:space="preserve">：2026年Q2的PFS期中分析采用高度保守alpha边界，未达显著性不等于最终失败，但可能引发短期市场波动</w:t>
      </w:r>
      <w:r>
        <w:rPr>
          <w:vertAlign w:val="superscript"/>
        </w:rPr>
        <w:t xml:space="preserve">8</w:t>
      </w:r>
      <w:r>
        <w:t xml:space="preserve">。</w:t>
      </w:r>
    </w:p>
    <w:p>
      <w:pPr>
        <w:numPr>
          <w:ilvl w:val="0"/>
          <w:numId w:val="1005"/>
        </w:numPr>
      </w:pPr>
      <w:r>
        <w:rPr>
          <w:bCs/>
          <w:b/>
        </w:rPr>
        <w:t xml:space="preserve">OS事件累积速度</w:t>
      </w:r>
      <w:r>
        <w:t xml:space="preserve">：OS分析取决于死亡事件，累积速度受入组完成时间、中位OS长度、失访率等因素影响。若鳞癌队列中位OS接近27–28个月（参照HARMONi-6的27.9个月），则OS最终分析可能延迟至2027年末至2028年初。</w:t>
      </w:r>
    </w:p>
    <w:p>
      <w:pPr>
        <w:numPr>
          <w:ilvl w:val="0"/>
          <w:numId w:val="1005"/>
        </w:numPr>
      </w:pPr>
      <w:r>
        <w:rPr>
          <w:bCs/>
          <w:b/>
        </w:rPr>
        <w:t xml:space="preserve">监管申报窗口</w:t>
      </w:r>
      <w:r>
        <w:t xml:space="preserve">：若鳞癌PFS最终分析在2026年下半年达阳性，Summit可能在2026年末或2027年初向FDA提交BLA。OS数据可作为后续补充提交或更新标签的依据。</w:t>
      </w:r>
    </w:p>
    <w:p>
      <w:r>
        <w:pict>
          <v:rect style="width:0;height:1.5pt" o:hralign="center" o:hrstd="t" o:hr="t"/>
        </w:pict>
      </w:r>
    </w:p>
    <w:bookmarkEnd w:id="118"/>
    <w:bookmarkEnd w:id="119"/>
    <w:bookmarkStart w:id="120" w:name="本章核心结论"/>
    <w:p>
      <w:pPr>
        <w:pStyle w:val="Heading2"/>
      </w:pPr>
      <w:r>
        <w:t xml:space="preserve">本章核心结论</w:t>
      </w:r>
    </w:p>
    <w:p>
      <w:pPr>
        <w:pStyle w:val="FirstParagraph"/>
      </w:pPr>
      <w:r>
        <w:t xml:space="preserve">基于跨试验桥接模型、PFS-to-OS转化分析和Monte Carlo模拟，HARMONi-3疗效预测呈现以下核心图景：</w:t>
      </w:r>
    </w:p>
    <w:p>
      <w:pPr>
        <w:numPr>
          <w:ilvl w:val="0"/>
          <w:numId w:val="1006"/>
        </w:numPr>
      </w:pPr>
      <w:r>
        <w:rPr>
          <w:bCs/>
          <w:b/>
        </w:rPr>
        <w:t xml:space="preserve">鳞癌PFS</w:t>
      </w:r>
      <w:r>
        <w:t xml:space="preserve">：基准预测HR=0.66（95% CI: 0.46–0.93），成功概率约99.6%。HARMONi-6的强数据（HR=0.60）和替雷/K药等效性（NMA HR=1.04）共同支撑这一高置信度预测。</w:t>
      </w:r>
    </w:p>
    <w:p>
      <w:pPr>
        <w:numPr>
          <w:ilvl w:val="0"/>
          <w:numId w:val="1006"/>
        </w:numPr>
      </w:pPr>
      <w:r>
        <w:rPr>
          <w:bCs/>
          <w:b/>
        </w:rPr>
        <w:t xml:space="preserve">鳞癌OS</w:t>
      </w:r>
      <w:r>
        <w:t xml:space="preserve">：基准预测HR=0.70，成功概率约96%。HARMONi-6已证明PFS→OS高效转化（log-ratio=0.82），且HARMONi-3对照结构（PD-1+chemo）与HARMONi-6类似。</w:t>
      </w:r>
    </w:p>
    <w:p>
      <w:pPr>
        <w:numPr>
          <w:ilvl w:val="0"/>
          <w:numId w:val="1006"/>
        </w:numPr>
      </w:pPr>
      <w:r>
        <w:rPr>
          <w:bCs/>
          <w:b/>
        </w:rPr>
        <w:t xml:space="preserve">非鳞癌双终点</w:t>
      </w:r>
      <w:r>
        <w:t xml:space="preserve">：PFS成功概率约100%，OS成功概率约98%，但数据需等待至2027年H1，且缺乏直接头对头数据使不确定性高于鳞癌。</w:t>
      </w:r>
    </w:p>
    <w:p>
      <w:pPr>
        <w:numPr>
          <w:ilvl w:val="0"/>
          <w:numId w:val="1006"/>
        </w:numPr>
      </w:pPr>
      <w:r>
        <w:rPr>
          <w:bCs/>
          <w:b/>
        </w:rPr>
        <w:t xml:space="preserve">双终点同时成功</w:t>
      </w:r>
      <w:r>
        <w:t xml:space="preserve">：鳞癌队列约96%，非鳞癌队列约98%。若采用PFS成功后层级检验OS（hierarchical testing），OS alpha无需分割，联合成功率可能更高。</w:t>
      </w:r>
    </w:p>
    <w:p>
      <w:pPr>
        <w:numPr>
          <w:ilvl w:val="0"/>
          <w:numId w:val="1006"/>
        </w:numPr>
      </w:pPr>
      <w:r>
        <w:rPr>
          <w:bCs/>
          <w:b/>
        </w:rPr>
        <w:t xml:space="preserve">2026年核心催化</w:t>
      </w:r>
      <w:r>
        <w:t xml:space="preserve">：鳞癌PFS最终分析（2026 H2）和OS期中分析（2026 H2）是HARMONi-3价值兑现的最关键节点；HARMONi-6 OS的强阳性（HR=0.66, p=0.0017）已为鳞癌队列提供了强有力的机制验证和成功信号。</w:t>
      </w:r>
    </w:p>
    <w:p>
      <w:r>
        <w:pict>
          <v:rect style="width:0;height:1.5pt" o:hralign="center" o:hrstd="t" o:hr="t"/>
        </w:pict>
      </w:r>
    </w:p>
    <w:p>
      <w:r>
        <w:pict>
          <v:rect style="width:0;height:1.5pt" o:hralign="center" o:hrstd="t" o:hr="t"/>
        </w:pict>
      </w:r>
    </w:p>
    <w:bookmarkEnd w:id="120"/>
    <w:bookmarkEnd w:id="121"/>
    <w:bookmarkStart w:id="145" w:name="第六章-安全性评估与差异化优势"/>
    <w:p>
      <w:pPr>
        <w:pStyle w:val="Heading1"/>
      </w:pPr>
      <w:r>
        <w:t xml:space="preserve">第六章 安全性评估与差异化优势</w:t>
      </w:r>
    </w:p>
    <w:p>
      <w:pPr>
        <w:pStyle w:val="FirstParagraph"/>
      </w:pPr>
      <w:r>
        <w:t xml:space="preserve">AK112（依沃西单抗，ivonescimab）作为全球首个获批的PD-1/VEGF双特异性抗体，其安全性特征不仅决定了临床可及性，更构成了其在NSCLC治疗格局中的核心差异化优势。本章基于迄今超过2,800例患者的临床研究数据</w:t>
      </w:r>
      <w:r>
        <w:rPr>
          <w:vertAlign w:val="superscript"/>
        </w:rPr>
        <w:t xml:space="preserve">1</w:t>
      </w:r>
      <w:r>
        <w:t xml:space="preserve">，系统评估AK112从早期剂量探索到III期确证性试验的安全性演进，重点剖析其在鳞状NSCLC（sq-NSCLC）中的出血风险突破，并与PD-1单抗及历史抗VEGF治疗进行多维对比，最终对HARMONi-3全球试验的安全性表现进行预测。</w:t>
      </w:r>
    </w:p>
    <w:bookmarkStart w:id="124" w:name="ak112综合安全性数据"/>
    <w:p>
      <w:pPr>
        <w:pStyle w:val="Heading2"/>
      </w:pPr>
      <w:r>
        <w:t xml:space="preserve">6.1 AK112综合安全性数据</w:t>
      </w:r>
    </w:p>
    <w:bookmarkStart w:id="122" w:name="各阶段试验安全性演进"/>
    <w:p>
      <w:pPr>
        <w:pStyle w:val="Heading3"/>
      </w:pPr>
      <w:r>
        <w:t xml:space="preserve">6.1.1 各阶段试验安全性演进</w:t>
      </w:r>
    </w:p>
    <w:p>
      <w:pPr>
        <w:pStyle w:val="FirstParagraph"/>
      </w:pPr>
      <w:r>
        <w:t xml:space="preserve">AK112的安全性数据历经从首次人体试验到多项III期研究的系统验证，呈现出高度一致且可预测的特征。Phase 1a（澳大利亚，n=51）中MTD确定为20 mg/kg Q2W，≥3级TRAE为27.5%，未出现预期外安全信号</w:t>
      </w:r>
      <w:r>
        <w:rPr>
          <w:vertAlign w:val="superscript"/>
        </w:rPr>
        <w:t xml:space="preserve">2</w:t>
      </w:r>
      <w:r>
        <w:t xml:space="preserve">。Phase 1（中国，n=59）≥3级TRAE为23.7%，致死率为0，且显著低于阿替利珠单抗+贝伐珠单抗历史数据（45.3%），提示单分子双抗可能较两种单抗联合更安全</w:t>
      </w:r>
      <w:r>
        <w:rPr>
          <w:vertAlign w:val="superscript"/>
        </w:rPr>
        <w:t xml:space="preserve">3</w:t>
      </w:r>
      <w:r>
        <w:t xml:space="preserve">。</w:t>
      </w:r>
    </w:p>
    <w:p>
      <w:pPr>
        <w:pStyle w:val="BodyText"/>
      </w:pPr>
      <w:r>
        <w:t xml:space="preserve">III期阶段中，HARMONi-A（AK112+化疗对比安慰剂+化疗，EGFR-TKI耐药nsq-NSCLC，n=161/161）显示AK112组≥3级TRAE为54.0%，停药率5.6%，致死率0%</w:t>
      </w:r>
      <w:r>
        <w:rPr>
          <w:vertAlign w:val="superscript"/>
        </w:rPr>
        <w:t xml:space="preserve">5</w:t>
      </w:r>
      <w:r>
        <w:t xml:space="preserve">；32.5个月长期随访确认安全性profile一致，无新增信号</w:t>
      </w:r>
      <w:r>
        <w:rPr>
          <w:vertAlign w:val="superscript"/>
        </w:rPr>
        <w:t xml:space="preserve">6</w:t>
      </w:r>
      <w:r>
        <w:t xml:space="preserve">。HARMONi-2（AK112对比帕博利珠单抗，1L PD-L1+ NSCLC，n=198/200）中，AK112组≥3级TRAE为29.4%，但停药率（1.5%）甚至低于帕博利珠单抗（3.0%），致死率（0.5%）亦低于对照（1.0%），提示单药耐受性良好</w:t>
      </w:r>
      <w:r>
        <w:rPr>
          <w:vertAlign w:val="superscript"/>
        </w:rPr>
        <w:t xml:space="preserve">89</w:t>
      </w:r>
      <w:r>
        <w:t xml:space="preserve">。</w:t>
      </w:r>
    </w:p>
    <w:p>
      <w:pPr>
        <w:pStyle w:val="BodyText"/>
      </w:pPr>
      <w:r>
        <w:t xml:space="preserve">HARMONi-6（AK112+化疗对比替雷利珠单抗+化疗，1L sq-NSCLC，n=266/266）作为迄今纳入最高危出血人群的III期研究，≥3级TRAE为69.2%（对照58.9%），停药率5%，致死率4%（与对照持平）</w:t>
      </w:r>
      <w:r>
        <w:rPr>
          <w:vertAlign w:val="superscript"/>
        </w:rPr>
        <w:t xml:space="preserve">1011</w:t>
      </w:r>
      <w:r>
        <w:t xml:space="preserve">。各阶段关键安全性指标汇总如下表：</w:t>
      </w:r>
    </w:p>
    <w:p>
      <w:pPr>
        <w:pStyle w:val="BodyText"/>
      </w:pPr>
      <w:r>
        <w:rPr>
          <w:bCs/>
          <w:b/>
        </w:rPr>
        <w:t xml:space="preserve">表6-1 AK112各阶段关键安全性指标汇总</w:t>
      </w:r>
    </w:p>
    <w:tbl>
      <w:tblPr>
        <w:tblStyle w:val="Table"/>
        <w:tblW w:type="pct" w:w="5000"/>
        <w:tblLook w:firstRow="1" w:lastRow="0" w:firstColumn="0" w:lastColumn="0" w:noHBand="0" w:noVBand="0" w:val="0020"/>
        <w:jc w:val="start"/>
        <w:tblLayout w:type="fixed"/>
      </w:tblPr>
      <w:tblGrid>
        <w:gridCol w:w="913"/>
        <w:gridCol w:w="913"/>
        <w:gridCol w:w="1370"/>
        <w:gridCol w:w="1675"/>
        <w:gridCol w:w="1675"/>
        <w:gridCol w:w="1370"/>
      </w:tblGrid>
      <w:tr>
        <w:trPr>
          <w:tblHeader w:val="true"/>
        </w:trPr>
        <w:tc>
          <w:tcPr/>
          <w:p>
            <w:pPr>
              <w:pStyle w:val="Compact"/>
              <w:jc w:val="left"/>
            </w:pPr>
            <w:r>
              <w:t xml:space="preserve">试验</w:t>
            </w:r>
          </w:p>
        </w:tc>
        <w:tc>
          <w:tcPr/>
          <w:p>
            <w:pPr>
              <w:pStyle w:val="Compact"/>
              <w:jc w:val="left"/>
            </w:pPr>
            <w:r>
              <w:t xml:space="preserve">人群</w:t>
            </w:r>
          </w:p>
        </w:tc>
        <w:tc>
          <w:tcPr/>
          <w:p>
            <w:pPr>
              <w:pStyle w:val="Compact"/>
              <w:jc w:val="left"/>
            </w:pPr>
            <w:r>
              <w:t xml:space="preserve">入组规模</w:t>
            </w:r>
          </w:p>
        </w:tc>
        <w:tc>
          <w:tcPr/>
          <w:p>
            <w:pPr>
              <w:pStyle w:val="Compact"/>
              <w:jc w:val="left"/>
            </w:pPr>
            <w:r>
              <w:t xml:space="preserve">≥3级TRAE</w:t>
            </w:r>
          </w:p>
        </w:tc>
        <w:tc>
          <w:tcPr/>
          <w:p>
            <w:pPr>
              <w:pStyle w:val="Compact"/>
              <w:jc w:val="left"/>
            </w:pPr>
            <w:r>
              <w:t xml:space="preserve">因TRAE停药</w:t>
            </w:r>
          </w:p>
        </w:tc>
        <w:tc>
          <w:tcPr/>
          <w:p>
            <w:pPr>
              <w:pStyle w:val="Compact"/>
              <w:jc w:val="left"/>
            </w:pPr>
            <w:r>
              <w:t xml:space="preserve">TRAE致死</w:t>
            </w:r>
          </w:p>
        </w:tc>
      </w:tr>
      <w:tr>
        <w:tc>
          <w:tcPr/>
          <w:p>
            <w:pPr>
              <w:pStyle w:val="Compact"/>
              <w:jc w:val="left"/>
            </w:pPr>
            <w:r>
              <w:t xml:space="preserve">Phase 1a（澳大利亚）</w:t>
            </w:r>
            <w:r>
              <w:rPr>
                <w:vertAlign w:val="superscript"/>
              </w:rPr>
              <w:t xml:space="preserve">2</w:t>
            </w:r>
          </w:p>
        </w:tc>
        <w:tc>
          <w:tcPr/>
          <w:p>
            <w:pPr>
              <w:pStyle w:val="Compact"/>
              <w:jc w:val="left"/>
            </w:pPr>
            <w:r>
              <w:t xml:space="preserve">晚期实体瘤</w:t>
            </w:r>
          </w:p>
        </w:tc>
        <w:tc>
          <w:tcPr/>
          <w:p>
            <w:pPr>
              <w:pStyle w:val="Compact"/>
              <w:jc w:val="left"/>
            </w:pPr>
            <w:r>
              <w:t xml:space="preserve">51</w:t>
            </w:r>
          </w:p>
        </w:tc>
        <w:tc>
          <w:tcPr/>
          <w:p>
            <w:pPr>
              <w:pStyle w:val="Compact"/>
              <w:jc w:val="left"/>
            </w:pPr>
            <w:r>
              <w:t xml:space="preserve">27.5%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Phase 1（中国）</w:t>
            </w:r>
            <w:r>
              <w:rPr>
                <w:vertAlign w:val="superscript"/>
              </w:rPr>
              <w:t xml:space="preserve">3</w:t>
            </w:r>
          </w:p>
        </w:tc>
        <w:tc>
          <w:tcPr/>
          <w:p>
            <w:pPr>
              <w:pStyle w:val="Compact"/>
              <w:jc w:val="left"/>
            </w:pPr>
            <w:r>
              <w:t xml:space="preserve">晚期实体瘤</w:t>
            </w:r>
          </w:p>
        </w:tc>
        <w:tc>
          <w:tcPr/>
          <w:p>
            <w:pPr>
              <w:pStyle w:val="Compact"/>
              <w:jc w:val="left"/>
            </w:pPr>
            <w:r>
              <w:t xml:space="preserve">59</w:t>
            </w:r>
          </w:p>
        </w:tc>
        <w:tc>
          <w:tcPr/>
          <w:p>
            <w:pPr>
              <w:pStyle w:val="Compact"/>
              <w:jc w:val="left"/>
            </w:pPr>
            <w:r>
              <w:t xml:space="preserve">23.7%</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Phase 1b/II（AK112-202）</w:t>
            </w:r>
            <w:r>
              <w:rPr>
                <w:vertAlign w:val="superscript"/>
              </w:rPr>
              <w:t xml:space="preserve">4</w:t>
            </w:r>
          </w:p>
        </w:tc>
        <w:tc>
          <w:tcPr/>
          <w:p>
            <w:pPr>
              <w:pStyle w:val="Compact"/>
              <w:jc w:val="left"/>
            </w:pPr>
            <w:r>
              <w:t xml:space="preserve">晚期NSCLC</w:t>
            </w:r>
          </w:p>
        </w:tc>
        <w:tc>
          <w:tcPr/>
          <w:p>
            <w:pPr>
              <w:pStyle w:val="Compact"/>
              <w:jc w:val="left"/>
            </w:pPr>
            <w:r>
              <w:t xml:space="preserve">96</w:t>
            </w:r>
          </w:p>
        </w:tc>
        <w:tc>
          <w:tcPr/>
          <w:p>
            <w:pPr>
              <w:pStyle w:val="Compact"/>
              <w:jc w:val="left"/>
            </w:pPr>
            <w:r>
              <w:t xml:space="preserve">13.5%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HARMONi-A</w:t>
            </w:r>
            <w:r>
              <w:rPr>
                <w:vertAlign w:val="superscript"/>
              </w:rPr>
              <w:t xml:space="preserve">5</w:t>
            </w:r>
          </w:p>
        </w:tc>
        <w:tc>
          <w:tcPr/>
          <w:p>
            <w:pPr>
              <w:pStyle w:val="Compact"/>
              <w:jc w:val="left"/>
            </w:pPr>
            <w:r>
              <w:t xml:space="preserve">EGFR-TKI耐药nsq-NSCLC</w:t>
            </w:r>
          </w:p>
        </w:tc>
        <w:tc>
          <w:tcPr/>
          <w:p>
            <w:pPr>
              <w:pStyle w:val="Compact"/>
              <w:jc w:val="left"/>
            </w:pPr>
            <w:r>
              <w:t xml:space="preserve">161/161</w:t>
            </w:r>
          </w:p>
        </w:tc>
        <w:tc>
          <w:tcPr/>
          <w:p>
            <w:pPr>
              <w:pStyle w:val="Compact"/>
              <w:jc w:val="left"/>
            </w:pPr>
            <w:r>
              <w:t xml:space="preserve">54.0% / 42.9%</w:t>
            </w:r>
          </w:p>
        </w:tc>
        <w:tc>
          <w:tcPr/>
          <w:p>
            <w:pPr>
              <w:pStyle w:val="Compact"/>
              <w:jc w:val="left"/>
            </w:pPr>
            <w:r>
              <w:t xml:space="preserve">5.6% / 2.5%</w:t>
            </w:r>
          </w:p>
        </w:tc>
        <w:tc>
          <w:tcPr/>
          <w:p>
            <w:pPr>
              <w:pStyle w:val="Compact"/>
              <w:jc w:val="left"/>
            </w:pPr>
            <w:r>
              <w:t xml:space="preserve">0% / 0%</w:t>
            </w:r>
          </w:p>
        </w:tc>
      </w:tr>
      <w:tr>
        <w:tc>
          <w:tcPr/>
          <w:p>
            <w:pPr>
              <w:pStyle w:val="Compact"/>
              <w:jc w:val="left"/>
            </w:pPr>
            <w:r>
              <w:t xml:space="preserve">HARMONi（全球）</w:t>
            </w:r>
            <w:r>
              <w:rPr>
                <w:vertAlign w:val="superscript"/>
              </w:rPr>
              <w:t xml:space="preserve">7</w:t>
            </w:r>
          </w:p>
        </w:tc>
        <w:tc>
          <w:tcPr/>
          <w:p>
            <w:pPr>
              <w:pStyle w:val="Compact"/>
              <w:jc w:val="left"/>
            </w:pPr>
            <w:r>
              <w:t xml:space="preserve">EGFR-TKI耐药nsq-NSCLC</w:t>
            </w:r>
          </w:p>
        </w:tc>
        <w:tc>
          <w:tcPr/>
          <w:p>
            <w:pPr>
              <w:pStyle w:val="Compact"/>
              <w:jc w:val="left"/>
            </w:pPr>
            <w:r>
              <w:t xml:space="preserve">219/219</w:t>
            </w:r>
          </w:p>
        </w:tc>
        <w:tc>
          <w:tcPr/>
          <w:p>
            <w:pPr>
              <w:pStyle w:val="Compact"/>
              <w:jc w:val="left"/>
            </w:pPr>
            <w:r>
              <w:t xml:space="preserve">50.0% / 42.2%</w:t>
            </w:r>
          </w:p>
        </w:tc>
        <w:tc>
          <w:tcPr/>
          <w:p>
            <w:pPr>
              <w:pStyle w:val="Compact"/>
              <w:jc w:val="left"/>
            </w:pPr>
            <w:r>
              <w:t xml:space="preserve">7.3% / 5.0%</w:t>
            </w:r>
          </w:p>
        </w:tc>
        <w:tc>
          <w:tcPr/>
          <w:p>
            <w:pPr>
              <w:pStyle w:val="Compact"/>
              <w:jc w:val="left"/>
            </w:pPr>
            <w:r>
              <w:t xml:space="preserve">1.8% / 2.3%</w:t>
            </w:r>
          </w:p>
        </w:tc>
      </w:tr>
      <w:tr>
        <w:tc>
          <w:tcPr/>
          <w:p>
            <w:pPr>
              <w:pStyle w:val="Compact"/>
              <w:jc w:val="left"/>
            </w:pPr>
            <w:r>
              <w:t xml:space="preserve">HARMONi-2（单药）</w:t>
            </w:r>
            <w:r>
              <w:rPr>
                <w:vertAlign w:val="superscript"/>
              </w:rPr>
              <w:t xml:space="preserve">8</w:t>
            </w:r>
          </w:p>
        </w:tc>
        <w:tc>
          <w:tcPr/>
          <w:p>
            <w:pPr>
              <w:pStyle w:val="Compact"/>
              <w:jc w:val="left"/>
            </w:pPr>
            <w:r>
              <w:t xml:space="preserve">1L PD-L1+ NSCLC</w:t>
            </w:r>
          </w:p>
        </w:tc>
        <w:tc>
          <w:tcPr/>
          <w:p>
            <w:pPr>
              <w:pStyle w:val="Compact"/>
              <w:jc w:val="left"/>
            </w:pPr>
            <w:r>
              <w:t xml:space="preserve">198/200</w:t>
            </w:r>
          </w:p>
        </w:tc>
        <w:tc>
          <w:tcPr/>
          <w:p>
            <w:pPr>
              <w:pStyle w:val="Compact"/>
              <w:jc w:val="left"/>
            </w:pPr>
            <w:r>
              <w:t xml:space="preserve">29.4% / 15.6%</w:t>
            </w:r>
          </w:p>
        </w:tc>
        <w:tc>
          <w:tcPr/>
          <w:p>
            <w:pPr>
              <w:pStyle w:val="Compact"/>
              <w:jc w:val="left"/>
            </w:pPr>
            <w:r>
              <w:t xml:space="preserve">1.5% / 3.0%</w:t>
            </w:r>
          </w:p>
        </w:tc>
        <w:tc>
          <w:tcPr/>
          <w:p>
            <w:pPr>
              <w:pStyle w:val="Compact"/>
              <w:jc w:val="left"/>
            </w:pPr>
            <w:r>
              <w:t xml:space="preserve">0.5% / 1.0%</w:t>
            </w:r>
          </w:p>
        </w:tc>
      </w:tr>
      <w:tr>
        <w:tc>
          <w:tcPr/>
          <w:p>
            <w:pPr>
              <w:pStyle w:val="Compact"/>
              <w:jc w:val="left"/>
            </w:pPr>
            <w:r>
              <w:t xml:space="preserve">HARMONi-6（联合化疗）</w:t>
            </w:r>
            <w:r>
              <w:rPr>
                <w:vertAlign w:val="superscript"/>
              </w:rPr>
              <w:t xml:space="preserve">10</w:t>
            </w:r>
          </w:p>
        </w:tc>
        <w:tc>
          <w:tcPr/>
          <w:p>
            <w:pPr>
              <w:pStyle w:val="Compact"/>
              <w:jc w:val="left"/>
            </w:pPr>
            <w:r>
              <w:t xml:space="preserve">1L sq-NSCLC</w:t>
            </w:r>
          </w:p>
        </w:tc>
        <w:tc>
          <w:tcPr/>
          <w:p>
            <w:pPr>
              <w:pStyle w:val="Compact"/>
              <w:jc w:val="left"/>
            </w:pPr>
            <w:r>
              <w:t xml:space="preserve">266/266</w:t>
            </w:r>
          </w:p>
        </w:tc>
        <w:tc>
          <w:tcPr/>
          <w:p>
            <w:pPr>
              <w:pStyle w:val="Compact"/>
              <w:jc w:val="left"/>
            </w:pPr>
            <w:r>
              <w:t xml:space="preserve">69.2% / 58.9%</w:t>
            </w:r>
          </w:p>
        </w:tc>
        <w:tc>
          <w:tcPr/>
          <w:p>
            <w:pPr>
              <w:pStyle w:val="Compact"/>
              <w:jc w:val="left"/>
            </w:pPr>
            <w:r>
              <w:t xml:space="preserve">5% / 5%</w:t>
            </w:r>
          </w:p>
        </w:tc>
        <w:tc>
          <w:tcPr/>
          <w:p>
            <w:pPr>
              <w:pStyle w:val="Compact"/>
              <w:jc w:val="left"/>
            </w:pPr>
            <w:r>
              <w:t xml:space="preserve">4% / 4%</w:t>
            </w:r>
          </w:p>
        </w:tc>
      </w:tr>
    </w:tbl>
    <w:bookmarkEnd w:id="122"/>
    <w:bookmarkStart w:id="123" w:name="trae谱全景与核心发现"/>
    <w:p>
      <w:pPr>
        <w:pStyle w:val="Heading3"/>
      </w:pPr>
      <w:r>
        <w:t xml:space="preserve">6.1.2 TRAE谱全景与核心发现</w:t>
      </w:r>
    </w:p>
    <w:p>
      <w:pPr>
        <w:pStyle w:val="FirstParagraph"/>
      </w:pPr>
      <w:r>
        <w:t xml:space="preserve">基于Meta分析（5项研究，1,365例患者）</w:t>
      </w:r>
      <w:r>
        <w:rPr>
          <w:vertAlign w:val="superscript"/>
        </w:rPr>
        <w:t xml:space="preserve">12</w:t>
      </w:r>
      <w:r>
        <w:t xml:space="preserve">，AK112的AE谱呈现”单药VEGF特征、联合化疗血液学特征”的双模式。单药治疗时非血液学毒性为主：蛋白尿（24.21%）、高血压（13.29%），≥3级仅0.82%和2.07%。联合化疗时血液学毒性主要来源于化疗本底：贫血（56.6%）、中性粒细胞减少（48.9%）、血小板减少（31.6%），其中≥3级中性粒细胞减少25.5%为剂量限制毒性</w:t>
      </w:r>
      <w:r>
        <w:rPr>
          <w:vertAlign w:val="superscript"/>
        </w:rPr>
        <w:t xml:space="preserve">1213</w:t>
      </w:r>
      <w:r>
        <w:t xml:space="preserve">。这一AE谱提示，AK112自身毒性可控，联合化疗时的增量主要与化疗叠加有关，而非双靶点协同产生新毒性。</w:t>
      </w:r>
    </w:p>
    <w:bookmarkEnd w:id="123"/>
    <w:bookmarkEnd w:id="124"/>
    <w:bookmarkStart w:id="128" w:name="鳞状nsclc出血风险的历史突破"/>
    <w:p>
      <w:pPr>
        <w:pStyle w:val="Heading2"/>
      </w:pPr>
      <w:r>
        <w:t xml:space="preserve">6.2 鳞状NSCLC出血风险的历史突破</w:t>
      </w:r>
    </w:p>
    <w:bookmarkStart w:id="125" w:name="贝伐珠单抗在鳞癌中的历史失败"/>
    <w:p>
      <w:pPr>
        <w:pStyle w:val="Heading3"/>
      </w:pPr>
      <w:r>
        <w:t xml:space="preserve">6.2.1 贝伐珠单抗在鳞癌中的历史失败</w:t>
      </w:r>
    </w:p>
    <w:p>
      <w:pPr>
        <w:pStyle w:val="FirstParagraph"/>
      </w:pPr>
      <w:r>
        <w:t xml:space="preserve">VEGF抑制剂在sq-NSCLC中的出血风险是一个具有历史性监管意义的议题。贝伐珠单抗在NSCLC早期开发中，因鳞癌患者发生严重甚至致命的肺出血事件，被永久禁止用于该人群。在AVF0757g Phase II研究中，66例NSCLC患者（含鳞癌）接受贝伐+化疗，≥3级肺出血/咯血发生率高达9.0%（6/67），其中4例致命；所有6例均发生于中央型肿瘤患者，5例伴空洞/坏死，4例为鳞癌</w:t>
      </w:r>
      <w:r>
        <w:rPr>
          <w:vertAlign w:val="superscript"/>
        </w:rPr>
        <w:t xml:space="preserve">14</w:t>
      </w:r>
      <w:r>
        <w:t xml:space="preserve">。在专门面向鳞癌的AVASQ（BO19734）试验中，20例患者接受贝伐+化疗，≥3级出血率高达10%，发生1例5级致死事件，研究因此提前终止</w:t>
      </w:r>
      <w:r>
        <w:rPr>
          <w:vertAlign w:val="superscript"/>
        </w:rPr>
        <w:t xml:space="preserve">18</w:t>
      </w:r>
      <w:r>
        <w:t xml:space="preserve">。多变量分析显示，</w:t>
      </w:r>
      <w:r>
        <w:rPr>
          <w:bCs/>
          <w:b/>
        </w:rPr>
        <w:t xml:space="preserve">鳞状细胞组织学</w:t>
      </w:r>
      <w:r>
        <w:t xml:space="preserve">和</w:t>
      </w:r>
      <w:r>
        <w:rPr>
          <w:bCs/>
          <w:b/>
        </w:rPr>
        <w:t xml:space="preserve">贝伐珠单抗治疗</w:t>
      </w:r>
      <w:r>
        <w:t xml:space="preserve">是与出血统计显著相关的唯一两个变量</w:t>
      </w:r>
      <w:r>
        <w:rPr>
          <w:vertAlign w:val="superscript"/>
        </w:rPr>
        <w:t xml:space="preserve">1415</w:t>
      </w:r>
      <w:r>
        <w:t xml:space="preserve">。</w:t>
      </w:r>
    </w:p>
    <w:p>
      <w:pPr>
        <w:pStyle w:val="BodyText"/>
      </w:pPr>
      <w:r>
        <w:t xml:space="preserve">鳞癌出血风险高的机制包括：解剖位置上更常为中心型，靠近大血管和主支气管；约15%的鳞癌发生空洞，增加血管暴露风险；肿瘤易侵犯或包绕主要血管；且鳞癌可能更依赖VEGF维持血管完整性</w:t>
      </w:r>
      <w:r>
        <w:rPr>
          <w:vertAlign w:val="superscript"/>
        </w:rPr>
        <w:t xml:space="preserve">20</w:t>
      </w:r>
      <w:r>
        <w:t xml:space="preserve">。FDA明确将鳞癌列为贝伐珠单抗禁忌</w:t>
      </w:r>
      <w:r>
        <w:rPr>
          <w:vertAlign w:val="superscript"/>
        </w:rPr>
        <w:t xml:space="preserve">29</w:t>
      </w:r>
      <w:r>
        <w:t xml:space="preserve">。</w:t>
      </w:r>
    </w:p>
    <w:bookmarkEnd w:id="125"/>
    <w:bookmarkStart w:id="126" w:name="ak112在鳞癌中的安全性突破"/>
    <w:p>
      <w:pPr>
        <w:pStyle w:val="Heading3"/>
      </w:pPr>
      <w:r>
        <w:t xml:space="preserve">6.2.2 AK112在鳞癌中的安全性突破</w:t>
      </w:r>
    </w:p>
    <w:p>
      <w:pPr>
        <w:pStyle w:val="FirstParagraph"/>
      </w:pPr>
      <w:r>
        <w:t xml:space="preserve">AK112在鳞癌中的安全性数据构成了其最具临床意义的差异化特征。在HARMONi-2单药治疗的鳞癌亚组（n=90）中，</w:t>
      </w:r>
      <w:r>
        <w:rPr>
          <w:bCs/>
          <w:b/>
        </w:rPr>
        <w:t xml:space="preserve">≥3级出血为0%</w:t>
      </w:r>
      <w:r>
        <w:t xml:space="preserve">——2例Gr 3出血均发生在非鳞癌患者中</w:t>
      </w:r>
      <w:r>
        <w:rPr>
          <w:vertAlign w:val="superscript"/>
        </w:rPr>
        <w:t xml:space="preserve">9</w:t>
      </w:r>
      <w:r>
        <w:t xml:space="preserve">。该亚组67.4%为中央型肿瘤，8.8%存在空洞/坏死，3.9%肿瘤包绕重要血管，均未发生≥3级出血</w:t>
      </w:r>
      <w:r>
        <w:rPr>
          <w:vertAlign w:val="superscript"/>
        </w:rPr>
        <w:t xml:space="preserve">21</w:t>
      </w:r>
      <w:r>
        <w:t xml:space="preserve">。</w:t>
      </w:r>
    </w:p>
    <w:p>
      <w:pPr>
        <w:pStyle w:val="BodyText"/>
      </w:pPr>
      <w:r>
        <w:t xml:space="preserve">HARMONi-6中，这一安全性特征在真实世界最高危人群中得到了进一步验证。该研究纳入63%中央型鳞癌、31%有咯血史、9%肿瘤空洞、18%大血管包绕的患者，但AK112组≥3级出血仅为2.6%，对照组0.8%</w:t>
      </w:r>
      <w:r>
        <w:rPr>
          <w:vertAlign w:val="superscript"/>
        </w:rPr>
        <w:t xml:space="preserve">1019</w:t>
      </w:r>
      <w:r>
        <w:t xml:space="preserve">。</w:t>
      </w:r>
    </w:p>
    <w:p>
      <w:pPr>
        <w:pStyle w:val="BodyText"/>
      </w:pPr>
      <w:r>
        <w:rPr>
          <w:bCs/>
          <w:b/>
        </w:rPr>
        <w:t xml:space="preserve">表6-2 贝伐珠单抗 vs AK112在鳞癌中出血风险对比</w:t>
      </w:r>
    </w:p>
    <w:tbl>
      <w:tblPr>
        <w:tblStyle w:val="Table"/>
        <w:tblW w:type="pct" w:w="5000"/>
        <w:tblLook w:firstRow="1" w:lastRow="0" w:firstColumn="0" w:lastColumn="0" w:noHBand="0" w:noVBand="0" w:val="0020"/>
        <w:jc w:val="start"/>
        <w:tblLayout w:type="fixed"/>
      </w:tblPr>
      <w:tblGrid>
        <w:gridCol w:w="1760"/>
        <w:gridCol w:w="1584"/>
        <w:gridCol w:w="1584"/>
        <w:gridCol w:w="1936"/>
        <w:gridCol w:w="1056"/>
      </w:tblGrid>
      <w:tr>
        <w:trPr>
          <w:tblHeader w:val="true"/>
        </w:trPr>
        <w:tc>
          <w:tcPr/>
          <w:p>
            <w:pPr>
              <w:pStyle w:val="Compact"/>
              <w:jc w:val="left"/>
            </w:pPr>
            <w:r>
              <w:t xml:space="preserve">试验/药物</w:t>
            </w:r>
          </w:p>
        </w:tc>
        <w:tc>
          <w:tcPr/>
          <w:p>
            <w:pPr>
              <w:pStyle w:val="Compact"/>
              <w:jc w:val="left"/>
            </w:pPr>
            <w:r>
              <w:t xml:space="preserve">人群特征</w:t>
            </w:r>
          </w:p>
        </w:tc>
        <w:tc>
          <w:tcPr/>
          <w:p>
            <w:pPr>
              <w:pStyle w:val="Compact"/>
              <w:jc w:val="left"/>
            </w:pPr>
            <w:r>
              <w:t xml:space="preserve">≥3级出血</w:t>
            </w:r>
          </w:p>
        </w:tc>
        <w:tc>
          <w:tcPr/>
          <w:p>
            <w:pPr>
              <w:pStyle w:val="Compact"/>
              <w:jc w:val="left"/>
            </w:pPr>
            <w:r>
              <w:t xml:space="preserve">致命性出血</w:t>
            </w:r>
          </w:p>
        </w:tc>
        <w:tc>
          <w:tcPr/>
          <w:p>
            <w:pPr>
              <w:pStyle w:val="Compact"/>
              <w:jc w:val="left"/>
            </w:pPr>
            <w:r>
              <w:t xml:space="preserve">备注</w:t>
            </w:r>
          </w:p>
        </w:tc>
      </w:tr>
      <w:tr>
        <w:tc>
          <w:tcPr/>
          <w:p>
            <w:pPr>
              <w:pStyle w:val="Compact"/>
              <w:jc w:val="left"/>
            </w:pPr>
            <w:r>
              <w:t xml:space="preserve">AVF0757g（贝伐）</w:t>
            </w:r>
            <w:r>
              <w:rPr>
                <w:vertAlign w:val="superscript"/>
              </w:rPr>
              <w:t xml:space="preserve">14</w:t>
            </w:r>
          </w:p>
        </w:tc>
        <w:tc>
          <w:tcPr/>
          <w:p>
            <w:pPr>
              <w:pStyle w:val="Compact"/>
              <w:jc w:val="left"/>
            </w:pPr>
            <w:r>
              <w:t xml:space="preserve">混合NSCLC（含鳞癌）</w:t>
            </w:r>
          </w:p>
        </w:tc>
        <w:tc>
          <w:tcPr/>
          <w:p>
            <w:pPr>
              <w:pStyle w:val="Compact"/>
              <w:jc w:val="left"/>
            </w:pPr>
            <w:r>
              <w:t xml:space="preserve">9.0%</w:t>
            </w:r>
          </w:p>
        </w:tc>
        <w:tc>
          <w:tcPr/>
          <w:p>
            <w:pPr>
              <w:pStyle w:val="Compact"/>
              <w:jc w:val="left"/>
            </w:pPr>
            <w:r>
              <w:t xml:space="preserve">6%</w:t>
            </w:r>
          </w:p>
        </w:tc>
        <w:tc>
          <w:tcPr/>
          <w:p>
            <w:pPr>
              <w:pStyle w:val="Compact"/>
              <w:jc w:val="left"/>
            </w:pPr>
            <w:r>
              <w:t xml:space="preserve">早期Phase II</w:t>
            </w:r>
          </w:p>
        </w:tc>
      </w:tr>
      <w:tr>
        <w:tc>
          <w:tcPr/>
          <w:p>
            <w:pPr>
              <w:pStyle w:val="Compact"/>
              <w:jc w:val="left"/>
            </w:pPr>
            <w:r>
              <w:t xml:space="preserve">AVASQ（贝伐）</w:t>
            </w:r>
            <w:r>
              <w:rPr>
                <w:vertAlign w:val="superscript"/>
              </w:rPr>
              <w:t xml:space="preserve">18</w:t>
            </w:r>
          </w:p>
        </w:tc>
        <w:tc>
          <w:tcPr/>
          <w:p>
            <w:pPr>
              <w:pStyle w:val="Compact"/>
              <w:jc w:val="left"/>
            </w:pPr>
            <w:r>
              <w:t xml:space="preserve">专门鳞癌</w:t>
            </w:r>
          </w:p>
        </w:tc>
        <w:tc>
          <w:tcPr/>
          <w:p>
            <w:pPr>
              <w:pStyle w:val="Compact"/>
              <w:jc w:val="left"/>
            </w:pPr>
            <w:r>
              <w:t xml:space="preserve">10%</w:t>
            </w:r>
          </w:p>
        </w:tc>
        <w:tc>
          <w:tcPr/>
          <w:p>
            <w:pPr>
              <w:pStyle w:val="Compact"/>
              <w:jc w:val="left"/>
            </w:pPr>
            <w:r>
              <w:t xml:space="preserve">有</w:t>
            </w:r>
          </w:p>
        </w:tc>
        <w:tc>
          <w:tcPr/>
          <w:p>
            <w:pPr>
              <w:pStyle w:val="Compact"/>
              <w:jc w:val="left"/>
            </w:pPr>
            <w:r>
              <w:t xml:space="preserve">研究提前终止</w:t>
            </w:r>
          </w:p>
        </w:tc>
      </w:tr>
      <w:tr>
        <w:tc>
          <w:tcPr/>
          <w:p>
            <w:pPr>
              <w:pStyle w:val="Compact"/>
              <w:jc w:val="left"/>
            </w:pPr>
            <w:r>
              <w:t xml:space="preserve">BRIDGE（贝伐）</w:t>
            </w:r>
            <w:r>
              <w:rPr>
                <w:vertAlign w:val="superscript"/>
              </w:rPr>
              <w:t xml:space="preserve">19</w:t>
            </w:r>
          </w:p>
        </w:tc>
        <w:tc>
          <w:tcPr/>
          <w:p>
            <w:pPr>
              <w:pStyle w:val="Compact"/>
              <w:jc w:val="left"/>
            </w:pPr>
            <w:r>
              <w:t xml:space="preserve">鳞癌（排除空洞/咯血）</w:t>
            </w:r>
          </w:p>
        </w:tc>
        <w:tc>
          <w:tcPr/>
          <w:p>
            <w:pPr>
              <w:pStyle w:val="Compact"/>
              <w:jc w:val="left"/>
            </w:pPr>
            <w:r>
              <w:t xml:space="preserve">3.2%</w:t>
            </w:r>
          </w:p>
        </w:tc>
        <w:tc>
          <w:tcPr/>
          <w:p>
            <w:pPr>
              <w:pStyle w:val="Compact"/>
              <w:jc w:val="left"/>
            </w:pPr>
            <w:r>
              <w:t xml:space="preserve">0</w:t>
            </w:r>
          </w:p>
        </w:tc>
        <w:tc>
          <w:tcPr/>
          <w:p>
            <w:pPr>
              <w:pStyle w:val="Compact"/>
              <w:jc w:val="left"/>
            </w:pPr>
            <w:r>
              <w:t xml:space="preserve">严格筛选后仍存风险</w:t>
            </w:r>
          </w:p>
        </w:tc>
      </w:tr>
      <w:tr>
        <w:tc>
          <w:tcPr/>
          <w:p>
            <w:pPr>
              <w:pStyle w:val="Compact"/>
              <w:jc w:val="left"/>
            </w:pPr>
            <w:r>
              <w:t xml:space="preserve">HARMONi-2（AK112单药）</w:t>
            </w:r>
            <w:r>
              <w:rPr>
                <w:vertAlign w:val="superscript"/>
              </w:rPr>
              <w:t xml:space="preserve">9</w:t>
            </w:r>
          </w:p>
        </w:tc>
        <w:tc>
          <w:tcPr/>
          <w:p>
            <w:pPr>
              <w:pStyle w:val="Compact"/>
              <w:jc w:val="left"/>
            </w:pPr>
            <w:r>
              <w:t xml:space="preserve">鳞癌亚组（67%中央型）</w:t>
            </w:r>
          </w:p>
        </w:tc>
        <w:tc>
          <w:tcPr/>
          <w:p>
            <w:pPr>
              <w:pStyle w:val="Compact"/>
              <w:jc w:val="left"/>
            </w:pPr>
            <w:r>
              <w:rPr>
                <w:bCs/>
                <w:b/>
              </w:rPr>
              <w:t xml:space="preserve">0%</w:t>
            </w:r>
          </w:p>
        </w:tc>
        <w:tc>
          <w:tcPr/>
          <w:p>
            <w:pPr>
              <w:pStyle w:val="Compact"/>
              <w:jc w:val="left"/>
            </w:pPr>
            <w:r>
              <w:t xml:space="preserve">0</w:t>
            </w:r>
          </w:p>
        </w:tc>
        <w:tc>
          <w:tcPr/>
          <w:p>
            <w:pPr>
              <w:pStyle w:val="Compact"/>
              <w:jc w:val="left"/>
            </w:pPr>
            <w:r>
              <w:t xml:space="preserve">单药治疗</w:t>
            </w:r>
          </w:p>
        </w:tc>
      </w:tr>
      <w:tr>
        <w:tc>
          <w:tcPr/>
          <w:p>
            <w:pPr>
              <w:pStyle w:val="Compact"/>
              <w:jc w:val="left"/>
            </w:pPr>
            <w:r>
              <w:t xml:space="preserve">HARMONi-6（AK112+化疗）</w:t>
            </w:r>
            <w:r>
              <w:rPr>
                <w:vertAlign w:val="superscript"/>
              </w:rPr>
              <w:t xml:space="preserve">10</w:t>
            </w:r>
          </w:p>
        </w:tc>
        <w:tc>
          <w:tcPr/>
          <w:p>
            <w:pPr>
              <w:pStyle w:val="Compact"/>
              <w:jc w:val="left"/>
            </w:pPr>
            <w:r>
              <w:t xml:space="preserve">鳞癌（63%中央型，31%咯血史）</w:t>
            </w:r>
          </w:p>
        </w:tc>
        <w:tc>
          <w:tcPr/>
          <w:p>
            <w:pPr>
              <w:pStyle w:val="Compact"/>
              <w:jc w:val="left"/>
            </w:pPr>
            <w:r>
              <w:rPr>
                <w:bCs/>
                <w:b/>
              </w:rPr>
              <w:t xml:space="preserve">2.6%</w:t>
            </w:r>
          </w:p>
        </w:tc>
        <w:tc>
          <w:tcPr/>
          <w:p>
            <w:pPr>
              <w:pStyle w:val="Compact"/>
              <w:jc w:val="left"/>
            </w:pPr>
            <w:r>
              <w:t xml:space="preserve">极低</w:t>
            </w:r>
          </w:p>
        </w:tc>
        <w:tc>
          <w:tcPr/>
          <w:p>
            <w:pPr>
              <w:pStyle w:val="Compact"/>
              <w:jc w:val="left"/>
            </w:pPr>
            <w:r>
              <w:t xml:space="preserve">联合化疗</w:t>
            </w:r>
          </w:p>
        </w:tc>
      </w:tr>
    </w:tbl>
    <w:p>
      <w:pPr>
        <w:pStyle w:val="BodyText"/>
      </w:pPr>
      <w:r>
        <w:t xml:space="preserve">AK112在鳞癌中的≥3级出血率（0-2.6%）较贝伐珠单抗历史数据（9-10%）降低约5倍，意味着</w:t>
      </w:r>
      <w:r>
        <w:rPr>
          <w:bCs/>
          <w:b/>
        </w:rPr>
        <w:t xml:space="preserve">中央型鳞癌不再是抗VEGF治疗的绝对禁忌</w:t>
      </w:r>
      <w:r>
        <w:t xml:space="preserve">，在NSCLC治疗史上具有范式转移意义</w:t>
      </w:r>
      <w:r>
        <w:rPr>
          <w:vertAlign w:val="superscript"/>
        </w:rPr>
        <w:t xml:space="preserve">19</w:t>
      </w:r>
      <w:r>
        <w:t xml:space="preserve">。</w:t>
      </w:r>
    </w:p>
    <w:bookmarkEnd w:id="126"/>
    <w:bookmarkStart w:id="127" w:name="机制解释为何ak112能在鳞癌中安全使用"/>
    <w:p>
      <w:pPr>
        <w:pStyle w:val="Heading3"/>
      </w:pPr>
      <w:r>
        <w:t xml:space="preserve">6.2.3 机制解释：为何AK112能在鳞癌中安全使用</w:t>
      </w:r>
    </w:p>
    <w:p>
      <w:pPr>
        <w:pStyle w:val="FirstParagraph"/>
      </w:pPr>
      <w:r>
        <w:t xml:space="preserve">AK112与贝伐珠单抗在鳞癌中安全性差异的分子机制可从三个层面解释。第一，</w:t>
      </w:r>
      <w:r>
        <w:rPr>
          <w:bCs/>
          <w:b/>
        </w:rPr>
        <w:t xml:space="preserve">Fc-silencing设计（L234A/L235A）</w:t>
      </w:r>
      <w:r>
        <w:t xml:space="preserve">：AK112消除了FcγRI/IIIa结合能力，去除ADCC、CDC、ADCP等效应</w:t>
      </w:r>
      <w:r>
        <w:rPr>
          <w:vertAlign w:val="superscript"/>
        </w:rPr>
        <w:t xml:space="preserve">2223</w:t>
      </w:r>
      <w:r>
        <w:t xml:space="preserve">。贝伐珠单抗Fc完整，可能通过ADCP破坏血管内皮完整性，而AK112避免了这种额外损伤。第二，</w:t>
      </w:r>
      <w:r>
        <w:rPr>
          <w:bCs/>
          <w:b/>
        </w:rPr>
        <w:t xml:space="preserve">四价结构与协同结合</w:t>
      </w:r>
      <w:r>
        <w:t xml:space="preserve">：AK112在肿瘤微环境（TME）中富集，正常组织暴露较低</w:t>
      </w:r>
      <w:r>
        <w:rPr>
          <w:vertAlign w:val="superscript"/>
        </w:rPr>
        <w:t xml:space="preserve">24</w:t>
      </w:r>
      <w:r>
        <w:t xml:space="preserve">，减少了抗VEGF效应在健康血管中的强度。第三，</w:t>
      </w:r>
      <w:r>
        <w:rPr>
          <w:bCs/>
          <w:b/>
        </w:rPr>
        <w:t xml:space="preserve">半衰期与暴露</w:t>
      </w:r>
      <w:r>
        <w:t xml:space="preserve">：AK112半衰期约6-7天，较贝伐珠单抗（约20天）更短，允许更灵活的毒性管理</w:t>
      </w:r>
      <w:r>
        <w:rPr>
          <w:vertAlign w:val="superscript"/>
        </w:rPr>
        <w:t xml:space="preserve">7</w:t>
      </w:r>
      <w:r>
        <w:t xml:space="preserve">。</w:t>
      </w:r>
    </w:p>
    <w:bookmarkEnd w:id="127"/>
    <w:bookmarkEnd w:id="128"/>
    <w:bookmarkStart w:id="132" w:name="vegf相关ae与irae对比"/>
    <w:p>
      <w:pPr>
        <w:pStyle w:val="Heading2"/>
      </w:pPr>
      <w:r>
        <w:t xml:space="preserve">6.3 VEGF相关AE与irAE对比</w:t>
      </w:r>
    </w:p>
    <w:bookmarkStart w:id="129" w:name="vegf相关ae谱"/>
    <w:p>
      <w:pPr>
        <w:pStyle w:val="Heading3"/>
      </w:pPr>
      <w:r>
        <w:t xml:space="preserve">6.3.1 VEGF相关AE谱</w:t>
      </w:r>
    </w:p>
    <w:p>
      <w:pPr>
        <w:pStyle w:val="FirstParagraph"/>
      </w:pPr>
      <w:r>
        <w:t xml:space="preserve">AK112的VEGF相关AE发生率与预期一致，严重程度多为1-2级，临床可管理。</w:t>
      </w:r>
      <w:r>
        <w:rPr>
          <w:bCs/>
          <w:b/>
        </w:rPr>
        <w:t xml:space="preserve">蛋白尿</w:t>
      </w:r>
      <w:r>
        <w:t xml:space="preserve">：HARMONi-2单药任何级别31.5%，≥3级3.0%；Meta分析任何级别24.21%，≥3级仅0.82%</w:t>
      </w:r>
      <w:r>
        <w:rPr>
          <w:vertAlign w:val="superscript"/>
        </w:rPr>
        <w:t xml:space="preserve">12</w:t>
      </w:r>
      <w:r>
        <w:t xml:space="preserve">，Gr 1-2通常无需停药，Gr 3需暂停并评估</w:t>
      </w:r>
      <w:r>
        <w:rPr>
          <w:vertAlign w:val="superscript"/>
        </w:rPr>
        <w:t xml:space="preserve">13</w:t>
      </w:r>
      <w:r>
        <w:t xml:space="preserve">。</w:t>
      </w:r>
      <w:r>
        <w:rPr>
          <w:bCs/>
          <w:b/>
        </w:rPr>
        <w:t xml:space="preserve">高血压</w:t>
      </w:r>
      <w:r>
        <w:t xml:space="preserve">：HARMONi-2单药任何级别15.7%，≥3级5.1%；Meta分析任何级别13.29%，≥3级2.07%</w:t>
      </w:r>
      <w:r>
        <w:rPr>
          <w:vertAlign w:val="superscript"/>
        </w:rPr>
        <w:t xml:space="preserve">12</w:t>
      </w:r>
      <w:r>
        <w:t xml:space="preserve">。</w:t>
      </w:r>
      <w:r>
        <w:rPr>
          <w:bCs/>
          <w:b/>
        </w:rPr>
        <w:t xml:space="preserve">血栓栓塞</w:t>
      </w:r>
      <w:r>
        <w:t xml:space="preserve">：HARMONi-2中动脉血栓1.0%，静脉血栓0%，与帕博利珠单抗相当</w:t>
      </w:r>
      <w:r>
        <w:rPr>
          <w:vertAlign w:val="superscript"/>
        </w:rPr>
        <w:t xml:space="preserve">8</w:t>
      </w:r>
      <w:r>
        <w:t xml:space="preserve">。与贝伐珠单抗在NSCLC中Gr 3-4静脉血栓发生率约15%的历史数据相比，AK112血栓风险显著更低</w:t>
      </w:r>
      <w:r>
        <w:rPr>
          <w:vertAlign w:val="superscript"/>
        </w:rPr>
        <w:t xml:space="preserve">17</w:t>
      </w:r>
      <w:r>
        <w:t xml:space="preserve">。</w:t>
      </w:r>
    </w:p>
    <w:p>
      <w:pPr>
        <w:pStyle w:val="BodyText"/>
      </w:pPr>
      <w:r>
        <w:rPr>
          <w:bCs/>
          <w:b/>
        </w:rPr>
        <w:t xml:space="preserve">表6-3 AK112 VEGF相关AE与竞品/历史对照对比</w:t>
      </w:r>
    </w:p>
    <w:tbl>
      <w:tblPr>
        <w:tblStyle w:val="Table"/>
        <w:tblW w:type="pct" w:w="5000"/>
        <w:tblLook w:firstRow="1" w:lastRow="0" w:firstColumn="0" w:lastColumn="0" w:noHBand="0" w:noVBand="0" w:val="0020"/>
        <w:jc w:val="start"/>
        <w:tblLayout w:type="fixed"/>
      </w:tblPr>
      <w:tblGrid>
        <w:gridCol w:w="1152"/>
        <w:gridCol w:w="1440"/>
        <w:gridCol w:w="1584"/>
        <w:gridCol w:w="2448"/>
        <w:gridCol w:w="1296"/>
      </w:tblGrid>
      <w:tr>
        <w:trPr>
          <w:tblHeader w:val="true"/>
        </w:trPr>
        <w:tc>
          <w:tcPr/>
          <w:p>
            <w:pPr>
              <w:pStyle w:val="Compact"/>
              <w:jc w:val="left"/>
            </w:pPr>
            <w:r>
              <w:t xml:space="preserve">AE类别</w:t>
            </w:r>
          </w:p>
        </w:tc>
        <w:tc>
          <w:tcPr/>
          <w:p>
            <w:pPr>
              <w:pStyle w:val="Compact"/>
              <w:jc w:val="left"/>
            </w:pPr>
            <w:r>
              <w:t xml:space="preserve">AK112单药</w:t>
            </w:r>
          </w:p>
        </w:tc>
        <w:tc>
          <w:tcPr/>
          <w:p>
            <w:pPr>
              <w:pStyle w:val="Compact"/>
              <w:jc w:val="left"/>
            </w:pPr>
            <w:r>
              <w:t xml:space="preserve">AK112+化疗</w:t>
            </w:r>
          </w:p>
        </w:tc>
        <w:tc>
          <w:tcPr/>
          <w:p>
            <w:pPr>
              <w:pStyle w:val="Compact"/>
              <w:jc w:val="left"/>
            </w:pPr>
            <w:r>
              <w:t xml:space="preserve">贝伐珠单抗（历史）</w:t>
            </w:r>
          </w:p>
        </w:tc>
        <w:tc>
          <w:tcPr/>
          <w:p>
            <w:pPr>
              <w:pStyle w:val="Compact"/>
              <w:jc w:val="left"/>
            </w:pPr>
            <w:r>
              <w:t xml:space="preserve">管理要点</w:t>
            </w:r>
          </w:p>
        </w:tc>
      </w:tr>
      <w:tr>
        <w:tc>
          <w:tcPr/>
          <w:p>
            <w:pPr>
              <w:pStyle w:val="Compact"/>
              <w:jc w:val="left"/>
            </w:pPr>
            <w:r>
              <w:t xml:space="preserve">蛋白尿（任何/≥3级）</w:t>
            </w:r>
          </w:p>
        </w:tc>
        <w:tc>
          <w:tcPr/>
          <w:p>
            <w:pPr>
              <w:pStyle w:val="Compact"/>
              <w:jc w:val="left"/>
            </w:pPr>
            <w:r>
              <w:t xml:space="preserve">24-32% / 0.8-3%</w:t>
            </w:r>
            <w:r>
              <w:rPr>
                <w:vertAlign w:val="superscript"/>
              </w:rPr>
              <w:t xml:space="preserve">12</w:t>
            </w:r>
          </w:p>
        </w:tc>
        <w:tc>
          <w:tcPr/>
          <w:p>
            <w:pPr>
              <w:pStyle w:val="Compact"/>
              <w:jc w:val="left"/>
            </w:pPr>
            <w:r>
              <w:t xml:space="preserve">类似或略低</w:t>
            </w:r>
          </w:p>
        </w:tc>
        <w:tc>
          <w:tcPr/>
          <w:p>
            <w:pPr>
              <w:pStyle w:val="Compact"/>
              <w:jc w:val="left"/>
            </w:pPr>
            <w:r>
              <w:t xml:space="preserve">3-20% / 约5%</w:t>
            </w:r>
          </w:p>
        </w:tc>
        <w:tc>
          <w:tcPr/>
          <w:p>
            <w:pPr>
              <w:pStyle w:val="Compact"/>
              <w:jc w:val="left"/>
            </w:pPr>
            <w:r>
              <w:t xml:space="preserve">监测尿常规，多为1-2级</w:t>
            </w:r>
          </w:p>
        </w:tc>
      </w:tr>
      <w:tr>
        <w:tc>
          <w:tcPr/>
          <w:p>
            <w:pPr>
              <w:pStyle w:val="Compact"/>
              <w:jc w:val="left"/>
            </w:pPr>
            <w:r>
              <w:t xml:space="preserve">高血压（任何/≥3级）</w:t>
            </w:r>
          </w:p>
        </w:tc>
        <w:tc>
          <w:tcPr/>
          <w:p>
            <w:pPr>
              <w:pStyle w:val="Compact"/>
              <w:jc w:val="left"/>
            </w:pPr>
            <w:r>
              <w:t xml:space="preserve">13-16% / 2-5%</w:t>
            </w:r>
            <w:r>
              <w:rPr>
                <w:vertAlign w:val="superscript"/>
              </w:rPr>
              <w:t xml:space="preserve">12</w:t>
            </w:r>
          </w:p>
        </w:tc>
        <w:tc>
          <w:tcPr/>
          <w:p>
            <w:pPr>
              <w:pStyle w:val="Compact"/>
              <w:jc w:val="left"/>
            </w:pPr>
            <w:r>
              <w:t xml:space="preserve">类似</w:t>
            </w:r>
          </w:p>
        </w:tc>
        <w:tc>
          <w:tcPr/>
          <w:p>
            <w:pPr>
              <w:pStyle w:val="Compact"/>
              <w:jc w:val="left"/>
            </w:pPr>
            <w:r>
              <w:t xml:space="preserve">8-31% / 5-10%</w:t>
            </w:r>
          </w:p>
        </w:tc>
        <w:tc>
          <w:tcPr/>
          <w:p>
            <w:pPr>
              <w:pStyle w:val="Compact"/>
              <w:jc w:val="left"/>
            </w:pPr>
            <w:r>
              <w:t xml:space="preserve">标准降压治疗</w:t>
            </w:r>
          </w:p>
        </w:tc>
      </w:tr>
      <w:tr>
        <w:tc>
          <w:tcPr/>
          <w:p>
            <w:pPr>
              <w:pStyle w:val="Compact"/>
              <w:jc w:val="left"/>
            </w:pPr>
            <w:r>
              <w:t xml:space="preserve">出血（≥3级，鳞癌）</w:t>
            </w:r>
          </w:p>
        </w:tc>
        <w:tc>
          <w:tcPr/>
          <w:p>
            <w:pPr>
              <w:pStyle w:val="Compact"/>
              <w:jc w:val="left"/>
            </w:pPr>
            <w:r>
              <w:t xml:space="preserve">0%（H2）/ 2.6%（H6）</w:t>
            </w:r>
            <w:r>
              <w:rPr>
                <w:vertAlign w:val="superscript"/>
              </w:rPr>
              <w:t xml:space="preserve">910</w:t>
            </w:r>
          </w:p>
        </w:tc>
        <w:tc>
          <w:tcPr/>
          <w:p>
            <w:pPr>
              <w:pStyle w:val="Compact"/>
              <w:jc w:val="left"/>
            </w:pPr>
            <w:r>
              <w:t xml:space="preserve">2-3%</w:t>
            </w:r>
          </w:p>
        </w:tc>
        <w:tc>
          <w:tcPr/>
          <w:p>
            <w:pPr>
              <w:pStyle w:val="Compact"/>
              <w:jc w:val="left"/>
            </w:pPr>
            <w:r>
              <w:t xml:space="preserve">9-10%（鳞癌禁忌）</w:t>
            </w:r>
          </w:p>
        </w:tc>
        <w:tc>
          <w:tcPr/>
          <w:p>
            <w:pPr>
              <w:pStyle w:val="Compact"/>
              <w:jc w:val="left"/>
            </w:pPr>
            <w:r>
              <w:t xml:space="preserve">高危患者谨慎使用</w:t>
            </w:r>
          </w:p>
        </w:tc>
      </w:tr>
      <w:tr>
        <w:tc>
          <w:tcPr/>
          <w:p>
            <w:pPr>
              <w:pStyle w:val="Compact"/>
              <w:jc w:val="left"/>
            </w:pPr>
            <w:r>
              <w:t xml:space="preserve">血栓（≥3级）</w:t>
            </w:r>
          </w:p>
        </w:tc>
        <w:tc>
          <w:tcPr/>
          <w:p>
            <w:pPr>
              <w:pStyle w:val="Compact"/>
              <w:jc w:val="left"/>
            </w:pPr>
            <w:r>
              <w:t xml:space="preserve">&lt;1%</w:t>
            </w:r>
            <w:r>
              <w:rPr>
                <w:vertAlign w:val="superscript"/>
              </w:rPr>
              <w:t xml:space="preserve">8</w:t>
            </w:r>
          </w:p>
        </w:tc>
        <w:tc>
          <w:tcPr/>
          <w:p>
            <w:pPr>
              <w:pStyle w:val="Compact"/>
              <w:jc w:val="left"/>
            </w:pPr>
            <w:r>
              <w:t xml:space="preserve">&lt;1%</w:t>
            </w:r>
          </w:p>
        </w:tc>
        <w:tc>
          <w:tcPr/>
          <w:p>
            <w:pPr>
              <w:pStyle w:val="Compact"/>
              <w:jc w:val="left"/>
            </w:pPr>
            <w:r>
              <w:t xml:space="preserve">~15%（静脉血栓）</w:t>
            </w:r>
          </w:p>
        </w:tc>
        <w:tc>
          <w:tcPr/>
          <w:p>
            <w:pPr>
              <w:pStyle w:val="Compact"/>
              <w:jc w:val="left"/>
            </w:pPr>
            <w:r>
              <w:t xml:space="preserve">极低，无需特殊预防</w:t>
            </w:r>
          </w:p>
        </w:tc>
      </w:tr>
      <w:tr>
        <w:tc>
          <w:tcPr/>
          <w:p>
            <w:pPr>
              <w:pStyle w:val="Compact"/>
              <w:jc w:val="left"/>
            </w:pPr>
            <w:r>
              <w:t xml:space="preserve">伤口愈合并发症</w:t>
            </w:r>
          </w:p>
        </w:tc>
        <w:tc>
          <w:tcPr/>
          <w:p>
            <w:pPr>
              <w:pStyle w:val="Compact"/>
              <w:jc w:val="left"/>
            </w:pPr>
            <w:r>
              <w:t xml:space="preserve">罕见</w:t>
            </w:r>
          </w:p>
        </w:tc>
        <w:tc>
          <w:tcPr/>
          <w:p>
            <w:pPr>
              <w:pStyle w:val="Compact"/>
              <w:jc w:val="left"/>
            </w:pPr>
            <w:r>
              <w:t xml:space="preserve">罕见</w:t>
            </w:r>
          </w:p>
        </w:tc>
        <w:tc>
          <w:tcPr/>
          <w:p>
            <w:pPr>
              <w:pStyle w:val="Compact"/>
              <w:jc w:val="left"/>
            </w:pPr>
            <w:r>
              <w:t xml:space="preserve">常见</w:t>
            </w:r>
          </w:p>
        </w:tc>
        <w:tc>
          <w:tcPr/>
          <w:p>
            <w:pPr>
              <w:pStyle w:val="Compact"/>
              <w:jc w:val="left"/>
            </w:pPr>
            <w:r>
              <w:t xml:space="preserve">手术前停药</w:t>
            </w:r>
          </w:p>
        </w:tc>
      </w:tr>
    </w:tbl>
    <w:bookmarkEnd w:id="129"/>
    <w:bookmarkStart w:id="130" w:name="与化疗叠加的血液学毒性"/>
    <w:p>
      <w:pPr>
        <w:pStyle w:val="Heading3"/>
      </w:pPr>
      <w:r>
        <w:t xml:space="preserve">6.3.2 与化疗叠加的血液学毒性</w:t>
      </w:r>
    </w:p>
    <w:p>
      <w:pPr>
        <w:pStyle w:val="FirstParagraph"/>
      </w:pPr>
      <w:r>
        <w:t xml:space="preserve">AK112+化疗方案中的血液学毒性主要来源于化疗本底。HARMONi-A数据显示：≥3级白细胞减少19.9%（对照16.8%），贫血13.7%（对照12.4%），中性粒细胞减少29.8%（对照19.3%），血小板减少16.1%（对照11.8%）</w:t>
      </w:r>
      <w:r>
        <w:rPr>
          <w:vertAlign w:val="superscript"/>
        </w:rPr>
        <w:t xml:space="preserve">5</w:t>
      </w:r>
      <w:r>
        <w:t xml:space="preserve">。Meta分析确认，AK112+化疗的任何级别贫血56.6%、中性粒细胞减少48.9%、血小板减少31.6%，其中≥3级中性粒细胞减少25.5%为剂量限制毒性</w:t>
      </w:r>
      <w:r>
        <w:rPr>
          <w:vertAlign w:val="superscript"/>
        </w:rPr>
        <w:t xml:space="preserve">12</w:t>
      </w:r>
      <w:r>
        <w:t xml:space="preserve">。AK112自身对血液学系统毒性极小，联合化疗时的增量主要归因于化疗而非双抗本身。</w:t>
      </w:r>
    </w:p>
    <w:bookmarkEnd w:id="130"/>
    <w:bookmarkStart w:id="131" w:name="ak112-vs-帕博利珠单抗irae对比"/>
    <w:p>
      <w:pPr>
        <w:pStyle w:val="Heading3"/>
      </w:pPr>
      <w:r>
        <w:t xml:space="preserve">6.3.3 AK112 vs 帕博利珠单抗：irAE对比</w:t>
      </w:r>
    </w:p>
    <w:p>
      <w:pPr>
        <w:pStyle w:val="FirstParagraph"/>
      </w:pPr>
      <w:r>
        <w:t xml:space="preserve">理论上，双特异性抗体可能同时激活两个通路，导致免疫毒性叠加。但AK112的irAE发生率与PD-1单抗相当甚至更低。HARMONi-2中，AK112组与帕博利珠单抗组的irAE对比具有重要启示意义：</w:t>
      </w:r>
    </w:p>
    <w:p>
      <w:pPr>
        <w:pStyle w:val="BodyText"/>
      </w:pPr>
      <w:r>
        <w:rPr>
          <w:bCs/>
          <w:b/>
        </w:rPr>
        <w:t xml:space="preserve">表6-4 AK112 vs 帕博利珠单抗 irAE详细对比（HARMONi-2）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irAE指标</w:t>
            </w:r>
          </w:p>
        </w:tc>
        <w:tc>
          <w:tcPr/>
          <w:p>
            <w:pPr>
              <w:pStyle w:val="Compact"/>
              <w:jc w:val="left"/>
            </w:pPr>
            <w:r>
              <w:t xml:space="preserve">AK112（n=198）</w:t>
            </w:r>
          </w:p>
        </w:tc>
        <w:tc>
          <w:tcPr/>
          <w:p>
            <w:pPr>
              <w:pStyle w:val="Compact"/>
              <w:jc w:val="left"/>
            </w:pPr>
            <w:r>
              <w:t xml:space="preserve">帕博利珠单抗（n=200）</w:t>
            </w:r>
          </w:p>
        </w:tc>
      </w:tr>
      <w:tr>
        <w:tc>
          <w:tcPr/>
          <w:p>
            <w:pPr>
              <w:pStyle w:val="Compact"/>
              <w:jc w:val="left"/>
            </w:pPr>
            <w:r>
              <w:t xml:space="preserve">所有级别irAE</w:t>
            </w:r>
          </w:p>
        </w:tc>
        <w:tc>
          <w:tcPr/>
          <w:p>
            <w:pPr>
              <w:pStyle w:val="Compact"/>
              <w:jc w:val="left"/>
            </w:pPr>
            <w:r>
              <w:t xml:space="preserve">29.9%</w:t>
            </w:r>
          </w:p>
        </w:tc>
        <w:tc>
          <w:tcPr/>
          <w:p>
            <w:pPr>
              <w:pStyle w:val="Compact"/>
              <w:jc w:val="left"/>
            </w:pPr>
            <w:r>
              <w:t xml:space="preserve">28.1%</w:t>
            </w:r>
          </w:p>
        </w:tc>
      </w:tr>
      <w:tr>
        <w:tc>
          <w:tcPr/>
          <w:p>
            <w:pPr>
              <w:pStyle w:val="Compact"/>
              <w:jc w:val="left"/>
            </w:pPr>
            <w:r>
              <w:t xml:space="preserve">≥3级irAE</w:t>
            </w:r>
          </w:p>
        </w:tc>
        <w:tc>
          <w:tcPr/>
          <w:p>
            <w:pPr>
              <w:pStyle w:val="Compact"/>
              <w:jc w:val="left"/>
            </w:pPr>
            <w:r>
              <w:rPr>
                <w:bCs/>
                <w:b/>
              </w:rPr>
              <w:t xml:space="preserve">7.1%</w:t>
            </w:r>
          </w:p>
        </w:tc>
        <w:tc>
          <w:tcPr/>
          <w:p>
            <w:pPr>
              <w:pStyle w:val="Compact"/>
              <w:jc w:val="left"/>
            </w:pPr>
            <w:r>
              <w:rPr>
                <w:bCs/>
                <w:b/>
              </w:rPr>
              <w:t xml:space="preserve">8.0%</w:t>
            </w:r>
          </w:p>
        </w:tc>
      </w:tr>
      <w:tr>
        <w:tc>
          <w:tcPr/>
          <w:p>
            <w:pPr>
              <w:pStyle w:val="Compact"/>
              <w:jc w:val="left"/>
            </w:pPr>
            <w:r>
              <w:t xml:space="preserve">严重irAE</w:t>
            </w:r>
          </w:p>
        </w:tc>
        <w:tc>
          <w:tcPr/>
          <w:p>
            <w:pPr>
              <w:pStyle w:val="Compact"/>
              <w:jc w:val="left"/>
            </w:pPr>
            <w:r>
              <w:rPr>
                <w:bCs/>
                <w:b/>
              </w:rPr>
              <w:t xml:space="preserve">5.6%</w:t>
            </w:r>
          </w:p>
        </w:tc>
        <w:tc>
          <w:tcPr/>
          <w:p>
            <w:pPr>
              <w:pStyle w:val="Compact"/>
              <w:jc w:val="left"/>
            </w:pPr>
            <w:r>
              <w:rPr>
                <w:bCs/>
                <w:b/>
              </w:rPr>
              <w:t xml:space="preserve">11.1%</w:t>
            </w:r>
          </w:p>
        </w:tc>
      </w:tr>
      <w:tr>
        <w:tc>
          <w:tcPr/>
          <w:p>
            <w:pPr>
              <w:pStyle w:val="Compact"/>
              <w:jc w:val="left"/>
            </w:pPr>
            <w:r>
              <w:t xml:space="preserve">因irAE停药</w:t>
            </w:r>
          </w:p>
        </w:tc>
        <w:tc>
          <w:tcPr/>
          <w:p>
            <w:pPr>
              <w:pStyle w:val="Compact"/>
              <w:jc w:val="left"/>
            </w:pPr>
            <w:r>
              <w:rPr>
                <w:bCs/>
                <w:b/>
              </w:rPr>
              <w:t xml:space="preserve">0%</w:t>
            </w:r>
          </w:p>
        </w:tc>
        <w:tc>
          <w:tcPr/>
          <w:p>
            <w:pPr>
              <w:pStyle w:val="Compact"/>
              <w:jc w:val="left"/>
            </w:pPr>
            <w:r>
              <w:rPr>
                <w:bCs/>
                <w:b/>
              </w:rPr>
              <w:t xml:space="preserve">2.5%</w:t>
            </w:r>
          </w:p>
        </w:tc>
      </w:tr>
      <w:tr>
        <w:tc>
          <w:tcPr/>
          <w:p>
            <w:pPr>
              <w:pStyle w:val="Compact"/>
              <w:jc w:val="left"/>
            </w:pPr>
            <w:r>
              <w:t xml:space="preserve">irAE致死</w:t>
            </w:r>
          </w:p>
        </w:tc>
        <w:tc>
          <w:tcPr/>
          <w:p>
            <w:pPr>
              <w:pStyle w:val="Compact"/>
              <w:jc w:val="left"/>
            </w:pPr>
            <w:r>
              <w:t xml:space="preserve">0%</w:t>
            </w:r>
          </w:p>
        </w:tc>
        <w:tc>
          <w:tcPr/>
          <w:p>
            <w:pPr>
              <w:pStyle w:val="Compact"/>
              <w:jc w:val="left"/>
            </w:pPr>
            <w:r>
              <w:t xml:space="preserve">0%</w:t>
            </w:r>
          </w:p>
        </w:tc>
      </w:tr>
    </w:tbl>
    <w:p>
      <w:pPr>
        <w:pStyle w:val="BodyText"/>
      </w:pPr>
      <w:r>
        <w:rPr>
          <w:iCs/>
          <w:i/>
        </w:rPr>
        <w:t xml:space="preserve">数据来源：HARMONi-2 Lancet 2025; Xiong A, et al.</w:t>
      </w:r>
      <w:r>
        <w:rPr>
          <w:vertAlign w:val="superscript"/>
          <w:iCs/>
          <w:i/>
        </w:rPr>
        <w:t xml:space="preserve">8</w:t>
      </w:r>
      <w:r>
        <w:rPr>
          <w:iCs/>
          <w:i/>
        </w:rPr>
        <w:t xml:space="preserve">；WCLC 2024</w:t>
      </w:r>
      <w:r>
        <w:rPr>
          <w:vertAlign w:val="superscript"/>
          <w:iCs/>
          <w:i/>
        </w:rPr>
        <w:t xml:space="preserve">9</w:t>
      </w:r>
    </w:p>
    <w:p>
      <w:pPr>
        <w:pStyle w:val="BodyText"/>
      </w:pPr>
      <w:r>
        <w:t xml:space="preserve">核心发现：AK112的≥3级irAE（7.1%）</w:t>
      </w:r>
      <w:r>
        <w:rPr>
          <w:bCs/>
          <w:b/>
        </w:rPr>
        <w:t xml:space="preserve">低于</w:t>
      </w:r>
      <w:r>
        <w:t xml:space="preserve">帕博利珠单抗（8.0%），严重irAE（5.6%）</w:t>
      </w:r>
      <w:r>
        <w:rPr>
          <w:bCs/>
          <w:b/>
        </w:rPr>
        <w:t xml:space="preserve">显著低于</w:t>
      </w:r>
      <w:r>
        <w:t xml:space="preserve">帕博利珠单抗（11.1%），因irAE停药率为0%（对照2.5%）。这一反直觉的结果——双靶点药物irAE未增加反而部分指标更优——可部分归因于AK112的Fc-silencing设计：消除ADCC、ADCP、CRS，减少非特异性免疫激活</w:t>
      </w:r>
      <w:r>
        <w:rPr>
          <w:vertAlign w:val="superscript"/>
        </w:rPr>
        <w:t xml:space="preserve">222313</w:t>
      </w:r>
      <w:r>
        <w:t xml:space="preserve">。</w:t>
      </w:r>
    </w:p>
    <w:p>
      <w:pPr>
        <w:pStyle w:val="BodyText"/>
      </w:pPr>
      <w:r>
        <w:t xml:space="preserve">HARMONi-A的irAE谱显示，AK112组甲状腺功能减退发生率24.2%（对照6.2%），为PD-1/PD-L1类效应，多为1-2级，可通过左旋甲状腺素管理；≥3级间质性肺病1.2%，≥3级皮疹2.5%</w:t>
      </w:r>
      <w:r>
        <w:rPr>
          <w:vertAlign w:val="superscript"/>
        </w:rPr>
        <w:t xml:space="preserve">5</w:t>
      </w:r>
      <w:r>
        <w:t xml:space="preserve">。长期随访32.5个月确认，irAE发生率未随时间显著增加，无迟发性严重irAE报告</w:t>
      </w:r>
      <w:r>
        <w:rPr>
          <w:vertAlign w:val="superscript"/>
        </w:rPr>
        <w:t xml:space="preserve">6</w:t>
      </w:r>
      <w:r>
        <w:t xml:space="preserve">。</w:t>
      </w:r>
    </w:p>
    <w:bookmarkEnd w:id="131"/>
    <w:bookmarkEnd w:id="132"/>
    <w:bookmarkStart w:id="136" w:name="对harmoni-3的安全性预测"/>
    <w:p>
      <w:pPr>
        <w:pStyle w:val="Heading2"/>
      </w:pPr>
      <w:r>
        <w:t xml:space="preserve">6.4 对HARMONi-3的安全性预测</w:t>
      </w:r>
    </w:p>
    <w:bookmarkStart w:id="133" w:name="全球多中心试验中的安全性一致性"/>
    <w:p>
      <w:pPr>
        <w:pStyle w:val="Heading3"/>
      </w:pPr>
      <w:r>
        <w:t xml:space="preserve">6.4.1 全球多中心试验中的安全性一致性</w:t>
      </w:r>
    </w:p>
    <w:p>
      <w:pPr>
        <w:pStyle w:val="FirstParagraph"/>
      </w:pPr>
      <w:r>
        <w:t xml:space="preserve">HARMONi-3（NCT05899608）作为AK112首个全球多中心III期试验，其安全性一致性已获关键证据支持。HARMONi（全球EGFR-TKI耐药试验）中，西方患者占38%，安全性profile与亚洲患者一致，≥3级TRAE分布相似，无种族特异性安全信号</w:t>
      </w:r>
      <w:r>
        <w:rPr>
          <w:vertAlign w:val="superscript"/>
        </w:rPr>
        <w:t xml:space="preserve">7</w:t>
      </w:r>
      <w:r>
        <w:t xml:space="preserve">。HARMONi-A（54.0%）与HARMONi全球（50.0%）的≥3级TRAE率相近，进一步支持跨人群安全性可预测性</w:t>
      </w:r>
      <w:r>
        <w:rPr>
          <w:vertAlign w:val="superscript"/>
        </w:rPr>
        <w:t xml:space="preserve">57</w:t>
      </w:r>
      <w:r>
        <w:t xml:space="preserve">。</w:t>
      </w:r>
    </w:p>
    <w:bookmarkEnd w:id="133"/>
    <w:bookmarkStart w:id="134" w:name="西方人群vs亚洲人群的ae差异预期"/>
    <w:p>
      <w:pPr>
        <w:pStyle w:val="Heading3"/>
      </w:pPr>
      <w:r>
        <w:t xml:space="preserve">6.4.2 西方人群vs亚洲人群的AE差异预期</w:t>
      </w:r>
    </w:p>
    <w:p>
      <w:pPr>
        <w:pStyle w:val="FirstParagraph"/>
      </w:pPr>
      <w:r>
        <w:t xml:space="preserve">基于免疫肿瘤学全球试验的普遍观察及HARMONi的已有数据，西方人群与亚洲人群在AK112安全性上的差异预期有限：</w:t>
      </w:r>
    </w:p>
    <w:p>
      <w:pPr>
        <w:pStyle w:val="BodyText"/>
      </w:pPr>
      <w:r>
        <w:rPr>
          <w:bCs/>
          <w:b/>
        </w:rPr>
        <w:t xml:space="preserve">表6-5 HARMONi-3中西方人群与亚洲人群AE差异预期</w:t>
      </w:r>
    </w:p>
    <w:tbl>
      <w:tblPr>
        <w:tblStyle w:val="Table"/>
        <w:tblW w:type="pct" w:w="5000"/>
        <w:tblLook w:firstRow="1" w:lastRow="0" w:firstColumn="0" w:lastColumn="0" w:noHBand="0" w:noVBand="0" w:val="0020"/>
        <w:jc w:val="start"/>
        <w:tblLayout w:type="fixed"/>
      </w:tblPr>
      <w:tblGrid>
        <w:gridCol w:w="1545"/>
        <w:gridCol w:w="2318"/>
        <w:gridCol w:w="2318"/>
        <w:gridCol w:w="1738"/>
      </w:tblGrid>
      <w:tr>
        <w:trPr>
          <w:tblHeader w:val="true"/>
        </w:trPr>
        <w:tc>
          <w:tcPr/>
          <w:p>
            <w:pPr>
              <w:pStyle w:val="Compact"/>
              <w:jc w:val="left"/>
            </w:pPr>
            <w:r>
              <w:t xml:space="preserve">AE类型</w:t>
            </w:r>
          </w:p>
        </w:tc>
        <w:tc>
          <w:tcPr/>
          <w:p>
            <w:pPr>
              <w:pStyle w:val="Compact"/>
              <w:jc w:val="left"/>
            </w:pPr>
            <w:r>
              <w:t xml:space="preserve">亚洲人群预期</w:t>
            </w:r>
          </w:p>
        </w:tc>
        <w:tc>
          <w:tcPr/>
          <w:p>
            <w:pPr>
              <w:pStyle w:val="Compact"/>
              <w:jc w:val="left"/>
            </w:pPr>
            <w:r>
              <w:t xml:space="preserve">西方人群预期</w:t>
            </w:r>
          </w:p>
        </w:tc>
        <w:tc>
          <w:tcPr/>
          <w:p>
            <w:pPr>
              <w:pStyle w:val="Compact"/>
              <w:jc w:val="left"/>
            </w:pPr>
            <w:r>
              <w:t xml:space="preserve">差异判断</w:t>
            </w:r>
          </w:p>
        </w:tc>
      </w:tr>
      <w:tr>
        <w:tc>
          <w:tcPr/>
          <w:p>
            <w:pPr>
              <w:pStyle w:val="Compact"/>
              <w:jc w:val="left"/>
            </w:pPr>
            <w:r>
              <w:t xml:space="preserve">免疫相关肺炎/ILD</w:t>
            </w:r>
          </w:p>
        </w:tc>
        <w:tc>
          <w:tcPr/>
          <w:p>
            <w:pPr>
              <w:pStyle w:val="Compact"/>
              <w:jc w:val="left"/>
            </w:pPr>
            <w:r>
              <w:t xml:space="preserve">约1-2%</w:t>
            </w:r>
          </w:p>
        </w:tc>
        <w:tc>
          <w:tcPr/>
          <w:p>
            <w:pPr>
              <w:pStyle w:val="Compact"/>
              <w:jc w:val="left"/>
            </w:pPr>
            <w:r>
              <w:t xml:space="preserve">约3-5%</w:t>
            </w:r>
          </w:p>
        </w:tc>
        <w:tc>
          <w:tcPr/>
          <w:p>
            <w:pPr>
              <w:pStyle w:val="Compact"/>
              <w:jc w:val="left"/>
            </w:pPr>
            <w:r>
              <w:t xml:space="preserve">西方可能略高，但AK112 Fc-silencing可能缩小差距</w:t>
            </w:r>
          </w:p>
        </w:tc>
      </w:tr>
      <w:tr>
        <w:tc>
          <w:tcPr/>
          <w:p>
            <w:pPr>
              <w:pStyle w:val="Compact"/>
              <w:jc w:val="left"/>
            </w:pPr>
            <w:r>
              <w:t xml:space="preserve">甲状腺功能减退</w:t>
            </w:r>
          </w:p>
        </w:tc>
        <w:tc>
          <w:tcPr/>
          <w:p>
            <w:pPr>
              <w:pStyle w:val="Compact"/>
              <w:jc w:val="left"/>
            </w:pPr>
            <w:r>
              <w:t xml:space="preserve">约20-25%</w:t>
            </w:r>
          </w:p>
        </w:tc>
        <w:tc>
          <w:tcPr/>
          <w:p>
            <w:pPr>
              <w:pStyle w:val="Compact"/>
              <w:jc w:val="left"/>
            </w:pPr>
            <w:r>
              <w:t xml:space="preserve">约10-15%</w:t>
            </w:r>
          </w:p>
        </w:tc>
        <w:tc>
          <w:tcPr/>
          <w:p>
            <w:pPr>
              <w:pStyle w:val="Compact"/>
              <w:jc w:val="left"/>
            </w:pPr>
            <w:r>
              <w:t xml:space="preserve">亚洲可能略高，均为可管理水平</w:t>
            </w:r>
          </w:p>
        </w:tc>
      </w:tr>
      <w:tr>
        <w:tc>
          <w:tcPr/>
          <w:p>
            <w:pPr>
              <w:pStyle w:val="Compact"/>
              <w:jc w:val="left"/>
            </w:pPr>
            <w:r>
              <w:t xml:space="preserve">皮肤毒性</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预期无显著差异</w:t>
            </w:r>
          </w:p>
        </w:tc>
      </w:tr>
      <w:tr>
        <w:tc>
          <w:tcPr/>
          <w:p>
            <w:pPr>
              <w:pStyle w:val="Compact"/>
              <w:jc w:val="left"/>
            </w:pPr>
            <w:r>
              <w:t xml:space="preserve">胃肠道毒性</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预期无显著差异</w:t>
            </w:r>
          </w:p>
        </w:tc>
      </w:tr>
      <w:tr>
        <w:tc>
          <w:tcPr/>
          <w:p>
            <w:pPr>
              <w:pStyle w:val="Compact"/>
              <w:jc w:val="left"/>
            </w:pPr>
            <w:r>
              <w:t xml:space="preserve">出血（sq-NSCLC）</w:t>
            </w:r>
          </w:p>
        </w:tc>
        <w:tc>
          <w:tcPr/>
          <w:p>
            <w:pPr>
              <w:pStyle w:val="Compact"/>
              <w:jc w:val="left"/>
            </w:pPr>
            <w:r>
              <w:t xml:space="preserve">已验证2.6%</w:t>
            </w:r>
          </w:p>
        </w:tc>
        <w:tc>
          <w:tcPr/>
          <w:p>
            <w:pPr>
              <w:pStyle w:val="Compact"/>
              <w:jc w:val="left"/>
            </w:pPr>
            <w:r>
              <w:t xml:space="preserve">待验证</w:t>
            </w:r>
          </w:p>
        </w:tc>
        <w:tc>
          <w:tcPr/>
          <w:p>
            <w:pPr>
              <w:pStyle w:val="Compact"/>
              <w:jc w:val="left"/>
            </w:pPr>
            <w:r>
              <w:t xml:space="preserve">机制一致，预期相似</w:t>
            </w:r>
          </w:p>
        </w:tc>
      </w:tr>
      <w:tr>
        <w:tc>
          <w:tcPr/>
          <w:p>
            <w:pPr>
              <w:pStyle w:val="Compact"/>
              <w:jc w:val="left"/>
            </w:pPr>
            <w:r>
              <w:t xml:space="preserve">蛋白尿/高血压</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VEGF类效应，种族差异小</w:t>
            </w:r>
          </w:p>
        </w:tc>
      </w:tr>
    </w:tbl>
    <w:p>
      <w:pPr>
        <w:pStyle w:val="BodyText"/>
      </w:pPr>
      <w:r>
        <w:rPr>
          <w:iCs/>
          <w:i/>
        </w:rPr>
        <w:t xml:space="preserve">基于HARMONi全球数据及免疫肿瘤学跨种族研究汇总</w:t>
      </w:r>
      <w:r>
        <w:rPr>
          <w:vertAlign w:val="superscript"/>
          <w:iCs/>
          <w:i/>
        </w:rPr>
        <w:t xml:space="preserve">725</w:t>
      </w:r>
    </w:p>
    <w:p>
      <w:pPr>
        <w:pStyle w:val="BodyText"/>
      </w:pPr>
      <w:r>
        <w:t xml:space="preserve">总体判断：基于HARMONi的数据，HARMONi-3中西方与亚洲人群的AK112安全性profile将保持高度一致，不会出现贝伐珠单抗时代未在西方鳞癌人群中验证过的”意外”出血风险。</w:t>
      </w:r>
    </w:p>
    <w:bookmarkEnd w:id="134"/>
    <w:bookmarkStart w:id="135" w:name="安全性作为监管优势而非障碍"/>
    <w:p>
      <w:pPr>
        <w:pStyle w:val="Heading3"/>
      </w:pPr>
      <w:r>
        <w:t xml:space="preserve">6.4.3 安全性作为监管优势而非障碍</w:t>
      </w:r>
    </w:p>
    <w:p>
      <w:pPr>
        <w:pStyle w:val="FirstParagraph"/>
      </w:pPr>
      <w:r>
        <w:t xml:space="preserve">综合现有证据，安全性在HARMONi-3的审评中更可能成为优势而非障碍。不构成障碍的五点证据：鳞癌出血已充分验证（HARMONi-2/6均未显示贝伐珠单抗级别出血）；停药率可接受（HARMONi-2中1.5%低于帕博利珠单抗3.0%）；irAE未叠加（双靶点未导致irAE增加）；长期安全性良好（32.5个月随访无新增信号）；全球一致性已验证（HARMONi中西方与亚洲人群一致）</w:t>
      </w:r>
      <w:r>
        <w:rPr>
          <w:vertAlign w:val="superscript"/>
        </w:rPr>
        <w:t xml:space="preserve">567810</w:t>
      </w:r>
      <w:r>
        <w:t xml:space="preserve">。</w:t>
      </w:r>
    </w:p>
    <w:p>
      <w:pPr>
        <w:pStyle w:val="BodyText"/>
      </w:pPr>
      <w:r>
        <w:t xml:space="preserve">可能成为优势的方面：若HARMONi-3中AK112+化疗停药率与K药+化疗相当甚至更低，将增强监管接受度；若鳞癌安全性获全球验证，AK112将成为</w:t>
      </w:r>
      <w:r>
        <w:rPr>
          <w:bCs/>
          <w:b/>
        </w:rPr>
        <w:t xml:space="preserve">首个在1L sq-NSCLC中安全使用VEGF通路的药物</w:t>
      </w:r>
      <w:r>
        <w:t xml:space="preserve">，构成重大差异化优势。</w:t>
      </w:r>
    </w:p>
    <w:p>
      <w:pPr>
        <w:pStyle w:val="BodyText"/>
      </w:pPr>
      <w:r>
        <w:t xml:space="preserve">基于HARMONi-6数据向HARMONi-3的映射，定量安全预测如下：≥3级TRAE预计60-68%；sq-NSCLC≥3级出血预计2-3%；免疫相关≥3级预计8-12%；VEGF相关≥3级预计5-8%（主要为蛋白尿/高血压）；因TRAE停药预计5-7%；TRAE致死预计2-4%</w:t>
      </w:r>
      <w:r>
        <w:rPr>
          <w:vertAlign w:val="superscript"/>
        </w:rPr>
        <w:t xml:space="preserve">101125</w:t>
      </w:r>
      <w:r>
        <w:t xml:space="preserve">。</w:t>
      </w:r>
    </w:p>
    <w:p>
      <w:pPr>
        <w:pStyle w:val="BodyText"/>
      </w:pPr>
      <w:r>
        <w:t xml:space="preserve">从ODAC/监管视角审视，HARMONi-3的安全性辩论焦点将围绕：VEGF出血风险（鳞癌中已证明可控，≥3级出血仅2.6% vs 0.8%）、QoL vs PFS获益（停药率未显著增加，1.5% vs 3.0%）、双靶毒性叠加（未观察到，irAE 7.1% vs 8.0%）、长期安全性（32.5个月随访无新增信号）以及种族差异（全球试验已验证一致性）</w:t>
      </w:r>
      <w:r>
        <w:rPr>
          <w:vertAlign w:val="superscript"/>
        </w:rPr>
        <w:t xml:space="preserve">2628</w:t>
      </w:r>
      <w:r>
        <w:t xml:space="preserve">。AK112在这些维度上均已有扎实的证据支撑。</w:t>
      </w:r>
    </w:p>
    <w:bookmarkEnd w:id="135"/>
    <w:bookmarkEnd w:id="136"/>
    <w:bookmarkStart w:id="137" w:name="本章小结"/>
    <w:p>
      <w:pPr>
        <w:pStyle w:val="Heading2"/>
      </w:pPr>
      <w:r>
        <w:t xml:space="preserve">本章小结</w:t>
      </w:r>
    </w:p>
    <w:p>
      <w:pPr>
        <w:pStyle w:val="FirstParagraph"/>
      </w:pPr>
      <w:r>
        <w:t xml:space="preserve">AK112在超过2,800例患者的临床研究中展现了可预测、可管理的安全性profile。其在鳞癌中的出血风险突破——HARMONi-2鳞癌亚组≥3级出血0%、HARMONi-6高危人群仅2.6%——与贝伐珠单抗在鳞癌中9-10%的致命性出血率形成鲜明对比，标志VEGF靶向治疗在sq-NSCLC中的历史性解禁。VEGF相关AE和irAE发生率均处于可管理范围，且irAE未因双靶点设计而增加，反而在严重irAE和停药指标上优于帕博利珠单抗。基于HARMONi全球数据的一致性，HARMONi-3中西方人群安全性预期与中国数据一致。AK112在sq-NSCLC中的安全性，将从监管障碍转化为全球市场获批的</w:t>
      </w:r>
      <w:r>
        <w:rPr>
          <w:bCs/>
          <w:b/>
        </w:rPr>
        <w:t xml:space="preserve">核心差异化优势</w:t>
      </w:r>
      <w:r>
        <w:t xml:space="preserve">。</w:t>
      </w:r>
    </w:p>
    <w:p>
      <w:r>
        <w:pict>
          <v:rect style="width:0;height:1.5pt" o:hralign="center" o:hrstd="t" o:hr="t"/>
        </w:pict>
      </w:r>
    </w:p>
    <w:bookmarkEnd w:id="137"/>
    <w:bookmarkStart w:id="138" w:name="脚注-4"/>
    <w:p>
      <w:pPr>
        <w:pStyle w:val="Heading2"/>
      </w:pPr>
      <w:r>
        <w:t xml:space="preserve">脚注</w:t>
      </w:r>
    </w:p>
    <w:p>
      <w:r>
        <w:pict>
          <v:rect style="width:0;height:1.5pt" o:hralign="center" o:hrstd="t" o:hr="t"/>
        </w:pict>
      </w:r>
    </w:p>
    <w:bookmarkEnd w:id="138"/>
    <w:bookmarkStart w:id="144" w:name="竞品格局与竞争护城河"/>
    <w:p>
      <w:pPr>
        <w:pStyle w:val="Heading2"/>
      </w:pPr>
      <w:r>
        <w:t xml:space="preserve">7. 竞品格局与竞争护城河</w:t>
      </w:r>
    </w:p>
    <w:p>
      <w:pPr>
        <w:pStyle w:val="FirstParagraph"/>
      </w:pPr>
      <w:r>
        <w:t xml:space="preserve">PD-1/VEGF双抗赛道已成为全球肿瘤免疫治疗领域竞争最为激烈的方向之一。随着AK112（依沃西单抗）在HARMONi-2和HARMONi-6中相继取得突破性阳性结果，多家药企加速布局同类产品。然而，从临床成熟度、差异化机制和全球化商业能力三个维度审视，AK112已构建起难以在短期内复制的竞争壁垒。</w:t>
      </w:r>
    </w:p>
    <w:bookmarkStart w:id="139" w:name="其他pd-1vegf双抗在研进展"/>
    <w:p>
      <w:pPr>
        <w:pStyle w:val="Heading3"/>
      </w:pPr>
      <w:r>
        <w:t xml:space="preserve">7.1 其他PD-1/VEGF双抗在研进展</w:t>
      </w:r>
    </w:p>
    <w:p>
      <w:pPr>
        <w:pStyle w:val="FirstParagraph"/>
      </w:pPr>
      <w:r>
        <w:t xml:space="preserve">目前全球范围内处于临床阶段（Phase 1及以上）的PD-1/VEGF或PD-L1/VEGF双抗至少有5款，但无一进入Phase 3数据读出阶段，整体较AK112落后2-3年。</w:t>
      </w:r>
    </w:p>
    <w:tbl>
      <w:tblPr>
        <w:tblStyle w:val="Table"/>
        <w:tblW w:type="pct" w:w="5000"/>
        <w:tblLook w:firstRow="1" w:lastRow="0" w:firstColumn="0" w:lastColumn="0" w:noHBand="0" w:noVBand="0" w:val="0020"/>
        <w:jc w:val="start"/>
        <w:tblLayout w:type="fixed"/>
      </w:tblPr>
      <w:tblGrid>
        <w:gridCol w:w="1320"/>
        <w:gridCol w:w="1320"/>
        <w:gridCol w:w="880"/>
        <w:gridCol w:w="880"/>
        <w:gridCol w:w="1906"/>
        <w:gridCol w:w="1613"/>
      </w:tblGrid>
      <w:tr>
        <w:trPr>
          <w:tblHeader w:val="true"/>
        </w:trPr>
        <w:tc>
          <w:tcPr/>
          <w:p>
            <w:pPr>
              <w:pStyle w:val="Compact"/>
              <w:jc w:val="left"/>
            </w:pPr>
            <w:r>
              <w:t xml:space="preserve">药物名称</w:t>
            </w:r>
          </w:p>
        </w:tc>
        <w:tc>
          <w:tcPr/>
          <w:p>
            <w:pPr>
              <w:pStyle w:val="Compact"/>
              <w:jc w:val="left"/>
            </w:pPr>
            <w:r>
              <w:t xml:space="preserve">开发企业</w:t>
            </w:r>
          </w:p>
        </w:tc>
        <w:tc>
          <w:tcPr/>
          <w:p>
            <w:pPr>
              <w:pStyle w:val="Compact"/>
              <w:jc w:val="left"/>
            </w:pPr>
            <w:r>
              <w:t xml:space="preserve">靶点</w:t>
            </w:r>
          </w:p>
        </w:tc>
        <w:tc>
          <w:tcPr/>
          <w:p>
            <w:pPr>
              <w:pStyle w:val="Compact"/>
              <w:jc w:val="left"/>
            </w:pPr>
            <w:r>
              <w:t xml:space="preserve">阶段</w:t>
            </w:r>
          </w:p>
        </w:tc>
        <w:tc>
          <w:tcPr/>
          <w:p>
            <w:pPr>
              <w:pStyle w:val="Compact"/>
              <w:jc w:val="left"/>
            </w:pPr>
            <w:r>
              <w:t xml:space="preserve">NSCLC关键数据</w:t>
            </w:r>
          </w:p>
        </w:tc>
        <w:tc>
          <w:tcPr/>
          <w:p>
            <w:pPr>
              <w:pStyle w:val="Compact"/>
              <w:jc w:val="left"/>
            </w:pPr>
            <w:r>
              <w:t xml:space="preserve">与AK112差距</w:t>
            </w:r>
          </w:p>
        </w:tc>
      </w:tr>
      <w:tr>
        <w:tc>
          <w:tcPr/>
          <w:p>
            <w:pPr>
              <w:pStyle w:val="Compact"/>
              <w:jc w:val="left"/>
            </w:pPr>
            <w:r>
              <w:t xml:space="preserve">PM8002/BNT327</w:t>
            </w:r>
          </w:p>
        </w:tc>
        <w:tc>
          <w:tcPr/>
          <w:p>
            <w:pPr>
              <w:pStyle w:val="Compact"/>
              <w:jc w:val="left"/>
            </w:pPr>
            <w:r>
              <w:t xml:space="preserve">普米斯/BioNTech</w:t>
            </w:r>
          </w:p>
        </w:tc>
        <w:tc>
          <w:tcPr/>
          <w:p>
            <w:pPr>
              <w:pStyle w:val="Compact"/>
              <w:jc w:val="left"/>
            </w:pPr>
            <w:r>
              <w:t xml:space="preserve">PD-L1/VEGF-A</w:t>
            </w:r>
          </w:p>
        </w:tc>
        <w:tc>
          <w:tcPr/>
          <w:p>
            <w:pPr>
              <w:pStyle w:val="Compact"/>
              <w:jc w:val="left"/>
            </w:pPr>
            <w:r>
              <w:t xml:space="preserve">Phase 2</w:t>
            </w:r>
          </w:p>
        </w:tc>
        <w:tc>
          <w:tcPr/>
          <w:p>
            <w:pPr>
              <w:pStyle w:val="Compact"/>
              <w:jc w:val="left"/>
            </w:pPr>
            <w:r>
              <w:t xml:space="preserve">一线NSCLC ORR 26.2%，DCR 78.7%</w:t>
            </w:r>
            <w:r>
              <w:rPr>
                <w:vertAlign w:val="superscript"/>
              </w:rPr>
              <w:t xml:space="preserve">1</w:t>
            </w:r>
          </w:p>
        </w:tc>
        <w:tc>
          <w:tcPr/>
          <w:p>
            <w:pPr>
              <w:pStyle w:val="Compact"/>
              <w:jc w:val="left"/>
            </w:pPr>
            <w:r>
              <w:t xml:space="preserve">2-3年；NSCLC Phase 3未启动</w:t>
            </w:r>
          </w:p>
        </w:tc>
      </w:tr>
      <w:tr>
        <w:tc>
          <w:tcPr/>
          <w:p>
            <w:pPr>
              <w:pStyle w:val="Compact"/>
              <w:jc w:val="left"/>
            </w:pPr>
            <w:r>
              <w:t xml:space="preserve">SSGJ-707</w:t>
            </w:r>
          </w:p>
        </w:tc>
        <w:tc>
          <w:tcPr/>
          <w:p>
            <w:pPr>
              <w:pStyle w:val="Compact"/>
              <w:jc w:val="left"/>
            </w:pPr>
            <w:r>
              <w:t xml:space="preserve">三生国健/辉瑞</w:t>
            </w:r>
          </w:p>
        </w:tc>
        <w:tc>
          <w:tcPr/>
          <w:p>
            <w:pPr>
              <w:pStyle w:val="Compact"/>
              <w:jc w:val="left"/>
            </w:pPr>
            <w:r>
              <w:t xml:space="preserve">PD-1/VEGF</w:t>
            </w:r>
          </w:p>
        </w:tc>
        <w:tc>
          <w:tcPr/>
          <w:p>
            <w:pPr>
              <w:pStyle w:val="Compact"/>
              <w:jc w:val="left"/>
            </w:pPr>
            <w:r>
              <w:t xml:space="preserve">Phase 2→3</w:t>
            </w:r>
          </w:p>
        </w:tc>
        <w:tc>
          <w:tcPr/>
          <w:p>
            <w:pPr>
              <w:pStyle w:val="Compact"/>
              <w:jc w:val="left"/>
            </w:pPr>
            <w:r>
              <w:t xml:space="preserve">单药ORR 67.6%，mPFS 12.4个月</w:t>
            </w:r>
            <w:r>
              <w:rPr>
                <w:vertAlign w:val="superscript"/>
              </w:rPr>
              <w:t xml:space="preserve">2</w:t>
            </w:r>
          </w:p>
        </w:tc>
        <w:tc>
          <w:tcPr/>
          <w:p>
            <w:pPr>
              <w:pStyle w:val="Compact"/>
              <w:jc w:val="left"/>
            </w:pPr>
            <w:r>
              <w:t xml:space="preserve">1.5-2年；头对头数据缺失</w:t>
            </w:r>
          </w:p>
        </w:tc>
      </w:tr>
      <w:tr>
        <w:tc>
          <w:tcPr/>
          <w:p>
            <w:pPr>
              <w:pStyle w:val="Compact"/>
              <w:jc w:val="left"/>
            </w:pPr>
            <w:r>
              <w:t xml:space="preserve">HB0025</w:t>
            </w:r>
          </w:p>
        </w:tc>
        <w:tc>
          <w:tcPr/>
          <w:p>
            <w:pPr>
              <w:pStyle w:val="Compact"/>
              <w:jc w:val="left"/>
            </w:pPr>
            <w:r>
              <w:t xml:space="preserve">华海药业/华奥泰</w:t>
            </w:r>
          </w:p>
        </w:tc>
        <w:tc>
          <w:tcPr/>
          <w:p>
            <w:pPr>
              <w:pStyle w:val="Compact"/>
              <w:jc w:val="left"/>
            </w:pPr>
            <w:r>
              <w:t xml:space="preserve">PD-L1/VEGF</w:t>
            </w:r>
          </w:p>
        </w:tc>
        <w:tc>
          <w:tcPr/>
          <w:p>
            <w:pPr>
              <w:pStyle w:val="Compact"/>
              <w:jc w:val="left"/>
            </w:pPr>
            <w:r>
              <w:t xml:space="preserve">Phase 2→3</w:t>
            </w:r>
          </w:p>
        </w:tc>
        <w:tc>
          <w:tcPr/>
          <w:p>
            <w:pPr>
              <w:pStyle w:val="Compact"/>
              <w:jc w:val="left"/>
            </w:pPr>
            <w:r>
              <w:t xml:space="preserve">鳞癌ORR 84.5%，mPFS 12.62个月</w:t>
            </w:r>
            <w:r>
              <w:rPr>
                <w:vertAlign w:val="superscript"/>
              </w:rPr>
              <w:t xml:space="preserve">3</w:t>
            </w:r>
          </w:p>
        </w:tc>
        <w:tc>
          <w:tcPr/>
          <w:p>
            <w:pPr>
              <w:pStyle w:val="Compact"/>
              <w:jc w:val="left"/>
            </w:pPr>
            <w:r>
              <w:t xml:space="preserve">2-3年；全球商业化能力有限</w:t>
            </w:r>
          </w:p>
        </w:tc>
      </w:tr>
      <w:tr>
        <w:tc>
          <w:tcPr/>
          <w:p>
            <w:pPr>
              <w:pStyle w:val="Compact"/>
              <w:jc w:val="left"/>
            </w:pPr>
            <w:r>
              <w:t xml:space="preserve">IMM2510</w:t>
            </w:r>
          </w:p>
        </w:tc>
        <w:tc>
          <w:tcPr/>
          <w:p>
            <w:pPr>
              <w:pStyle w:val="Compact"/>
              <w:jc w:val="left"/>
            </w:pPr>
            <w:r>
              <w:t xml:space="preserve">宜明昂科</w:t>
            </w:r>
          </w:p>
        </w:tc>
        <w:tc>
          <w:tcPr/>
          <w:p>
            <w:pPr>
              <w:pStyle w:val="Compact"/>
              <w:jc w:val="left"/>
            </w:pPr>
            <w:r>
              <w:t xml:space="preserve">PD-L1/VEGF</w:t>
            </w:r>
          </w:p>
        </w:tc>
        <w:tc>
          <w:tcPr/>
          <w:p>
            <w:pPr>
              <w:pStyle w:val="Compact"/>
              <w:jc w:val="left"/>
            </w:pPr>
            <w:r>
              <w:t xml:space="preserve">Phase 1/2</w:t>
            </w:r>
          </w:p>
        </w:tc>
        <w:tc>
          <w:tcPr/>
          <w:p>
            <w:pPr>
              <w:pStyle w:val="Compact"/>
              <w:jc w:val="left"/>
            </w:pPr>
            <w:r>
              <w:t xml:space="preserve">鳞癌ORR 35.3%，DCR 76.5%</w:t>
            </w:r>
            <w:r>
              <w:rPr>
                <w:vertAlign w:val="superscript"/>
              </w:rPr>
              <w:t xml:space="preserve">4</w:t>
            </w:r>
          </w:p>
        </w:tc>
        <w:tc>
          <w:tcPr/>
          <w:p>
            <w:pPr>
              <w:pStyle w:val="Compact"/>
              <w:jc w:val="left"/>
            </w:pPr>
            <w:r>
              <w:t xml:space="preserve">3-5年；早期临床</w:t>
            </w:r>
          </w:p>
        </w:tc>
      </w:tr>
      <w:tr>
        <w:tc>
          <w:tcPr/>
          <w:p>
            <w:pPr>
              <w:pStyle w:val="Compact"/>
              <w:jc w:val="left"/>
            </w:pPr>
            <w:r>
              <w:t xml:space="preserve">IBI318</w:t>
            </w:r>
          </w:p>
        </w:tc>
        <w:tc>
          <w:tcPr/>
          <w:p>
            <w:pPr>
              <w:pStyle w:val="Compact"/>
              <w:jc w:val="left"/>
            </w:pPr>
            <w:r>
              <w:t xml:space="preserve">信达生物</w:t>
            </w:r>
          </w:p>
        </w:tc>
        <w:tc>
          <w:tcPr/>
          <w:p>
            <w:pPr>
              <w:pStyle w:val="Compact"/>
              <w:jc w:val="left"/>
            </w:pPr>
            <w:r>
              <w:t xml:space="preserve">PD-1/PD-L1</w:t>
            </w:r>
          </w:p>
        </w:tc>
        <w:tc>
          <w:tcPr/>
          <w:p>
            <w:pPr>
              <w:pStyle w:val="Compact"/>
              <w:jc w:val="left"/>
            </w:pPr>
            <w:r>
              <w:t xml:space="preserve">Phase 1/2</w:t>
            </w:r>
          </w:p>
        </w:tc>
        <w:tc>
          <w:tcPr/>
          <w:p>
            <w:pPr>
              <w:pStyle w:val="Compact"/>
              <w:jc w:val="left"/>
            </w:pPr>
            <w:r>
              <w:t xml:space="preserve">单药ORR 45.5%（非VEGF双抗）</w:t>
            </w:r>
            <w:r>
              <w:rPr>
                <w:vertAlign w:val="superscript"/>
              </w:rPr>
              <w:t xml:space="preserve">5</w:t>
            </w:r>
          </w:p>
        </w:tc>
        <w:tc>
          <w:tcPr/>
          <w:p>
            <w:pPr>
              <w:pStyle w:val="Compact"/>
              <w:jc w:val="left"/>
            </w:pPr>
            <w:r>
              <w:t xml:space="preserve">机制不同，联合仑伐替尼间接双通路抑制</w:t>
            </w:r>
          </w:p>
        </w:tc>
      </w:tr>
    </w:tbl>
    <w:p>
      <w:pPr>
        <w:pStyle w:val="BodyText"/>
      </w:pPr>
      <w:r>
        <w:rPr>
          <w:bCs/>
          <w:b/>
        </w:rPr>
        <w:t xml:space="preserve">PM8002/BNT327</w:t>
      </w:r>
      <w:r>
        <w:t xml:space="preserve">采用mAb-VHH分子架构，Fc区经沉默改造，靶向PD-L1与VEGF-A。2024年BioNTech以8亿美元收购普米斯后，将其纳入全球管线，重点推进一线广泛期SCLC的Phase 3研究</w:t>
      </w:r>
      <w:r>
        <w:rPr>
          <w:vertAlign w:val="superscript"/>
        </w:rPr>
        <w:t xml:space="preserve">6</w:t>
      </w:r>
      <w:r>
        <w:t xml:space="preserve">。但其在NSCLC领域的临床成熟度显著落后于AK112：一线NSCLC总体ORR仅26.2%，且缺乏头头对比PD-1单抗的数据</w:t>
      </w:r>
      <w:r>
        <w:rPr>
          <w:vertAlign w:val="superscript"/>
        </w:rPr>
        <w:t xml:space="preserve">1</w:t>
      </w:r>
      <w:r>
        <w:t xml:space="preserve">。PM8002靶向PD-L1而非PD-1，分子量约175 kDa，且缺乏AK112的四价协同结合机制，临床定位更偏向PD-L1阳性高选择人群。</w:t>
      </w:r>
    </w:p>
    <w:p>
      <w:pPr>
        <w:pStyle w:val="BodyText"/>
      </w:pPr>
      <w:r>
        <w:rPr>
          <w:bCs/>
          <w:b/>
        </w:rPr>
        <w:t xml:space="preserve">SSGJ-707</w:t>
      </w:r>
      <w:r>
        <w:t xml:space="preserve">是AK112最直接的可比竞品。该药基于三生国健CLF2平台开发，为PD-1/VEGF四价双抗，与AK112靶点一致但分子架构不同。2025年5月，三生国健与辉瑞达成总额超60亿美元（12.5亿美元首付+48亿美元里程碑）的全球授权合作，成为PD-1/VEGF赛道中金额最高的交易之一</w:t>
      </w:r>
      <w:r>
        <w:rPr>
          <w:vertAlign w:val="superscript"/>
        </w:rPr>
        <w:t xml:space="preserve">7</w:t>
      </w:r>
      <w:r>
        <w:t xml:space="preserve">。Phase 2数据显示其单药ORR 67.6%、mPFS 12.4个月，与AK112 HARMONi-2（ORR 50.0%，mPFS 11.14个月）处于相近水平</w:t>
      </w:r>
      <w:r>
        <w:rPr>
          <w:vertAlign w:val="superscript"/>
        </w:rPr>
        <w:t xml:space="preserve">28</w:t>
      </w:r>
      <w:r>
        <w:t xml:space="preserve">。但关键差异在于：SSGJ-707的数据来自单臂研究，非头对头随机对照；且≥G3 TRAE发生率23.5%，略高于AK112在鳞癌中的22.2%</w:t>
      </w:r>
      <w:r>
        <w:rPr>
          <w:vertAlign w:val="superscript"/>
        </w:rPr>
        <w:t xml:space="preserve">9</w:t>
      </w:r>
      <w:r>
        <w:t xml:space="preserve">。辉瑞的全球开发能力虽强，但Phase 3入组启动时间已落后AK112至少18个月。</w:t>
      </w:r>
    </w:p>
    <w:p>
      <w:pPr>
        <w:pStyle w:val="BodyText"/>
      </w:pPr>
      <w:r>
        <w:rPr>
          <w:bCs/>
          <w:b/>
        </w:rPr>
        <w:t xml:space="preserve">HB0025</w:t>
      </w:r>
      <w:r>
        <w:t xml:space="preserve">采用mAb-Trap技术，将VEGFR1-D2融合于抗PD-L1抗体重链N端，同时保留Fc效应功能。其Phase 2鳞癌队列ORR高达84.5%，mPFS 12.62个月，看似优于AK112</w:t>
      </w:r>
      <w:r>
        <w:rPr>
          <w:vertAlign w:val="superscript"/>
        </w:rPr>
        <w:t xml:space="preserve">3</w:t>
      </w:r>
      <w:r>
        <w:t xml:space="preserve">。但需注意：该研究为单臂设计，无对照组数据；且≥G3出血率达4.0%，远高于AK112的0.3%（HARMONi-2）和2.6%（HARMONi-6）</w:t>
      </w:r>
      <w:r>
        <w:rPr>
          <w:vertAlign w:val="superscript"/>
        </w:rPr>
        <w:t xml:space="preserve">1011</w:t>
      </w:r>
      <w:r>
        <w:t xml:space="preserve">。华海药业的全球商业化能力有限，主要威胁局限于中国市场。目前III期随机对照试验刚启动（NCT06758557），预计2-3年后方可获得关键数据。</w:t>
      </w:r>
    </w:p>
    <w:p>
      <w:pPr>
        <w:pStyle w:val="BodyText"/>
      </w:pPr>
      <w:r>
        <w:rPr>
          <w:bCs/>
          <w:b/>
        </w:rPr>
        <w:t xml:space="preserve">IMM2510</w:t>
      </w:r>
      <w:r>
        <w:t xml:space="preserve">处于更早期阶段，虽可同时中和VEGF-A、VEGF-B和PlGF（胎盘生长因子），但鳞癌ORR仅35.3%，且临床成熟度远落后于AK112（Phase 1/2）</w:t>
      </w:r>
      <w:r>
        <w:rPr>
          <w:vertAlign w:val="superscript"/>
        </w:rPr>
        <w:t xml:space="preserve">4</w:t>
      </w:r>
      <w:r>
        <w:t xml:space="preserve">。其余如君实生物JS207、荣昌生物RC148等尚处于Phase 1，短期内不构成竞争威胁</w:t>
      </w:r>
      <w:r>
        <w:rPr>
          <w:vertAlign w:val="superscript"/>
        </w:rPr>
        <w:t xml:space="preserve">1213</w:t>
      </w:r>
      <w:r>
        <w:t xml:space="preserve">。</w:t>
      </w:r>
    </w:p>
    <w:bookmarkEnd w:id="139"/>
    <w:bookmarkStart w:id="140" w:name="pd-1贝伐联合方案的历史"/>
    <w:p>
      <w:pPr>
        <w:pStyle w:val="Heading3"/>
      </w:pPr>
      <w:r>
        <w:t xml:space="preserve">7.2 PD-1+贝伐联合方案的历史</w:t>
      </w:r>
    </w:p>
    <w:p>
      <w:pPr>
        <w:pStyle w:val="FirstParagraph"/>
      </w:pPr>
      <w:r>
        <w:t xml:space="preserve">在PD-1/VEGF双抗问世之前，PD-(L)1抑制剂与贝伐珠单抗的联合方案已在非鳞NSCLC中积累了大量循证证据，但也暴露了固有的局限性。</w:t>
      </w:r>
    </w:p>
    <w:p>
      <w:pPr>
        <w:pStyle w:val="BodyText"/>
      </w:pPr>
      <w:r>
        <w:rPr>
          <w:bCs/>
          <w:b/>
        </w:rPr>
        <w:t xml:space="preserve">IMpower150</w:t>
      </w:r>
      <w:r>
        <w:t xml:space="preserve">是验证三联方案（atezolizumab+bevacizumab+化疗，ABCP）价值的里程碑试验。1202例非鳞NSCLC患者1:1:1随机分组，结果显示ABCP较BCP（beva+化疗）显著延长OS（19.5 vs 14.7个月，HR 0.80）和PFS（8.3 vs 6.8个月，HR 0.62）</w:t>
      </w:r>
      <w:r>
        <w:rPr>
          <w:vertAlign w:val="superscript"/>
        </w:rPr>
        <w:t xml:space="preserve">1415</w:t>
      </w:r>
      <w:r>
        <w:t xml:space="preserve">。但ABCP的≥G3 TRAE发生率更高，且</w:t>
      </w:r>
      <w:r>
        <w:rPr>
          <w:bCs/>
          <w:b/>
        </w:rPr>
        <w:t xml:space="preserve">严格排除鳞癌患者</w:t>
      </w:r>
      <w:r>
        <w:t xml:space="preserve">——这是贝伐珠单抗的绝对禁忌人群</w:t>
      </w:r>
      <w:r>
        <w:rPr>
          <w:vertAlign w:val="superscript"/>
        </w:rPr>
        <w:t xml:space="preserve">16</w:t>
      </w:r>
      <w:r>
        <w:t xml:space="preserve">。</w:t>
      </w:r>
    </w:p>
    <w:p>
      <w:pPr>
        <w:pStyle w:val="BodyText"/>
      </w:pPr>
      <w:r>
        <w:rPr>
          <w:bCs/>
          <w:b/>
        </w:rPr>
        <w:t xml:space="preserve">TASUKI-52</w:t>
      </w:r>
      <w:r>
        <w:t xml:space="preserve">在亚洲非鳞NSCLC中验证了nivolumab+化疗+贝伐方案，mPFS 10.6 vs 8.2个月（HR 0.59），mOS 31.6 vs 24.7个月（HR 0.71），4年OS率34.7% vs 22.1%</w:t>
      </w:r>
      <w:r>
        <w:rPr>
          <w:vertAlign w:val="superscript"/>
        </w:rPr>
        <w:t xml:space="preserve">17</w:t>
      </w:r>
      <w:r>
        <w:t xml:space="preserve">。但同样仅限非鳞癌。ORIENT-31在EGFRm经治非鳞NSCLC中证明PD-1+贝伐生物类似物+化疗的PFS价值（mPFS 7.2 vs 4.3个月，HR 0.51），但OS未达显著（HR 0.98）</w:t>
      </w:r>
      <w:r>
        <w:rPr>
          <w:vertAlign w:val="superscript"/>
        </w:rPr>
        <w:t xml:space="preserve">18</w:t>
      </w:r>
      <w:r>
        <w:t xml:space="preserve">。</w:t>
      </w:r>
    </w:p>
    <w:p>
      <w:pPr>
        <w:pStyle w:val="BodyText"/>
      </w:pPr>
      <w:r>
        <w:t xml:space="preserve">贝伐珠单抗在鳞癌中的禁忌源于早期惨痛教训：AVF0757g试验中，13例鳞癌患者接受贝伐治疗后，4例发生危及生命或致死性咯血（发生率31%）</w:t>
      </w:r>
      <w:r>
        <w:rPr>
          <w:vertAlign w:val="superscript"/>
        </w:rPr>
        <w:t xml:space="preserve">19</w:t>
      </w:r>
      <w:r>
        <w:t xml:space="preserve">。鳞癌常位于肺中央、靠近大血管，肿瘤中心坏死/空洞化常见；贝伐的系统性抗VEGF作用导致血管脆性增加、修复障碍，叠加中央型肿瘤侵蚀支气管血管，极易诱发大咯血</w:t>
      </w:r>
      <w:r>
        <w:rPr>
          <w:vertAlign w:val="superscript"/>
        </w:rPr>
        <w:t xml:space="preserve">20</w:t>
      </w:r>
      <w:r>
        <w:t xml:space="preserve">。FDA说明书明确将鳞癌和近期咯血列为禁忌</w:t>
      </w:r>
      <w:r>
        <w:rPr>
          <w:vertAlign w:val="superscript"/>
        </w:rPr>
        <w:t xml:space="preserve">21</w:t>
      </w:r>
      <w:r>
        <w:t xml:space="preserve">。</w:t>
      </w:r>
    </w:p>
    <w:p>
      <w:pPr>
        <w:pStyle w:val="BodyText"/>
      </w:pPr>
      <w:r>
        <w:t xml:space="preserve">从机制角度看，PD-1+贝伐联合方案与PD-1/VEGF双抗存在本质差异：</w:t>
      </w:r>
    </w:p>
    <w:tbl>
      <w:tblPr>
        <w:tblStyle w:val="Table"/>
        <w:tblW w:type="pct" w:w="5000"/>
        <w:tblLook w:firstRow="1" w:lastRow="0" w:firstColumn="0" w:lastColumn="0" w:noHBand="0" w:noVBand="0" w:val="0020"/>
        <w:jc w:val="start"/>
        <w:tblLayout w:type="fixed"/>
      </w:tblPr>
      <w:tblGrid>
        <w:gridCol w:w="1033"/>
        <w:gridCol w:w="3099"/>
        <w:gridCol w:w="3787"/>
      </w:tblGrid>
      <w:tr>
        <w:trPr>
          <w:tblHeader w:val="true"/>
        </w:trPr>
        <w:tc>
          <w:tcPr/>
          <w:p>
            <w:pPr>
              <w:pStyle w:val="Compact"/>
              <w:jc w:val="left"/>
            </w:pPr>
            <w:r>
              <w:t xml:space="preserve">维度</w:t>
            </w:r>
          </w:p>
        </w:tc>
        <w:tc>
          <w:tcPr/>
          <w:p>
            <w:pPr>
              <w:pStyle w:val="Compact"/>
              <w:jc w:val="left"/>
            </w:pPr>
            <w:r>
              <w:t xml:space="preserve">PD-1+贝伐联合方案</w:t>
            </w:r>
          </w:p>
        </w:tc>
        <w:tc>
          <w:tcPr/>
          <w:p>
            <w:pPr>
              <w:pStyle w:val="Compact"/>
              <w:jc w:val="left"/>
            </w:pPr>
            <w:r>
              <w:t xml:space="preserve">PD-1/VEGF双抗（AK112）</w:t>
            </w:r>
          </w:p>
        </w:tc>
      </w:tr>
      <w:tr>
        <w:tc>
          <w:tcPr/>
          <w:p>
            <w:pPr>
              <w:pStyle w:val="Compact"/>
              <w:jc w:val="left"/>
            </w:pPr>
            <w:r>
              <w:t xml:space="preserve">药代动力学</w:t>
            </w:r>
          </w:p>
        </w:tc>
        <w:tc>
          <w:tcPr/>
          <w:p>
            <w:pPr>
              <w:pStyle w:val="Compact"/>
              <w:jc w:val="left"/>
            </w:pPr>
            <w:r>
              <w:t xml:space="preserve">两种独立抗体，肿瘤内浓度难以同步优化</w:t>
            </w:r>
          </w:p>
        </w:tc>
        <w:tc>
          <w:tcPr/>
          <w:p>
            <w:pPr>
              <w:pStyle w:val="Compact"/>
              <w:jc w:val="left"/>
            </w:pPr>
            <w:r>
              <w:t xml:space="preserve">单分子双靶点协同结合，PD-1臂亲和力因VEGF存在增强18倍</w:t>
            </w:r>
            <w:r>
              <w:rPr>
                <w:vertAlign w:val="superscript"/>
              </w:rPr>
              <w:t xml:space="preserve">19</w:t>
            </w:r>
          </w:p>
        </w:tc>
      </w:tr>
      <w:tr>
        <w:tc>
          <w:tcPr/>
          <w:p>
            <w:pPr>
              <w:pStyle w:val="Compact"/>
              <w:jc w:val="left"/>
            </w:pPr>
            <w:r>
              <w:t xml:space="preserve">Fc效应</w:t>
            </w:r>
          </w:p>
        </w:tc>
        <w:tc>
          <w:tcPr/>
          <w:p>
            <w:pPr>
              <w:pStyle w:val="Compact"/>
              <w:jc w:val="left"/>
            </w:pPr>
            <w:r>
              <w:t xml:space="preserve">贝伐保留ADCC；PD-1抗体Fc多为沉默</w:t>
            </w:r>
          </w:p>
        </w:tc>
        <w:tc>
          <w:tcPr/>
          <w:p>
            <w:pPr>
              <w:pStyle w:val="Compact"/>
              <w:jc w:val="left"/>
            </w:pPr>
            <w:r>
              <w:t xml:space="preserve">AK112 Fc沉默（L234A/L235A），减少irAE和系统毒性</w:t>
            </w:r>
            <w:r>
              <w:rPr>
                <w:vertAlign w:val="superscript"/>
              </w:rPr>
              <w:t xml:space="preserve">22</w:t>
            </w:r>
          </w:p>
        </w:tc>
      </w:tr>
      <w:tr>
        <w:tc>
          <w:tcPr/>
          <w:p>
            <w:pPr>
              <w:pStyle w:val="Compact"/>
              <w:jc w:val="left"/>
            </w:pPr>
            <w:r>
              <w:t xml:space="preserve">鳞癌适用性</w:t>
            </w:r>
          </w:p>
        </w:tc>
        <w:tc>
          <w:tcPr/>
          <w:p>
            <w:pPr>
              <w:pStyle w:val="Compact"/>
              <w:jc w:val="left"/>
            </w:pPr>
            <w:r>
              <w:t xml:space="preserve">贝伐禁忌，无法用于鳞癌</w:t>
            </w:r>
          </w:p>
        </w:tc>
        <w:tc>
          <w:tcPr/>
          <w:p>
            <w:pPr>
              <w:pStyle w:val="Compact"/>
              <w:jc w:val="left"/>
            </w:pPr>
            <w:r>
              <w:t xml:space="preserve">AK112在鳞癌中安全有效（HARMONi-2/6）</w:t>
            </w:r>
            <w:r>
              <w:rPr>
                <w:vertAlign w:val="superscript"/>
              </w:rPr>
              <w:t xml:space="preserve">23</w:t>
            </w:r>
          </w:p>
        </w:tc>
      </w:tr>
      <w:tr>
        <w:tc>
          <w:tcPr/>
          <w:p>
            <w:pPr>
              <w:pStyle w:val="Compact"/>
              <w:jc w:val="left"/>
            </w:pPr>
            <w:r>
              <w:t xml:space="preserve">系统毒性</w:t>
            </w:r>
          </w:p>
        </w:tc>
        <w:tc>
          <w:tcPr/>
          <w:p>
            <w:pPr>
              <w:pStyle w:val="Compact"/>
              <w:jc w:val="left"/>
            </w:pPr>
            <w:r>
              <w:t xml:space="preserve">高血压（8-31%）、蛋白尿（3-20%）、出血风险高</w:t>
            </w:r>
          </w:p>
        </w:tc>
        <w:tc>
          <w:tcPr/>
          <w:p>
            <w:pPr>
              <w:pStyle w:val="Compact"/>
              <w:jc w:val="left"/>
            </w:pPr>
            <w:r>
              <w:t xml:space="preserve">高血压（8.2%）、蛋白尿（7.3%）、≥G3出血仅0.3%</w:t>
            </w:r>
            <w:r>
              <w:rPr>
                <w:vertAlign w:val="superscript"/>
              </w:rPr>
              <w:t xml:space="preserve">24</w:t>
            </w:r>
          </w:p>
        </w:tc>
      </w:tr>
      <w:tr>
        <w:tc>
          <w:tcPr/>
          <w:p>
            <w:pPr>
              <w:pStyle w:val="Compact"/>
              <w:jc w:val="left"/>
            </w:pPr>
            <w:r>
              <w:t xml:space="preserve">用药复杂性</w:t>
            </w:r>
          </w:p>
        </w:tc>
        <w:tc>
          <w:tcPr/>
          <w:p>
            <w:pPr>
              <w:pStyle w:val="Compact"/>
              <w:jc w:val="left"/>
            </w:pPr>
            <w:r>
              <w:t xml:space="preserve">双药联合，输液负担重</w:t>
            </w:r>
          </w:p>
        </w:tc>
        <w:tc>
          <w:tcPr/>
          <w:p>
            <w:pPr>
              <w:pStyle w:val="Compact"/>
              <w:jc w:val="left"/>
            </w:pPr>
            <w:r>
              <w:t xml:space="preserve">单药，简化治疗流程</w:t>
            </w:r>
          </w:p>
        </w:tc>
      </w:tr>
    </w:tbl>
    <w:p>
      <w:pPr>
        <w:pStyle w:val="BodyText"/>
      </w:pPr>
      <w:r>
        <w:t xml:space="preserve">联合方案中两种抗体独立代谢，难以保证在肿瘤部位的同步最优浓度；而AK112作为单分子天然解决了PK同步性问题。此外，AK112的协同结合使药物在VEGF高表达的肿瘤微环境（TME）中浓度升高，而系统暴露相对较低，这解释了其VEGF相关毒性显著低于贝伐的临床现象</w:t>
      </w:r>
      <w:r>
        <w:rPr>
          <w:vertAlign w:val="superscript"/>
        </w:rPr>
        <w:t xml:space="preserve">25</w:t>
      </w:r>
      <w:r>
        <w:t xml:space="preserve">。</w:t>
      </w:r>
    </w:p>
    <w:bookmarkEnd w:id="140"/>
    <w:bookmarkStart w:id="141" w:name="ak112三重竞争壁垒"/>
    <w:p>
      <w:pPr>
        <w:pStyle w:val="Heading3"/>
      </w:pPr>
      <w:r>
        <w:t xml:space="preserve">7.3 AK112三重竞争壁垒</w:t>
      </w:r>
    </w:p>
    <w:p>
      <w:pPr>
        <w:pStyle w:val="FirstParagraph"/>
      </w:pPr>
      <w:r>
        <w:t xml:space="preserve">面对上述竞品和联合方案，AK112已构建起三重难以复制的竞争壁垒。</w:t>
      </w:r>
    </w:p>
    <w:p>
      <w:pPr>
        <w:pStyle w:val="BodyText"/>
      </w:pPr>
      <w:r>
        <w:rPr>
          <w:bCs/>
          <w:b/>
        </w:rPr>
        <w:t xml:space="preserve">壁垒一：全球唯一头对头击败K药的Phase 3药物</w:t>
      </w:r>
    </w:p>
    <w:p>
      <w:pPr>
        <w:pStyle w:val="BodyText"/>
      </w:pPr>
      <w:r>
        <w:t xml:space="preserve">HARMONi-2是全球首个在Phase 3中证明单药优于帕博利珠单抗（K药）的临床研究。依沃西单抗单药mPFS 11.14个月，较K药5.82个月绝对延长5.3个月，疾病进展或死亡风险降低49%（HR 0.51，95%CI 0.38-0.69，p&lt;0.0001）</w:t>
      </w:r>
      <w:r>
        <w:rPr>
          <w:vertAlign w:val="superscript"/>
        </w:rPr>
        <w:t xml:space="preserve">8</w:t>
      </w:r>
      <w:r>
        <w:t xml:space="preserve">。这一”头对头胜K药”的临床标签具有极强的学术和商业价值——在NSCLC一线免疫治疗十余年的竞争史中，从未有任何药物在头对头随机对照中超越K药单药。该结果于2025年3月发表于《The Lancet》，并被NMPA于2025年4月批准为一线适应症</w:t>
      </w:r>
      <w:r>
        <w:rPr>
          <w:vertAlign w:val="superscript"/>
        </w:rPr>
        <w:t xml:space="preserve">26</w:t>
      </w:r>
      <w:r>
        <w:t xml:space="preserve">。</w:t>
      </w:r>
    </w:p>
    <w:p>
      <w:pPr>
        <w:pStyle w:val="BodyText"/>
      </w:pPr>
      <w:r>
        <w:rPr>
          <w:bCs/>
          <w:b/>
        </w:rPr>
        <w:t xml:space="preserve">壁垒二：全球唯一鳞癌OS阳性的抗VEGF药物</w:t>
      </w:r>
    </w:p>
    <w:p>
      <w:pPr>
        <w:pStyle w:val="BodyText"/>
      </w:pPr>
      <w:r>
        <w:t xml:space="preserve">HARMONi-6在2026年ASCO公布的OS期中分析中，取得mOS 27.9 vs 23.7个月（HR 0.66，p=0.0017）的显著阳性结果，成为全球首个在鳞癌一线治疗中头对头击败PD-1+化疗、且同时取得PFS和OS双阳性的Phase 3研究</w:t>
      </w:r>
      <w:r>
        <w:rPr>
          <w:vertAlign w:val="superscript"/>
        </w:rPr>
        <w:t xml:space="preserve">27</w:t>
      </w:r>
      <w:r>
        <w:t xml:space="preserve">。鳞癌占NSCLC约30%，既往因贝伐禁忌长期缺乏抗血管治疗选择。AK112的分子设计——四价协同结合、Fc沉默、较短半衰期——从根本上改变了VEGF靶向治疗在鳞癌中的安全性格局</w:t>
      </w:r>
      <w:r>
        <w:rPr>
          <w:vertAlign w:val="superscript"/>
        </w:rPr>
        <w:t xml:space="preserve">28</w:t>
      </w:r>
      <w:r>
        <w:t xml:space="preserve">。竞品中，SSGJ-707鳞癌数据来自Phase 2单臂；PM8002和IMM2510的鳞癌数据尚不成熟；HB0025虽鳞癌ORR高，但出血风险显著更高且缺乏对照数据。</w:t>
      </w:r>
    </w:p>
    <w:p>
      <w:pPr>
        <w:pStyle w:val="BodyText"/>
      </w:pPr>
      <w:r>
        <w:rPr>
          <w:bCs/>
          <w:b/>
        </w:rPr>
        <w:t xml:space="preserve">壁垒三：全球首个获批PD-1/VEGF双抗+Summit全球商业化网络</w:t>
      </w:r>
    </w:p>
    <w:p>
      <w:pPr>
        <w:pStyle w:val="BodyText"/>
      </w:pPr>
      <w:r>
        <w:t xml:space="preserve">AK112于2024年5月获NMPA批准，成为全球首个获批的PD-1/VEGF双抗，目前已在中国获批3项NSCLC适应症，并获FDA Fast Track资格</w:t>
      </w:r>
      <w:r>
        <w:rPr>
          <w:vertAlign w:val="superscript"/>
        </w:rPr>
        <w:t xml:space="preserve">30</w:t>
      </w:r>
      <w:r>
        <w:t xml:space="preserve">。其与Summit Therapeutics的50亿美元级合作（2022年）覆盖了北美、欧洲和日本市场的全球开发与商业化</w:t>
      </w:r>
      <w:r>
        <w:rPr>
          <w:vertAlign w:val="superscript"/>
        </w:rPr>
        <w:t xml:space="preserve">31</w:t>
      </w:r>
      <w:r>
        <w:t xml:space="preserve">。Summit的全球化网络使AK112在关键市场的上市准备领先竞品2-3年。SSGJ-707虽背靠辉瑞，但合作2025年5月才达成，Phase 3尚未全球启动；PM8002的BioNTech合作虽早，但重心在SCLC而非NSCLC。</w:t>
      </w:r>
    </w:p>
    <w:bookmarkEnd w:id="141"/>
    <w:bookmarkStart w:id="142" w:name="市场定位与先发优势"/>
    <w:p>
      <w:pPr>
        <w:pStyle w:val="Heading3"/>
      </w:pPr>
      <w:r>
        <w:t xml:space="preserve">7.4 市场定位与先发优势</w:t>
      </w:r>
    </w:p>
    <w:p>
      <w:pPr>
        <w:pStyle w:val="FirstParagraph"/>
      </w:pPr>
      <w:r>
        <w:t xml:space="preserve">若HARMONi-3取得最终阳性，AK112将在全球NSCLC一线治疗格局中占据独特位置：</w:t>
      </w:r>
    </w:p>
    <w:p>
      <w:pPr>
        <w:numPr>
          <w:ilvl w:val="0"/>
          <w:numId w:val="1007"/>
        </w:numPr>
        <w:pStyle w:val="Compact"/>
      </w:pPr>
      <w:r>
        <w:rPr>
          <w:bCs/>
          <w:b/>
        </w:rPr>
        <w:t xml:space="preserve">鳞癌+非鳞癌全覆盖</w:t>
      </w:r>
      <w:r>
        <w:t xml:space="preserve">：区别于贝伐-based方案仅适用于非鳞癌，AK112可覆盖100% NSCLC组织学类型；</w:t>
      </w:r>
    </w:p>
    <w:p>
      <w:pPr>
        <w:numPr>
          <w:ilvl w:val="0"/>
          <w:numId w:val="1007"/>
        </w:numPr>
        <w:pStyle w:val="Compact"/>
      </w:pPr>
      <w:r>
        <w:rPr>
          <w:bCs/>
          <w:b/>
        </w:rPr>
        <w:t xml:space="preserve">PD-L1全谱系获益</w:t>
      </w:r>
      <w:r>
        <w:t xml:space="preserve">：HARMONi-6显示PD-L1阴性（TPS&lt;1%）患者获益甚至更大（HR 0.55 vs 0.66），突破了PD-1单抗对PD-L1表达的依赖</w:t>
      </w:r>
      <w:r>
        <w:rPr>
          <w:vertAlign w:val="superscript"/>
        </w:rPr>
        <w:t xml:space="preserve">27</w:t>
      </w:r>
      <w:r>
        <w:t xml:space="preserve">；</w:t>
      </w:r>
    </w:p>
    <w:p>
      <w:pPr>
        <w:numPr>
          <w:ilvl w:val="0"/>
          <w:numId w:val="1007"/>
        </w:numPr>
        <w:pStyle w:val="Compact"/>
      </w:pPr>
      <w:r>
        <w:rPr>
          <w:bCs/>
          <w:b/>
        </w:rPr>
        <w:t xml:space="preserve">“</w:t>
      </w:r>
      <w:r>
        <w:rPr>
          <w:bCs/>
          <w:b/>
        </w:rPr>
        <w:t xml:space="preserve">去化疗</w:t>
      </w:r>
      <w:r>
        <w:rPr>
          <w:bCs/>
          <w:b/>
        </w:rPr>
        <w:t xml:space="preserve">”</w:t>
      </w:r>
      <w:r>
        <w:rPr>
          <w:bCs/>
          <w:b/>
        </w:rPr>
        <w:t xml:space="preserve">单药+联合化疗双选择</w:t>
      </w:r>
      <w:r>
        <w:t xml:space="preserve">：HARMONi-2验证了单药（PD-L1≥1%）的疗效，HARMONi-3/6验证联合化疗，覆盖不同临床场景。</w:t>
      </w:r>
    </w:p>
    <w:p>
      <w:pPr>
        <w:pStyle w:val="FirstParagraph"/>
      </w:pPr>
      <w:r>
        <w:t xml:space="preserve">竞品时间线评估显示，</w:t>
      </w:r>
      <w:r>
        <w:rPr>
          <w:bCs/>
          <w:b/>
        </w:rPr>
        <w:t xml:space="preserve">2-3年内难以撼动AK112的先发优势</w:t>
      </w:r>
      <w:r>
        <w:t xml:space="preserve">：</w:t>
      </w:r>
    </w:p>
    <w:tbl>
      <w:tblPr>
        <w:tblStyle w:val="Table"/>
        <w:tblW w:type="pct" w:w="5000"/>
        <w:tblLook w:firstRow="1" w:lastRow="0" w:firstColumn="0" w:lastColumn="0" w:noHBand="0" w:noVBand="0" w:val="0020"/>
        <w:jc w:val="start"/>
        <w:tblLayout w:type="fixed"/>
      </w:tblPr>
      <w:tblGrid>
        <w:gridCol w:w="1159"/>
        <w:gridCol w:w="4636"/>
        <w:gridCol w:w="2124"/>
      </w:tblGrid>
      <w:tr>
        <w:trPr>
          <w:tblHeader w:val="true"/>
        </w:trPr>
        <w:tc>
          <w:tcPr/>
          <w:p>
            <w:pPr>
              <w:pStyle w:val="Compact"/>
              <w:jc w:val="left"/>
            </w:pPr>
            <w:r>
              <w:t xml:space="preserve">竞品</w:t>
            </w:r>
          </w:p>
        </w:tc>
        <w:tc>
          <w:tcPr/>
          <w:p>
            <w:pPr>
              <w:pStyle w:val="Compact"/>
              <w:jc w:val="left"/>
            </w:pPr>
            <w:r>
              <w:t xml:space="preserve">预计NSCLC关键数据/获批时间</w:t>
            </w:r>
          </w:p>
        </w:tc>
        <w:tc>
          <w:tcPr/>
          <w:p>
            <w:pPr>
              <w:pStyle w:val="Compact"/>
              <w:jc w:val="left"/>
            </w:pPr>
            <w:r>
              <w:t xml:space="preserve">潜在威胁评估</w:t>
            </w:r>
          </w:p>
        </w:tc>
      </w:tr>
      <w:tr>
        <w:tc>
          <w:tcPr/>
          <w:p>
            <w:pPr>
              <w:pStyle w:val="Compact"/>
              <w:jc w:val="left"/>
            </w:pPr>
            <w:r>
              <w:t xml:space="preserve">PM8002/BNT327</w:t>
            </w:r>
          </w:p>
        </w:tc>
        <w:tc>
          <w:tcPr/>
          <w:p>
            <w:pPr>
              <w:pStyle w:val="Compact"/>
              <w:jc w:val="left"/>
            </w:pPr>
            <w:r>
              <w:t xml:space="preserve">NSCLC Phase 3未启动，预计2028年后</w:t>
            </w:r>
          </w:p>
        </w:tc>
        <w:tc>
          <w:tcPr/>
          <w:p>
            <w:pPr>
              <w:pStyle w:val="Compact"/>
              <w:jc w:val="left"/>
            </w:pPr>
            <w:r>
              <w:t xml:space="preserve">低；靶点差异（PD-L1×VEGF-A），进度落后</w:t>
            </w:r>
          </w:p>
        </w:tc>
      </w:tr>
      <w:tr>
        <w:tc>
          <w:tcPr/>
          <w:p>
            <w:pPr>
              <w:pStyle w:val="Compact"/>
              <w:jc w:val="left"/>
            </w:pPr>
            <w:r>
              <w:t xml:space="preserve">SSGJ-707</w:t>
            </w:r>
          </w:p>
        </w:tc>
        <w:tc>
          <w:tcPr/>
          <w:p>
            <w:pPr>
              <w:pStyle w:val="Compact"/>
              <w:jc w:val="left"/>
            </w:pPr>
            <w:r>
              <w:t xml:space="preserve">Phase 3入组中，预计2028-2029年读出</w:t>
            </w:r>
          </w:p>
        </w:tc>
        <w:tc>
          <w:tcPr/>
          <w:p>
            <w:pPr>
              <w:pStyle w:val="Compact"/>
              <w:jc w:val="left"/>
            </w:pPr>
            <w:r>
              <w:t xml:space="preserve">中；辉瑞全球能力强，但头对头数据缺失，需时间追赶</w:t>
            </w:r>
          </w:p>
        </w:tc>
      </w:tr>
      <w:tr>
        <w:tc>
          <w:tcPr/>
          <w:p>
            <w:pPr>
              <w:pStyle w:val="Compact"/>
              <w:jc w:val="left"/>
            </w:pPr>
            <w:r>
              <w:t xml:space="preserve">HB0025</w:t>
            </w:r>
          </w:p>
        </w:tc>
        <w:tc>
          <w:tcPr/>
          <w:p>
            <w:pPr>
              <w:pStyle w:val="Compact"/>
              <w:jc w:val="left"/>
            </w:pPr>
            <w:r>
              <w:t xml:space="preserve">Phase 3刚启动，预计2028年后</w:t>
            </w:r>
          </w:p>
        </w:tc>
        <w:tc>
          <w:tcPr/>
          <w:p>
            <w:pPr>
              <w:pStyle w:val="Compact"/>
              <w:jc w:val="left"/>
            </w:pPr>
            <w:r>
              <w:t xml:space="preserve">低；中国为主，出血风险高，全球商业化弱</w:t>
            </w:r>
          </w:p>
        </w:tc>
      </w:tr>
      <w:tr>
        <w:tc>
          <w:tcPr/>
          <w:p>
            <w:pPr>
              <w:pStyle w:val="Compact"/>
              <w:jc w:val="left"/>
            </w:pPr>
            <w:r>
              <w:t xml:space="preserve">IMM2510</w:t>
            </w:r>
          </w:p>
        </w:tc>
        <w:tc>
          <w:tcPr/>
          <w:p>
            <w:pPr>
              <w:pStyle w:val="Compact"/>
              <w:jc w:val="left"/>
            </w:pPr>
            <w:r>
              <w:t xml:space="preserve">早期临床，预计2030年后</w:t>
            </w:r>
          </w:p>
        </w:tc>
        <w:tc>
          <w:tcPr/>
          <w:p>
            <w:pPr>
              <w:pStyle w:val="Compact"/>
              <w:jc w:val="left"/>
            </w:pPr>
            <w:r>
              <w:t xml:space="preserve">极低；3-5年内不构成威胁</w:t>
            </w:r>
          </w:p>
        </w:tc>
      </w:tr>
    </w:tbl>
    <w:p>
      <w:pPr>
        <w:pStyle w:val="BodyText"/>
      </w:pPr>
      <w:r>
        <w:t xml:space="preserve">需要关注的风险因素包括：HARMONi-3鳞癌队列期中PFS分析未达早期停止阈值，提示全球人群中的效应量可能低于中国研究；OS最终成熟度需要时间验证；以及生物类似药对K药价格的冲击可能间接影响AK112的定价空间。但即便存在这些不确定性，AK112在监管获批、头对头临床证据、鳞癌独占性和全球商业化网络四个维度上的先发优势，已构成一道竞品短期内难以逾越的护城河。SSGJ-707等竞品若要在全球市场上与AK112分庭抗礼，不仅需要Phase 3成功，还需要在头对头研究中复制”超越K药”的临床故事——这在肿瘤免疫治疗领域是极高的门槛。</w:t>
      </w:r>
    </w:p>
    <w:p>
      <w:r>
        <w:pict>
          <v:rect style="width:0;height:1.5pt" o:hralign="center" o:hrstd="t" o:hr="t"/>
        </w:pict>
      </w:r>
    </w:p>
    <w:bookmarkEnd w:id="142"/>
    <w:bookmarkStart w:id="143" w:name="参考文献"/>
    <w:p>
      <w:pPr>
        <w:pStyle w:val="Heading3"/>
      </w:pPr>
      <w:r>
        <w:t xml:space="preserve">参考文献</w:t>
      </w:r>
    </w:p>
    <w:p>
      <w:r>
        <w:pict>
          <v:rect style="width:0;height:1.5pt" o:hralign="center" o:hrstd="t" o:hr="t"/>
        </w:pict>
      </w:r>
    </w:p>
    <w:bookmarkEnd w:id="143"/>
    <w:bookmarkEnd w:id="144"/>
    <w:bookmarkEnd w:id="145"/>
    <w:bookmarkStart w:id="167" w:name="第八章-风险因素与不确定性分析"/>
    <w:p>
      <w:pPr>
        <w:pStyle w:val="Heading1"/>
      </w:pPr>
      <w:r>
        <w:t xml:space="preserve">第八章 风险因素与不确定性分析</w:t>
      </w:r>
    </w:p>
    <w:p>
      <w:pPr>
        <w:pStyle w:val="FirstParagraph"/>
      </w:pPr>
      <w:r>
        <w:t xml:space="preserve">HARMONi-3作为首个PD-1/VEGF双抗头对头挑战K药联合化疗的全球III期试验，其数据读出将深刻改变一线NSCLC治疗格局。然而，任何临床预测都内含不确定性——既有削弱疗效的Downside风险，也存在超预期的Upside潜力。本章系统梳理关键不确定性维度，构建风险矩阵，量化各因素对疗效估计的影响。</w:t>
      </w:r>
    </w:p>
    <w:bookmarkStart w:id="151" w:name="downside风险因素"/>
    <w:p>
      <w:pPr>
        <w:pStyle w:val="Heading2"/>
      </w:pPr>
      <w:r>
        <w:t xml:space="preserve">8.1 Downside风险因素</w:t>
      </w:r>
    </w:p>
    <w:bookmarkStart w:id="146" w:name="中国人群效应"/>
    <w:p>
      <w:pPr>
        <w:pStyle w:val="Heading3"/>
      </w:pPr>
      <w:r>
        <w:t xml:space="preserve">8.1.1 中国人群效应</w:t>
      </w:r>
    </w:p>
    <w:p>
      <w:pPr>
        <w:pStyle w:val="FirstParagraph"/>
      </w:pPr>
      <w:r>
        <w:t xml:space="preserve">HARMONi-3最核心且被低估的风险，是</w:t>
      </w:r>
      <w:r>
        <w:rPr>
          <w:bCs/>
          <w:b/>
        </w:rPr>
        <w:t xml:space="preserve">中国人群效应</w:t>
      </w:r>
      <w:r>
        <w:t xml:space="preserve">对疗效外推的干扰。KEYNOTE-407全球数据中K药+化疗鳞癌OS HR为0.71，中国扩展研究中同一方案OS HR骤降至0.44，降幅达0.27</w:t>
      </w:r>
      <w:r>
        <w:rPr>
          <w:vertAlign w:val="superscript"/>
        </w:rPr>
        <w:t xml:space="preserve">1</w:t>
      </w:r>
      <w:r>
        <w:t xml:space="preserve">。中国鳞癌患者对免疫联合化疗应答显著强于全球平均，可能与EGFR突变率、吸烟模式或后续治疗差异有关，而非单纯药物效应</w:t>
      </w:r>
      <w:r>
        <w:rPr>
          <w:vertAlign w:val="superscript"/>
        </w:rPr>
        <w:t xml:space="preserve">2</w:t>
      </w:r>
      <w:r>
        <w:t xml:space="preserve">。</w:t>
      </w:r>
    </w:p>
    <w:p>
      <w:pPr>
        <w:pStyle w:val="BodyText"/>
      </w:pPr>
      <w:r>
        <w:t xml:space="preserve">HARMONi-6作为纯中国人群试验，其OS HR=0.66可能受人群效应放大。若HARMONi-3全球鳞癌OS HR落在0.75–0.85区间，则中国优势被西方人群稀释，临床获益将低于HARMONi-6暗示的水平</w:t>
      </w:r>
      <w:r>
        <w:rPr>
          <w:vertAlign w:val="superscript"/>
        </w:rPr>
        <w:t xml:space="preserve">3</w:t>
      </w:r>
      <w:r>
        <w:t xml:space="preserve">。非亚洲人群亚组数据是判断该效应真实影响的关键。</w:t>
      </w:r>
    </w:p>
    <w:bookmarkEnd w:id="146"/>
    <w:bookmarkStart w:id="147" w:name="西方人群基线差异"/>
    <w:p>
      <w:pPr>
        <w:pStyle w:val="Heading3"/>
      </w:pPr>
      <w:r>
        <w:t xml:space="preserve">8.1.2 西方人群基线差异</w:t>
      </w:r>
    </w:p>
    <w:p>
      <w:pPr>
        <w:pStyle w:val="FirstParagraph"/>
      </w:pPr>
      <w:r>
        <w:t xml:space="preserve">西方鳞癌患者肥胖率更高、合并症（慢阻肺、心血管疾病）负担更重，可能降低免疫净获益</w:t>
      </w:r>
      <w:r>
        <w:rPr>
          <w:vertAlign w:val="superscript"/>
        </w:rPr>
        <w:t xml:space="preserve">4</w:t>
      </w:r>
      <w:r>
        <w:t xml:space="preserve">。HARMONi全球试验（EGFRm后线）提供安慰证据：全球OS HR=0.78与中国HARMONi-A的HR=0.74仅差0.04，远小于KEYNOTE-407的0.27</w:t>
      </w:r>
      <w:r>
        <w:rPr>
          <w:vertAlign w:val="superscript"/>
        </w:rPr>
        <w:t xml:space="preserve">5</w:t>
      </w:r>
      <w:r>
        <w:t xml:space="preserve">。但鳞癌种族差异可能大于EGFRm人群</w:t>
      </w:r>
      <w:r>
        <w:rPr>
          <w:vertAlign w:val="superscript"/>
        </w:rPr>
        <w:t xml:space="preserve">6</w:t>
      </w:r>
      <w:r>
        <w:t xml:space="preserve">。桥接模型显示西方人群比例升高或带来约0.03个HR惩罚；然而HARMONi全球北美亚组OS HR=0.70优于总体HR=0.78，方向性积极</w:t>
      </w:r>
      <w:r>
        <w:rPr>
          <w:vertAlign w:val="superscript"/>
        </w:rPr>
        <w:t xml:space="preserve">7</w:t>
      </w:r>
      <w:r>
        <w:t xml:space="preserve">。</w:t>
      </w:r>
    </w:p>
    <w:bookmarkEnd w:id="147"/>
    <w:bookmarkStart w:id="148" w:name="对照组交叉稀释os"/>
    <w:p>
      <w:pPr>
        <w:pStyle w:val="Heading3"/>
      </w:pPr>
      <w:r>
        <w:t xml:space="preserve">8.1.3 对照组交叉稀释OS</w:t>
      </w:r>
    </w:p>
    <w:p>
      <w:pPr>
        <w:pStyle w:val="FirstParagraph"/>
      </w:pPr>
      <w:r>
        <w:t xml:space="preserve">KEYNOTE-407中对照组患者进展后交叉至K药比例高达50.9%</w:t>
      </w:r>
      <w:r>
        <w:rPr>
          <w:vertAlign w:val="superscript"/>
        </w:rPr>
        <w:t xml:space="preserve">8</w:t>
      </w:r>
      <w:r>
        <w:t xml:space="preserve">，显著缩小OS差异。HARMONi-3对照组为K药+化疗，进展后后线可能含AK112；若交叉率高，OS检测将面临额外统计挑战。模型估算交叉效应带来约0.02个HR惩罚，但已被历史数据充分建模</w:t>
      </w:r>
      <w:r>
        <w:rPr>
          <w:vertAlign w:val="superscript"/>
        </w:rPr>
        <w:t xml:space="preserve">9</w:t>
      </w:r>
      <w:r>
        <w:t xml:space="preserve">。</w:t>
      </w:r>
    </w:p>
    <w:bookmarkEnd w:id="148"/>
    <w:bookmarkStart w:id="149" w:name="年q2期中分析的心理冲击"/>
    <w:p>
      <w:pPr>
        <w:pStyle w:val="Heading3"/>
      </w:pPr>
      <w:r>
        <w:t xml:space="preserve">8.1.4 2026年Q2期中分析的心理冲击</w:t>
      </w:r>
    </w:p>
    <w:p>
      <w:pPr>
        <w:pStyle w:val="FirstParagraph"/>
      </w:pPr>
      <w:r>
        <w:t xml:space="preserve">2026年4月HARMONi-3早期期中分析未达提前终止阈值，IDMC建议继续，Summit保持盲态</w:t>
      </w:r>
      <w:r>
        <w:rPr>
          <w:vertAlign w:val="superscript"/>
        </w:rPr>
        <w:t xml:space="preserve">10</w:t>
      </w:r>
      <w:r>
        <w:t xml:space="preserve">。该分析采用高度保守alpha-spending策略，仅消耗极小显著性预算，但市场反应剧烈——Summit股价单日跌约26%</w:t>
      </w:r>
      <w:r>
        <w:rPr>
          <w:vertAlign w:val="superscript"/>
        </w:rPr>
        <w:t xml:space="preserve">11</w:t>
      </w:r>
      <w:r>
        <w:t xml:space="preserve">。这揭示”未达阈值≠失败”与市场误读之间的鸿沟：早期分析数据成熟度不足，保守边界要求极高获益才能终止。但市场可能误读为疗效不足前兆，对最终分析产生过度负面心理折价。</w:t>
      </w:r>
    </w:p>
    <w:bookmarkEnd w:id="149"/>
    <w:bookmarkStart w:id="150" w:name="统计设计不透明"/>
    <w:p>
      <w:pPr>
        <w:pStyle w:val="Heading3"/>
      </w:pPr>
      <w:r>
        <w:t xml:space="preserve">8.1.5 统计设计不透明</w:t>
      </w:r>
    </w:p>
    <w:p>
      <w:pPr>
        <w:pStyle w:val="FirstParagraph"/>
      </w:pPr>
      <w:r>
        <w:t xml:space="preserve">HARMONi-3的alpha分配、期中分析边界、PFS与OS显著性传递策略等核心统计细节未完整公开</w:t>
      </w:r>
      <w:r>
        <w:rPr>
          <w:vertAlign w:val="superscript"/>
        </w:rPr>
        <w:t xml:space="preserve">12</w:t>
      </w:r>
      <w:r>
        <w:t xml:space="preserve">。现有功效计算基于标准假设，若实际设计更保守（如alpha进一步分割），实际成功概率可能低于模型预测。此”设计黑箱”对2026年Q2新增PFS期中分析能否达显著性构成不确定性。</w:t>
      </w:r>
    </w:p>
    <w:p>
      <w:pPr>
        <w:pStyle w:val="BodyText"/>
      </w:pPr>
      <w:r>
        <w:rPr>
          <w:bCs/>
          <w:b/>
        </w:rPr>
        <w:t xml:space="preserve">表8-1 Downside风险矩阵</w:t>
      </w:r>
    </w:p>
    <w:tbl>
      <w:tblPr>
        <w:tblStyle w:val="Table"/>
        <w:tblW w:type="pct" w:w="5000"/>
        <w:tblLook w:firstRow="1" w:lastRow="0" w:firstColumn="0" w:lastColumn="0" w:noHBand="0" w:noVBand="0" w:val="0020"/>
        <w:jc w:val="start"/>
        <w:tblLayout w:type="fixed"/>
      </w:tblPr>
      <w:tblGrid>
        <w:gridCol w:w="1454"/>
        <w:gridCol w:w="1616"/>
        <w:gridCol w:w="1293"/>
        <w:gridCol w:w="2101"/>
        <w:gridCol w:w="1454"/>
      </w:tblGrid>
      <w:tr>
        <w:trPr>
          <w:tblHeader w:val="true"/>
        </w:trPr>
        <w:tc>
          <w:tcPr/>
          <w:p>
            <w:pPr>
              <w:pStyle w:val="Compact"/>
              <w:jc w:val="left"/>
            </w:pPr>
            <w:r>
              <w:t xml:space="preserve">风险因素</w:t>
            </w:r>
          </w:p>
        </w:tc>
        <w:tc>
          <w:tcPr/>
          <w:p>
            <w:pPr>
              <w:pStyle w:val="Compact"/>
              <w:jc w:val="left"/>
            </w:pPr>
            <w:r>
              <w:t xml:space="preserve">估计HR影响</w:t>
            </w:r>
          </w:p>
        </w:tc>
        <w:tc>
          <w:tcPr/>
          <w:p>
            <w:pPr>
              <w:pStyle w:val="Compact"/>
              <w:jc w:val="left"/>
            </w:pPr>
            <w:r>
              <w:t xml:space="preserve">置信度</w:t>
            </w:r>
          </w:p>
        </w:tc>
        <w:tc>
          <w:tcPr/>
          <w:p>
            <w:pPr>
              <w:pStyle w:val="Compact"/>
              <w:jc w:val="left"/>
            </w:pPr>
            <w:r>
              <w:t xml:space="preserve">关键数据来源</w:t>
            </w:r>
          </w:p>
        </w:tc>
        <w:tc>
          <w:tcPr/>
          <w:p>
            <w:pPr>
              <w:pStyle w:val="Compact"/>
              <w:jc w:val="left"/>
            </w:pPr>
            <w:r>
              <w:t xml:space="preserve">缓释因素</w:t>
            </w:r>
          </w:p>
        </w:tc>
      </w:tr>
      <w:tr>
        <w:tc>
          <w:tcPr/>
          <w:p>
            <w:pPr>
              <w:pStyle w:val="Compact"/>
              <w:jc w:val="left"/>
            </w:pPr>
            <w:r>
              <w:t xml:space="preserve">中国人群效应稀释</w:t>
            </w:r>
          </w:p>
        </w:tc>
        <w:tc>
          <w:tcPr/>
          <w:p>
            <w:pPr>
              <w:pStyle w:val="Compact"/>
              <w:jc w:val="left"/>
            </w:pPr>
            <w:r>
              <w:t xml:space="preserve">+0.05–0.10</w:t>
            </w:r>
          </w:p>
        </w:tc>
        <w:tc>
          <w:tcPr/>
          <w:p>
            <w:pPr>
              <w:pStyle w:val="Compact"/>
              <w:jc w:val="left"/>
            </w:pPr>
            <w:r>
              <w:t xml:space="preserve">高</w:t>
            </w:r>
          </w:p>
        </w:tc>
        <w:tc>
          <w:tcPr/>
          <w:p>
            <w:pPr>
              <w:pStyle w:val="Compact"/>
              <w:jc w:val="left"/>
            </w:pPr>
            <w:r>
              <w:t xml:space="preserve">KEYNOTE-407中国HR=0.44 vs全球0.71</w:t>
            </w:r>
            <w:r>
              <w:rPr>
                <w:vertAlign w:val="superscript"/>
              </w:rPr>
              <w:t xml:space="preserve">1</w:t>
            </w:r>
          </w:p>
        </w:tc>
        <w:tc>
          <w:tcPr/>
          <w:p>
            <w:pPr>
              <w:pStyle w:val="Compact"/>
              <w:jc w:val="left"/>
            </w:pPr>
            <w:r>
              <w:t xml:space="preserve">HARMONi全球vs HARMONi-A差异仅0.04</w:t>
            </w:r>
            <w:r>
              <w:rPr>
                <w:vertAlign w:val="superscript"/>
              </w:rPr>
              <w:t xml:space="preserve">5</w:t>
            </w:r>
          </w:p>
        </w:tc>
      </w:tr>
      <w:tr>
        <w:tc>
          <w:tcPr/>
          <w:p>
            <w:pPr>
              <w:pStyle w:val="Compact"/>
              <w:jc w:val="left"/>
            </w:pPr>
            <w:r>
              <w:t xml:space="preserve">西方人群基线差异</w:t>
            </w:r>
          </w:p>
        </w:tc>
        <w:tc>
          <w:tcPr/>
          <w:p>
            <w:pPr>
              <w:pStyle w:val="Compact"/>
              <w:jc w:val="left"/>
            </w:pPr>
            <w:r>
              <w:t xml:space="preserve">+0.02–0.03</w:t>
            </w:r>
          </w:p>
        </w:tc>
        <w:tc>
          <w:tcPr/>
          <w:p>
            <w:pPr>
              <w:pStyle w:val="Compact"/>
              <w:jc w:val="left"/>
            </w:pPr>
            <w:r>
              <w:t xml:space="preserve">中</w:t>
            </w:r>
          </w:p>
        </w:tc>
        <w:tc>
          <w:tcPr/>
          <w:p>
            <w:pPr>
              <w:pStyle w:val="Compact"/>
              <w:jc w:val="left"/>
            </w:pPr>
            <w:r>
              <w:t xml:space="preserve">真实世界流行病学数据</w:t>
            </w:r>
            <w:r>
              <w:rPr>
                <w:vertAlign w:val="superscript"/>
              </w:rPr>
              <w:t xml:space="preserve">4</w:t>
            </w:r>
          </w:p>
        </w:tc>
        <w:tc>
          <w:tcPr/>
          <w:p>
            <w:pPr>
              <w:pStyle w:val="Compact"/>
              <w:jc w:val="left"/>
            </w:pPr>
            <w:r>
              <w:t xml:space="preserve">北美亚组HR=0.70优于总体</w:t>
            </w:r>
            <w:r>
              <w:rPr>
                <w:vertAlign w:val="superscript"/>
              </w:rPr>
              <w:t xml:space="preserve">7</w:t>
            </w:r>
          </w:p>
        </w:tc>
      </w:tr>
      <w:tr>
        <w:tc>
          <w:tcPr/>
          <w:p>
            <w:pPr>
              <w:pStyle w:val="Compact"/>
              <w:jc w:val="left"/>
            </w:pPr>
            <w:r>
              <w:t xml:space="preserve">对照组交叉稀释OS</w:t>
            </w:r>
          </w:p>
        </w:tc>
        <w:tc>
          <w:tcPr/>
          <w:p>
            <w:pPr>
              <w:pStyle w:val="Compact"/>
              <w:jc w:val="left"/>
            </w:pPr>
            <w:r>
              <w:t xml:space="preserve">+0.02</w:t>
            </w:r>
          </w:p>
        </w:tc>
        <w:tc>
          <w:tcPr/>
          <w:p>
            <w:pPr>
              <w:pStyle w:val="Compact"/>
              <w:jc w:val="left"/>
            </w:pPr>
            <w:r>
              <w:t xml:space="preserve">高</w:t>
            </w:r>
          </w:p>
        </w:tc>
        <w:tc>
          <w:tcPr/>
          <w:p>
            <w:pPr>
              <w:pStyle w:val="Compact"/>
              <w:jc w:val="left"/>
            </w:pPr>
            <w:r>
              <w:t xml:space="preserve">KEYNOTE-407交叉率50.9%</w:t>
            </w:r>
            <w:r>
              <w:rPr>
                <w:vertAlign w:val="superscript"/>
              </w:rPr>
              <w:t xml:space="preserve">8</w:t>
            </w:r>
          </w:p>
        </w:tc>
        <w:tc>
          <w:tcPr/>
          <w:p>
            <w:pPr>
              <w:pStyle w:val="Compact"/>
              <w:jc w:val="left"/>
            </w:pPr>
            <w:r>
              <w:t xml:space="preserve">已被历史模型充分纳入</w:t>
            </w:r>
            <w:r>
              <w:rPr>
                <w:vertAlign w:val="superscript"/>
              </w:rPr>
              <w:t xml:space="preserve">9</w:t>
            </w:r>
          </w:p>
        </w:tc>
      </w:tr>
      <w:tr>
        <w:tc>
          <w:tcPr/>
          <w:p>
            <w:pPr>
              <w:pStyle w:val="Compact"/>
              <w:jc w:val="left"/>
            </w:pPr>
            <w:r>
              <w:t xml:space="preserve">期中分析心理冲击</w:t>
            </w:r>
          </w:p>
        </w:tc>
        <w:tc>
          <w:tcPr/>
          <w:p>
            <w:pPr>
              <w:pStyle w:val="Compact"/>
              <w:jc w:val="left"/>
            </w:pPr>
            <w:r>
              <w:t xml:space="preserve">情绪/非量化</w:t>
            </w:r>
          </w:p>
        </w:tc>
        <w:tc>
          <w:tcPr/>
          <w:p>
            <w:pPr>
              <w:pStyle w:val="Compact"/>
              <w:jc w:val="left"/>
            </w:pPr>
            <w:r>
              <w:t xml:space="preserve">高</w:t>
            </w:r>
          </w:p>
        </w:tc>
        <w:tc>
          <w:tcPr/>
          <w:p>
            <w:pPr>
              <w:pStyle w:val="Compact"/>
              <w:jc w:val="left"/>
            </w:pPr>
            <w:r>
              <w:t xml:space="preserve">Summit股价单日-26%</w:t>
            </w:r>
            <w:r>
              <w:rPr>
                <w:vertAlign w:val="superscript"/>
              </w:rPr>
              <w:t xml:space="preserve">11</w:t>
            </w:r>
          </w:p>
        </w:tc>
        <w:tc>
          <w:tcPr/>
          <w:p>
            <w:pPr>
              <w:pStyle w:val="Compact"/>
              <w:jc w:val="left"/>
            </w:pPr>
            <w:r>
              <w:t xml:space="preserve">高度保守alpha策略，未达阈值≠失败</w:t>
            </w:r>
            <w:r>
              <w:rPr>
                <w:vertAlign w:val="superscript"/>
              </w:rPr>
              <w:t xml:space="preserve">10</w:t>
            </w:r>
          </w:p>
        </w:tc>
      </w:tr>
      <w:tr>
        <w:tc>
          <w:tcPr/>
          <w:p>
            <w:pPr>
              <w:pStyle w:val="Compact"/>
              <w:jc w:val="left"/>
            </w:pPr>
            <w:r>
              <w:t xml:space="preserve">统计设计不透明</w:t>
            </w:r>
          </w:p>
        </w:tc>
        <w:tc>
          <w:tcPr/>
          <w:p>
            <w:pPr>
              <w:pStyle w:val="Compact"/>
              <w:jc w:val="left"/>
            </w:pPr>
            <w:r>
              <w:t xml:space="preserve">±0.02–0.04</w:t>
            </w:r>
          </w:p>
        </w:tc>
        <w:tc>
          <w:tcPr/>
          <w:p>
            <w:pPr>
              <w:pStyle w:val="Compact"/>
              <w:jc w:val="left"/>
            </w:pPr>
            <w:r>
              <w:t xml:space="preserve">中</w:t>
            </w:r>
          </w:p>
        </w:tc>
        <w:tc>
          <w:tcPr/>
          <w:p>
            <w:pPr>
              <w:pStyle w:val="Compact"/>
              <w:jc w:val="left"/>
            </w:pPr>
            <w:r>
              <w:t xml:space="preserve">alpha分配细节未公开</w:t>
            </w:r>
            <w:r>
              <w:rPr>
                <w:vertAlign w:val="superscript"/>
              </w:rPr>
              <w:t xml:space="preserve">12</w:t>
            </w:r>
          </w:p>
        </w:tc>
        <w:tc>
          <w:tcPr/>
          <w:p>
            <w:pPr>
              <w:pStyle w:val="Compact"/>
              <w:jc w:val="left"/>
            </w:pPr>
            <w:r>
              <w:t xml:space="preserve">双主要终点增加容错空间</w:t>
            </w:r>
          </w:p>
        </w:tc>
      </w:tr>
      <w:tr>
        <w:tc>
          <w:tcPr/>
          <w:p>
            <w:pPr>
              <w:pStyle w:val="Compact"/>
              <w:jc w:val="left"/>
            </w:pPr>
            <w:r>
              <w:rPr>
                <w:bCs/>
                <w:b/>
              </w:rPr>
              <w:t xml:space="preserve">合计净惩罚</w:t>
            </w:r>
          </w:p>
        </w:tc>
        <w:tc>
          <w:tcPr/>
          <w:p>
            <w:pPr>
              <w:pStyle w:val="Compact"/>
              <w:jc w:val="left"/>
            </w:pPr>
            <w:r>
              <w:rPr>
                <w:bCs/>
                <w:b/>
              </w:rPr>
              <w:t xml:space="preserve">+0.11–0.21</w:t>
            </w:r>
          </w:p>
        </w:tc>
        <w:tc>
          <w:tcPr/>
          <w:p>
            <w:pPr>
              <w:pStyle w:val="Compact"/>
            </w:pPr>
          </w:p>
        </w:tc>
        <w:tc>
          <w:tcPr/>
          <w:p>
            <w:pPr>
              <w:pStyle w:val="Compact"/>
            </w:pPr>
          </w:p>
        </w:tc>
        <w:tc>
          <w:tcPr/>
          <w:p>
            <w:pPr>
              <w:pStyle w:val="Compact"/>
            </w:pPr>
          </w:p>
        </w:tc>
      </w:tr>
    </w:tbl>
    <w:bookmarkEnd w:id="150"/>
    <w:bookmarkEnd w:id="151"/>
    <w:bookmarkStart w:id="156" w:name="upside潜在利好"/>
    <w:p>
      <w:pPr>
        <w:pStyle w:val="Heading2"/>
      </w:pPr>
      <w:r>
        <w:t xml:space="preserve">8.2 Upside潜在利好</w:t>
      </w:r>
    </w:p>
    <w:bookmarkStart w:id="152" w:name="野生型人群免疫敏感性优势"/>
    <w:p>
      <w:pPr>
        <w:pStyle w:val="Heading3"/>
      </w:pPr>
      <w:r>
        <w:t xml:space="preserve">8.2.1 野生型人群免疫敏感性优势</w:t>
      </w:r>
    </w:p>
    <w:p>
      <w:pPr>
        <w:pStyle w:val="FirstParagraph"/>
      </w:pPr>
      <w:r>
        <w:t xml:space="preserve">HARMONi-A针对EGFR-TKI进展后EGFR突变人群，OS HR=0.74显著弱于HARMONi-6的0.66</w:t>
      </w:r>
      <w:r>
        <w:rPr>
          <w:vertAlign w:val="superscript"/>
        </w:rPr>
        <w:t xml:space="preserve">13</w:t>
      </w:r>
      <w:r>
        <w:t xml:space="preserve">。EGFR突变人群免疫微环境呈”冷肿瘤”特征，PD-1/VEGF双抗疗效受限。HARMONi-3作为一线野生型（非EGFR突变）试验，理论上有更高免疫应答基线，模型估算带来约0.03个HR收益</w:t>
      </w:r>
      <w:r>
        <w:rPr>
          <w:vertAlign w:val="superscript"/>
        </w:rPr>
        <w:t xml:space="preserve">14</w:t>
      </w:r>
      <w:r>
        <w:t xml:space="preserve">。</w:t>
      </w:r>
    </w:p>
    <w:bookmarkEnd w:id="152"/>
    <w:bookmarkStart w:id="153" w:name="pd-l1阴性亚组差异化获益"/>
    <w:p>
      <w:pPr>
        <w:pStyle w:val="Heading3"/>
      </w:pPr>
      <w:r>
        <w:t xml:space="preserve">8.2.2 PD-L1阴性亚组差异化获益</w:t>
      </w:r>
    </w:p>
    <w:p>
      <w:pPr>
        <w:pStyle w:val="FirstParagraph"/>
      </w:pPr>
      <w:r>
        <w:t xml:space="preserve">HARMONi-6显示PD-L1 TPS&lt;1%亚组PFS HR=0.55，优于PD-L1阳性亚组的HR=0.66</w:t>
      </w:r>
      <w:r>
        <w:rPr>
          <w:vertAlign w:val="superscript"/>
        </w:rPr>
        <w:t xml:space="preserve">15</w:t>
      </w:r>
      <w:r>
        <w:t xml:space="preserve">。PD-L1阴性肿瘤中传统PD-1单抗疗效受限（KEYNOTE-407该亚组OS CI跨1），而AK112的VEGF阻断通过血管正常化和解除免疫抑制（减少MDSC、Treg）提供不依赖PD-L1的额外通路</w:t>
      </w:r>
      <w:r>
        <w:rPr>
          <w:vertAlign w:val="superscript"/>
        </w:rPr>
        <w:t xml:space="preserve">16</w:t>
      </w:r>
      <w:r>
        <w:t xml:space="preserve">。若HARMONi-3重现此模式，AK112有望获all-comer标签，覆盖全人群而非仅PD-L1阳性，具有重大商业和临床价值</w:t>
      </w:r>
      <w:r>
        <w:rPr>
          <w:vertAlign w:val="superscript"/>
        </w:rPr>
        <w:t xml:space="preserve">17</w:t>
      </w:r>
      <w:r>
        <w:t xml:space="preserve">。</w:t>
      </w:r>
    </w:p>
    <w:bookmarkEnd w:id="153"/>
    <w:bookmarkStart w:id="154" w:name="harmoni-6机制验证价值"/>
    <w:p>
      <w:pPr>
        <w:pStyle w:val="Heading3"/>
      </w:pPr>
      <w:r>
        <w:t xml:space="preserve">8.2.3 HARMONi-6机制验证价值</w:t>
      </w:r>
    </w:p>
    <w:p>
      <w:pPr>
        <w:pStyle w:val="FirstParagraph"/>
      </w:pPr>
      <w:r>
        <w:t xml:space="preserve">HARMONi-6的OS HR=0.66（p=0.0017）是对AK112”PD-1+VEGF”双靶机制在鳞癌中有效性的强验证</w:t>
      </w:r>
      <w:r>
        <w:rPr>
          <w:vertAlign w:val="superscript"/>
        </w:rPr>
        <w:t xml:space="preserve">18</w:t>
      </w:r>
      <w:r>
        <w:t xml:space="preserve">。免疫肿瘤学历史上PFS不转化为OS的案例屡见不鲜，HARMONi-6打破了此顾虑，证明VEGF加成可切实转化为长期生存获益。这为HARMONi-3提供了高于统计外推的生物学可信度，估算贡献约0.01个HR”信心溢价”</w:t>
      </w:r>
      <w:r>
        <w:rPr>
          <w:vertAlign w:val="superscript"/>
        </w:rPr>
        <w:t xml:space="preserve">19</w:t>
      </w:r>
      <w:r>
        <w:t xml:space="preserve">。</w:t>
      </w:r>
    </w:p>
    <w:bookmarkEnd w:id="154"/>
    <w:bookmarkStart w:id="155" w:name="北美人群可能更优"/>
    <w:p>
      <w:pPr>
        <w:pStyle w:val="Heading3"/>
      </w:pPr>
      <w:r>
        <w:t xml:space="preserve">8.2.4 北美人群可能更优</w:t>
      </w:r>
    </w:p>
    <w:p>
      <w:pPr>
        <w:pStyle w:val="FirstParagraph"/>
      </w:pPr>
      <w:r>
        <w:t xml:space="preserve">HARMONi全球试验北美亚组OS HR=0.70，优于总体HR=0.78</w:t>
      </w:r>
      <w:r>
        <w:rPr>
          <w:vertAlign w:val="superscript"/>
        </w:rPr>
        <w:t xml:space="preserve">20</w:t>
      </w:r>
      <w:r>
        <w:t xml:space="preserve">。虽样本量有限，但提示西方人群应答可能不劣于中国。若HARMONi-3北美亚组重现此趋势，将有力反驳”中国人群效应”担忧，为AK112全球标准地位提供更坚实的地域一致性证据</w:t>
      </w:r>
      <w:r>
        <w:rPr>
          <w:vertAlign w:val="superscript"/>
        </w:rPr>
        <w:t xml:space="preserve">21</w:t>
      </w:r>
      <w:r>
        <w:t xml:space="preserve">。</w:t>
      </w:r>
    </w:p>
    <w:p>
      <w:pPr>
        <w:pStyle w:val="BodyText"/>
      </w:pPr>
      <w:r>
        <w:rPr>
          <w:bCs/>
          <w:b/>
        </w:rPr>
        <w:t xml:space="preserve">表8-2 Upside利好矩阵</w:t>
      </w:r>
    </w:p>
    <w:tbl>
      <w:tblPr>
        <w:tblStyle w:val="Table"/>
        <w:tblW w:type="pct" w:w="5000"/>
        <w:tblLook w:firstRow="1" w:lastRow="0" w:firstColumn="0" w:lastColumn="0" w:noHBand="0" w:noVBand="0" w:val="0020"/>
        <w:jc w:val="start"/>
        <w:tblLayout w:type="fixed"/>
      </w:tblPr>
      <w:tblGrid>
        <w:gridCol w:w="1782"/>
        <w:gridCol w:w="1980"/>
        <w:gridCol w:w="1584"/>
        <w:gridCol w:w="2574"/>
      </w:tblGrid>
      <w:tr>
        <w:trPr>
          <w:tblHeader w:val="true"/>
        </w:trPr>
        <w:tc>
          <w:tcPr/>
          <w:p>
            <w:pPr>
              <w:pStyle w:val="Compact"/>
              <w:jc w:val="left"/>
            </w:pPr>
            <w:r>
              <w:t xml:space="preserve">利好因素</w:t>
            </w:r>
          </w:p>
        </w:tc>
        <w:tc>
          <w:tcPr/>
          <w:p>
            <w:pPr>
              <w:pStyle w:val="Compact"/>
              <w:jc w:val="left"/>
            </w:pPr>
            <w:r>
              <w:t xml:space="preserve">估计HR收益</w:t>
            </w:r>
          </w:p>
        </w:tc>
        <w:tc>
          <w:tcPr/>
          <w:p>
            <w:pPr>
              <w:pStyle w:val="Compact"/>
              <w:jc w:val="left"/>
            </w:pPr>
            <w:r>
              <w:t xml:space="preserve">置信度</w:t>
            </w:r>
          </w:p>
        </w:tc>
        <w:tc>
          <w:tcPr/>
          <w:p>
            <w:pPr>
              <w:pStyle w:val="Compact"/>
              <w:jc w:val="left"/>
            </w:pPr>
            <w:r>
              <w:t xml:space="preserve">关键数据来源</w:t>
            </w:r>
          </w:p>
        </w:tc>
      </w:tr>
      <w:tr>
        <w:tc>
          <w:tcPr/>
          <w:p>
            <w:pPr>
              <w:pStyle w:val="Compact"/>
              <w:jc w:val="left"/>
            </w:pPr>
            <w:r>
              <w:t xml:space="preserve">野生型人群IO敏感性更高</w:t>
            </w:r>
          </w:p>
        </w:tc>
        <w:tc>
          <w:tcPr/>
          <w:p>
            <w:pPr>
              <w:pStyle w:val="Compact"/>
              <w:jc w:val="left"/>
            </w:pPr>
            <w:r>
              <w:t xml:space="preserve">-0.03</w:t>
            </w:r>
          </w:p>
        </w:tc>
        <w:tc>
          <w:tcPr/>
          <w:p>
            <w:pPr>
              <w:pStyle w:val="Compact"/>
              <w:jc w:val="left"/>
            </w:pPr>
            <w:r>
              <w:t xml:space="preserve">高</w:t>
            </w:r>
          </w:p>
        </w:tc>
        <w:tc>
          <w:tcPr/>
          <w:p>
            <w:pPr>
              <w:pStyle w:val="Compact"/>
              <w:jc w:val="left"/>
            </w:pPr>
            <w:r>
              <w:t xml:space="preserve">HARMONi-A EGFRm OS HR=0.74 vs HARMONi-6 0.66</w:t>
            </w:r>
            <w:r>
              <w:rPr>
                <w:vertAlign w:val="superscript"/>
              </w:rPr>
              <w:t xml:space="preserve">1314</w:t>
            </w:r>
          </w:p>
        </w:tc>
      </w:tr>
      <w:tr>
        <w:tc>
          <w:tcPr/>
          <w:p>
            <w:pPr>
              <w:pStyle w:val="Compact"/>
              <w:jc w:val="left"/>
            </w:pPr>
            <w:r>
              <w:t xml:space="preserve">PD-L1阴性亚组差异化获益</w:t>
            </w:r>
          </w:p>
        </w:tc>
        <w:tc>
          <w:tcPr/>
          <w:p>
            <w:pPr>
              <w:pStyle w:val="Compact"/>
              <w:jc w:val="left"/>
            </w:pPr>
            <w:r>
              <w:t xml:space="preserve">-0.02</w:t>
            </w:r>
          </w:p>
        </w:tc>
        <w:tc>
          <w:tcPr/>
          <w:p>
            <w:pPr>
              <w:pStyle w:val="Compact"/>
              <w:jc w:val="left"/>
            </w:pPr>
            <w:r>
              <w:t xml:space="preserve">中</w:t>
            </w:r>
          </w:p>
        </w:tc>
        <w:tc>
          <w:tcPr/>
          <w:p>
            <w:pPr>
              <w:pStyle w:val="Compact"/>
              <w:jc w:val="left"/>
            </w:pPr>
            <w:r>
              <w:t xml:space="preserve">HARMONi-6 PD-L1&lt;1% PFS HR=0.55</w:t>
            </w:r>
            <w:r>
              <w:rPr>
                <w:vertAlign w:val="superscript"/>
              </w:rPr>
              <w:t xml:space="preserve">1516</w:t>
            </w:r>
          </w:p>
        </w:tc>
      </w:tr>
      <w:tr>
        <w:tc>
          <w:tcPr/>
          <w:p>
            <w:pPr>
              <w:pStyle w:val="Compact"/>
              <w:jc w:val="left"/>
            </w:pPr>
            <w:r>
              <w:t xml:space="preserve">HARMONi-6强OS机制验证</w:t>
            </w:r>
          </w:p>
        </w:tc>
        <w:tc>
          <w:tcPr/>
          <w:p>
            <w:pPr>
              <w:pStyle w:val="Compact"/>
              <w:jc w:val="left"/>
            </w:pPr>
            <w:r>
              <w:t xml:space="preserve">-0.01</w:t>
            </w:r>
          </w:p>
        </w:tc>
        <w:tc>
          <w:tcPr/>
          <w:p>
            <w:pPr>
              <w:pStyle w:val="Compact"/>
              <w:jc w:val="left"/>
            </w:pPr>
            <w:r>
              <w:t xml:space="preserve">高</w:t>
            </w:r>
          </w:p>
        </w:tc>
        <w:tc>
          <w:tcPr/>
          <w:p>
            <w:pPr>
              <w:pStyle w:val="Compact"/>
              <w:jc w:val="left"/>
            </w:pPr>
            <w:r>
              <w:t xml:space="preserve">HARMONi-6 OS HR=0.66, p=0.0017</w:t>
            </w:r>
            <w:r>
              <w:rPr>
                <w:vertAlign w:val="superscript"/>
              </w:rPr>
              <w:t xml:space="preserve">18</w:t>
            </w:r>
          </w:p>
        </w:tc>
      </w:tr>
      <w:tr>
        <w:tc>
          <w:tcPr/>
          <w:p>
            <w:pPr>
              <w:pStyle w:val="Compact"/>
              <w:jc w:val="left"/>
            </w:pPr>
            <w:r>
              <w:t xml:space="preserve">北美人群疗效可能更优</w:t>
            </w:r>
          </w:p>
        </w:tc>
        <w:tc>
          <w:tcPr/>
          <w:p>
            <w:pPr>
              <w:pStyle w:val="Compact"/>
              <w:jc w:val="left"/>
            </w:pPr>
            <w:r>
              <w:t xml:space="preserve">-0.01</w:t>
            </w:r>
          </w:p>
        </w:tc>
        <w:tc>
          <w:tcPr/>
          <w:p>
            <w:pPr>
              <w:pStyle w:val="Compact"/>
              <w:jc w:val="left"/>
            </w:pPr>
            <w:r>
              <w:t xml:space="preserve">低</w:t>
            </w:r>
          </w:p>
        </w:tc>
        <w:tc>
          <w:tcPr/>
          <w:p>
            <w:pPr>
              <w:pStyle w:val="Compact"/>
              <w:jc w:val="left"/>
            </w:pPr>
            <w:r>
              <w:t xml:space="preserve">HARMONi全球北美OS HR=0.70</w:t>
            </w:r>
            <w:r>
              <w:rPr>
                <w:vertAlign w:val="superscript"/>
              </w:rPr>
              <w:t xml:space="preserve">20</w:t>
            </w:r>
          </w:p>
        </w:tc>
      </w:tr>
      <w:tr>
        <w:tc>
          <w:tcPr/>
          <w:p>
            <w:pPr>
              <w:pStyle w:val="Compact"/>
              <w:jc w:val="left"/>
            </w:pPr>
            <w:r>
              <w:rPr>
                <w:bCs/>
                <w:b/>
              </w:rPr>
              <w:t xml:space="preserve">合计净收益</w:t>
            </w:r>
          </w:p>
        </w:tc>
        <w:tc>
          <w:tcPr/>
          <w:p>
            <w:pPr>
              <w:pStyle w:val="Compact"/>
              <w:jc w:val="left"/>
            </w:pPr>
            <w:r>
              <w:rPr>
                <w:bCs/>
                <w:b/>
              </w:rPr>
              <w:t xml:space="preserve">-0.07</w:t>
            </w:r>
          </w:p>
        </w:tc>
        <w:tc>
          <w:tcPr/>
          <w:p>
            <w:pPr>
              <w:pStyle w:val="Compact"/>
            </w:pPr>
          </w:p>
        </w:tc>
        <w:tc>
          <w:tcPr/>
          <w:p>
            <w:pPr>
              <w:pStyle w:val="Compact"/>
            </w:pPr>
          </w:p>
        </w:tc>
      </w:tr>
    </w:tbl>
    <w:p>
      <w:pPr>
        <w:pStyle w:val="BodyText"/>
      </w:pPr>
      <w:r>
        <w:t xml:space="preserve">综合Downside（+0.11–0.21）与Upside（-0.07），基准预测鳞癌OS HR=0.70已纳入此平衡。悲观情景（净惩罚+0.14）下OS HR=0.84仍可能接近显著边界；乐观情景（净收益-0.07）下OS HR可低至0.63，与HARMONi-6高度一致</w:t>
      </w:r>
      <w:r>
        <w:rPr>
          <w:vertAlign w:val="superscript"/>
        </w:rPr>
        <w:t xml:space="preserve">19</w:t>
      </w:r>
      <w:r>
        <w:t xml:space="preserve">。</w:t>
      </w:r>
    </w:p>
    <w:bookmarkEnd w:id="155"/>
    <w:bookmarkEnd w:id="156"/>
    <w:bookmarkStart w:id="161" w:name="关键假设验证"/>
    <w:p>
      <w:pPr>
        <w:pStyle w:val="Heading2"/>
      </w:pPr>
      <w:r>
        <w:t xml:space="preserve">8.3 关键假设验证</w:t>
      </w:r>
    </w:p>
    <w:bookmarkStart w:id="157" w:name="假设1替雷k药"/>
    <w:p>
      <w:pPr>
        <w:pStyle w:val="Heading3"/>
      </w:pPr>
      <w:r>
        <w:t xml:space="preserve">8.3.1 假设1：替雷≈K药</w:t>
      </w:r>
    </w:p>
    <w:p>
      <w:pPr>
        <w:pStyle w:val="FirstParagraph"/>
      </w:pPr>
      <w:r>
        <w:t xml:space="preserve">HARMONi-6对照为替雷+化疗，HARMONi-3为K药+化疗。Guo等人2023年NMA显示中国一线鳞癌中替雷+化疗 vs K药+化疗的PFS HR=1.04（95% CI: 0.82–1.31），CI跨1，无显著差异</w:t>
      </w:r>
      <w:r>
        <w:rPr>
          <w:vertAlign w:val="superscript"/>
        </w:rPr>
        <w:t xml:space="preserve">22</w:t>
      </w:r>
      <w:r>
        <w:t xml:space="preserve">。RATIONALE-307与KEYNOTE-407间接比较进一步支持</w:t>
      </w:r>
      <w:r>
        <w:rPr>
          <w:vertAlign w:val="superscript"/>
        </w:rPr>
        <w:t xml:space="preserve">23</w:t>
      </w:r>
      <w:r>
        <w:t xml:space="preserve">。但NMA存在残留混杂，缺乏OS直接比较。若K药OS略优于替雷（HR=0.95），HARMONi-3 OS HR将恶化约0.02–0.04。该假设置信度</w:t>
      </w:r>
      <w:r>
        <w:rPr>
          <w:bCs/>
          <w:b/>
        </w:rPr>
        <w:t xml:space="preserve">中高</w:t>
      </w:r>
      <w:r>
        <w:rPr>
          <w:vertAlign w:val="superscript"/>
        </w:rPr>
        <w:t xml:space="preserve">24</w:t>
      </w:r>
      <w:r>
        <w:t xml:space="preserve">。</w:t>
      </w:r>
    </w:p>
    <w:bookmarkEnd w:id="157"/>
    <w:bookmarkStart w:id="158" w:name="假设2中国数据可外推至全球"/>
    <w:p>
      <w:pPr>
        <w:pStyle w:val="Heading3"/>
      </w:pPr>
      <w:r>
        <w:t xml:space="preserve">8.3.2 假设2：中国数据可外推至全球</w:t>
      </w:r>
    </w:p>
    <w:p>
      <w:pPr>
        <w:pStyle w:val="FirstParagraph"/>
      </w:pPr>
      <w:r>
        <w:t xml:space="preserve">该假设最大不确定性来自KEYNOTE-407中0.27的HR种族差异。但HARMONi系列提供更积极内部证据：HARMONi全球OS HR=0.78与HARMONi-A的HR=0.74仅差0.04，表明AK112在中国与全球人群中的一致性优于K药在鳞癌中的一致性</w:t>
      </w:r>
      <w:r>
        <w:rPr>
          <w:vertAlign w:val="superscript"/>
        </w:rPr>
        <w:t xml:space="preserve">25</w:t>
      </w:r>
      <w:r>
        <w:t xml:space="preserve">。HARMONi全球中38%患者来自西方国家，符合FDA种族多样性要求，北美亚组HR=0.70优于总体</w:t>
      </w:r>
      <w:r>
        <w:rPr>
          <w:vertAlign w:val="superscript"/>
        </w:rPr>
        <w:t xml:space="preserve">26</w:t>
      </w:r>
      <w:r>
        <w:t xml:space="preserve">。该假设置信度</w:t>
      </w:r>
      <w:r>
        <w:rPr>
          <w:bCs/>
          <w:b/>
        </w:rPr>
        <w:t xml:space="preserve">中等</w:t>
      </w:r>
      <w:r>
        <w:t xml:space="preserve">，核心不确定性在于鳞癌种族差异是否被充分量化。</w:t>
      </w:r>
    </w:p>
    <w:bookmarkEnd w:id="158"/>
    <w:bookmarkStart w:id="159" w:name="假设3pfs-to-os转化效率可维持"/>
    <w:p>
      <w:pPr>
        <w:pStyle w:val="Heading3"/>
      </w:pPr>
      <w:r>
        <w:t xml:space="preserve">8.3.3 假设3：PFS-to-OS转化效率可维持</w:t>
      </w:r>
    </w:p>
    <w:p>
      <w:pPr>
        <w:pStyle w:val="FirstParagraph"/>
      </w:pPr>
      <w:r>
        <w:t xml:space="preserve">HARMONi-6展现极高转化效率（log(OS)/log(PFS)=0.81），远高于化疗联合免疫历史平均（约0.53）</w:t>
      </w:r>
      <w:r>
        <w:rPr>
          <w:vertAlign w:val="superscript"/>
        </w:rPr>
        <w:t xml:space="preserve">27</w:t>
      </w:r>
      <w:r>
        <w:t xml:space="preserve">。生物学解释：两试验对照组均接受PD-1抑制剂，OS差异主要由进展前后VEGF通路持续抑制驱动。由于HARMONi-3与HARMONi-6在”对照组含PD-1”结构上一致，有充分理由相信类似转化效率可被复制</w:t>
      </w:r>
      <w:r>
        <w:rPr>
          <w:vertAlign w:val="superscript"/>
        </w:rPr>
        <w:t xml:space="preserve">28</w:t>
      </w:r>
      <w:r>
        <w:t xml:space="preserve">。HARMONi-6的OS阳性本身即为最佳验证。该假设置信度</w:t>
      </w:r>
      <w:r>
        <w:rPr>
          <w:bCs/>
          <w:b/>
        </w:rPr>
        <w:t xml:space="preserve">高</w:t>
      </w:r>
      <w:r>
        <w:t xml:space="preserve">。</w:t>
      </w:r>
    </w:p>
    <w:bookmarkEnd w:id="159"/>
    <w:bookmarkStart w:id="160" w:name="假设4鳞癌安全性全球一致"/>
    <w:p>
      <w:pPr>
        <w:pStyle w:val="Heading3"/>
      </w:pPr>
      <w:r>
        <w:t xml:space="preserve">8.3.4 假设4：鳞癌安全性全球一致</w:t>
      </w:r>
    </w:p>
    <w:p>
      <w:pPr>
        <w:pStyle w:val="FirstParagraph"/>
      </w:pPr>
      <w:r>
        <w:t xml:space="preserve">传统抗VEGF药物（贝伐珠单抗）在鳞癌中因≥3级出血率高达9–10%被禁忌</w:t>
      </w:r>
      <w:r>
        <w:rPr>
          <w:vertAlign w:val="superscript"/>
        </w:rPr>
        <w:t xml:space="preserve">30</w:t>
      </w:r>
      <w:r>
        <w:t xml:space="preserve">。AK112通过Fc-silencing（L234A/L235A）和协同结合机制，在HARMONi-6中实现≥3级出血仅2.6%（对照组0.8%），差异微小且可控</w:t>
      </w:r>
      <w:r>
        <w:rPr>
          <w:vertAlign w:val="superscript"/>
        </w:rPr>
        <w:t xml:space="preserve">31</w:t>
      </w:r>
      <w:r>
        <w:t xml:space="preserve">。HARMONi-6入组甚至含63.2%中央型鳞癌和约30%咯血史患者，属极高危人群，进一步验证安全性稳健性</w:t>
      </w:r>
      <w:r>
        <w:rPr>
          <w:vertAlign w:val="superscript"/>
        </w:rPr>
        <w:t xml:space="preserve">29</w:t>
      </w:r>
      <w:r>
        <w:t xml:space="preserve">。HARMONi-3采用相同药物分子且排除极高危患者，该假设置信度</w:t>
      </w:r>
      <w:r>
        <w:rPr>
          <w:bCs/>
          <w:b/>
        </w:rPr>
        <w:t xml:space="preserve">高</w:t>
      </w:r>
      <w:r>
        <w:t xml:space="preserve">。若成立，出血风险将不会成为FDA审评焦点，反而可能成为差异化监管优势</w:t>
      </w:r>
      <w:r>
        <w:rPr>
          <w:vertAlign w:val="superscript"/>
        </w:rPr>
        <w:t xml:space="preserve">32</w:t>
      </w:r>
      <w:r>
        <w:t xml:space="preserve">。</w:t>
      </w:r>
    </w:p>
    <w:p>
      <w:pPr>
        <w:pStyle w:val="BodyText"/>
      </w:pPr>
      <w:r>
        <w:rPr>
          <w:bCs/>
          <w:b/>
        </w:rPr>
        <w:t xml:space="preserve">表8-3 关键假设验证状态</w:t>
      </w:r>
    </w:p>
    <w:tbl>
      <w:tblPr>
        <w:tblStyle w:val="Table"/>
        <w:tblW w:type="pct" w:w="5000"/>
        <w:tblLook w:firstRow="1" w:lastRow="0" w:firstColumn="0" w:lastColumn="0" w:noHBand="0" w:noVBand="0" w:val="0020"/>
        <w:jc w:val="start"/>
        <w:tblLayout w:type="fixed"/>
      </w:tblPr>
      <w:tblGrid>
        <w:gridCol w:w="1131"/>
        <w:gridCol w:w="1131"/>
        <w:gridCol w:w="1697"/>
        <w:gridCol w:w="1508"/>
        <w:gridCol w:w="2451"/>
      </w:tblGrid>
      <w:tr>
        <w:trPr>
          <w:tblHeader w:val="true"/>
        </w:trPr>
        <w:tc>
          <w:tcPr/>
          <w:p>
            <w:pPr>
              <w:pStyle w:val="Compact"/>
              <w:jc w:val="left"/>
            </w:pPr>
            <w:r>
              <w:t xml:space="preserve">假设</w:t>
            </w:r>
          </w:p>
        </w:tc>
        <w:tc>
          <w:tcPr/>
          <w:p>
            <w:pPr>
              <w:pStyle w:val="Compact"/>
              <w:jc w:val="left"/>
            </w:pPr>
            <w:r>
              <w:t xml:space="preserve">内容</w:t>
            </w:r>
          </w:p>
        </w:tc>
        <w:tc>
          <w:tcPr/>
          <w:p>
            <w:pPr>
              <w:pStyle w:val="Compact"/>
              <w:jc w:val="left"/>
            </w:pPr>
            <w:r>
              <w:t xml:space="preserve">验证状态</w:t>
            </w:r>
          </w:p>
        </w:tc>
        <w:tc>
          <w:tcPr/>
          <w:p>
            <w:pPr>
              <w:pStyle w:val="Compact"/>
              <w:jc w:val="left"/>
            </w:pPr>
            <w:r>
              <w:t xml:space="preserve">置信度</w:t>
            </w:r>
          </w:p>
        </w:tc>
        <w:tc>
          <w:tcPr/>
          <w:p>
            <w:pPr>
              <w:pStyle w:val="Compact"/>
              <w:jc w:val="left"/>
            </w:pPr>
            <w:r>
              <w:t xml:space="preserve">若失败的影响</w:t>
            </w:r>
          </w:p>
        </w:tc>
      </w:tr>
      <w:tr>
        <w:tc>
          <w:tcPr/>
          <w:p>
            <w:pPr>
              <w:pStyle w:val="Compact"/>
              <w:jc w:val="left"/>
            </w:pPr>
            <w:r>
              <w:t xml:space="preserve">假设1</w:t>
            </w:r>
          </w:p>
        </w:tc>
        <w:tc>
          <w:tcPr/>
          <w:p>
            <w:pPr>
              <w:pStyle w:val="Compact"/>
              <w:jc w:val="left"/>
            </w:pPr>
            <w:r>
              <w:t xml:space="preserve">替雷≈K药</w:t>
            </w:r>
          </w:p>
        </w:tc>
        <w:tc>
          <w:tcPr/>
          <w:p>
            <w:pPr>
              <w:pStyle w:val="Compact"/>
              <w:jc w:val="left"/>
            </w:pPr>
            <w:r>
              <w:t xml:space="preserve">NMA HR=1.04, CI跨1</w:t>
            </w:r>
            <w:r>
              <w:rPr>
                <w:vertAlign w:val="superscript"/>
              </w:rPr>
              <w:t xml:space="preserve">22</w:t>
            </w:r>
          </w:p>
        </w:tc>
        <w:tc>
          <w:tcPr/>
          <w:p>
            <w:pPr>
              <w:pStyle w:val="Compact"/>
              <w:jc w:val="left"/>
            </w:pPr>
            <w:r>
              <w:t xml:space="preserve">中高</w:t>
            </w:r>
          </w:p>
        </w:tc>
        <w:tc>
          <w:tcPr/>
          <w:p>
            <w:pPr>
              <w:pStyle w:val="Compact"/>
              <w:jc w:val="left"/>
            </w:pPr>
            <w:r>
              <w:t xml:space="preserve">OS HR恶化+0.02–0.04</w:t>
            </w:r>
          </w:p>
        </w:tc>
      </w:tr>
      <w:tr>
        <w:tc>
          <w:tcPr/>
          <w:p>
            <w:pPr>
              <w:pStyle w:val="Compact"/>
              <w:jc w:val="left"/>
            </w:pPr>
            <w:r>
              <w:t xml:space="preserve">假设2</w:t>
            </w:r>
          </w:p>
        </w:tc>
        <w:tc>
          <w:tcPr/>
          <w:p>
            <w:pPr>
              <w:pStyle w:val="Compact"/>
              <w:jc w:val="left"/>
            </w:pPr>
            <w:r>
              <w:t xml:space="preserve">中国数据可外推全球</w:t>
            </w:r>
          </w:p>
        </w:tc>
        <w:tc>
          <w:tcPr/>
          <w:p>
            <w:pPr>
              <w:pStyle w:val="Compact"/>
              <w:jc w:val="left"/>
            </w:pPr>
            <w:r>
              <w:t xml:space="preserve">HARMONi全球HR=0.78 vs HARMONi-A 0.74</w:t>
            </w:r>
            <w:r>
              <w:rPr>
                <w:vertAlign w:val="superscript"/>
              </w:rPr>
              <w:t xml:space="preserve">25</w:t>
            </w:r>
          </w:p>
        </w:tc>
        <w:tc>
          <w:tcPr/>
          <w:p>
            <w:pPr>
              <w:pStyle w:val="Compact"/>
              <w:jc w:val="left"/>
            </w:pPr>
            <w:r>
              <w:t xml:space="preserve">中</w:t>
            </w:r>
          </w:p>
        </w:tc>
        <w:tc>
          <w:tcPr/>
          <w:p>
            <w:pPr>
              <w:pStyle w:val="Compact"/>
              <w:jc w:val="left"/>
            </w:pPr>
            <w:r>
              <w:t xml:space="preserve">OS HR恶化+0.03–0.08</w:t>
            </w:r>
          </w:p>
        </w:tc>
      </w:tr>
      <w:tr>
        <w:tc>
          <w:tcPr/>
          <w:p>
            <w:pPr>
              <w:pStyle w:val="Compact"/>
              <w:jc w:val="left"/>
            </w:pPr>
            <w:r>
              <w:t xml:space="preserve">假设3</w:t>
            </w:r>
          </w:p>
        </w:tc>
        <w:tc>
          <w:tcPr/>
          <w:p>
            <w:pPr>
              <w:pStyle w:val="Compact"/>
              <w:jc w:val="left"/>
            </w:pPr>
            <w:r>
              <w:t xml:space="preserve">PFS-to-OS转化效率维持</w:t>
            </w:r>
          </w:p>
        </w:tc>
        <w:tc>
          <w:tcPr/>
          <w:p>
            <w:pPr>
              <w:pStyle w:val="Compact"/>
              <w:jc w:val="left"/>
            </w:pPr>
            <w:r>
              <w:t xml:space="preserve">HARMONi-6转化效率0.81</w:t>
            </w:r>
            <w:r>
              <w:rPr>
                <w:vertAlign w:val="superscript"/>
              </w:rPr>
              <w:t xml:space="preserve">27</w:t>
            </w:r>
          </w:p>
        </w:tc>
        <w:tc>
          <w:tcPr/>
          <w:p>
            <w:pPr>
              <w:pStyle w:val="Compact"/>
              <w:jc w:val="left"/>
            </w:pPr>
            <w:r>
              <w:t xml:space="preserve">高</w:t>
            </w:r>
          </w:p>
        </w:tc>
        <w:tc>
          <w:tcPr/>
          <w:p>
            <w:pPr>
              <w:pStyle w:val="Compact"/>
              <w:jc w:val="left"/>
            </w:pPr>
            <w:r>
              <w:t xml:space="preserve">OS HR恶化+0.05–0.10</w:t>
            </w:r>
          </w:p>
        </w:tc>
      </w:tr>
      <w:tr>
        <w:tc>
          <w:tcPr/>
          <w:p>
            <w:pPr>
              <w:pStyle w:val="Compact"/>
              <w:jc w:val="left"/>
            </w:pPr>
            <w:r>
              <w:t xml:space="preserve">假设4</w:t>
            </w:r>
          </w:p>
        </w:tc>
        <w:tc>
          <w:tcPr/>
          <w:p>
            <w:pPr>
              <w:pStyle w:val="Compact"/>
              <w:jc w:val="left"/>
            </w:pPr>
            <w:r>
              <w:t xml:space="preserve">鳞癌安全性全球一致</w:t>
            </w:r>
          </w:p>
        </w:tc>
        <w:tc>
          <w:tcPr/>
          <w:p>
            <w:pPr>
              <w:pStyle w:val="Compact"/>
              <w:jc w:val="left"/>
            </w:pPr>
            <w:r>
              <w:t xml:space="preserve">HARMONi-6 ≥3级出血2.6%</w:t>
            </w:r>
            <w:r>
              <w:rPr>
                <w:vertAlign w:val="superscript"/>
              </w:rPr>
              <w:t xml:space="preserve">31</w:t>
            </w:r>
          </w:p>
        </w:tc>
        <w:tc>
          <w:tcPr/>
          <w:p>
            <w:pPr>
              <w:pStyle w:val="Compact"/>
              <w:jc w:val="left"/>
            </w:pPr>
            <w:r>
              <w:t xml:space="preserve">高</w:t>
            </w:r>
          </w:p>
        </w:tc>
        <w:tc>
          <w:tcPr/>
          <w:p>
            <w:pPr>
              <w:pStyle w:val="Compact"/>
              <w:jc w:val="left"/>
            </w:pPr>
            <w:r>
              <w:t xml:space="preserve">监管延迟或适应症受限</w:t>
            </w:r>
          </w:p>
        </w:tc>
      </w:tr>
    </w:tbl>
    <w:bookmarkEnd w:id="160"/>
    <w:bookmarkEnd w:id="161"/>
    <w:bookmarkStart w:id="165" w:name="年q2期中分析的影响"/>
    <w:p>
      <w:pPr>
        <w:pStyle w:val="Heading2"/>
      </w:pPr>
      <w:r>
        <w:t xml:space="preserve">8.4 2026年Q2期中分析的影响</w:t>
      </w:r>
    </w:p>
    <w:bookmarkStart w:id="162" w:name="未达阈值失败"/>
    <w:p>
      <w:pPr>
        <w:pStyle w:val="Heading3"/>
      </w:pPr>
      <w:r>
        <w:t xml:space="preserve">8.4.1 未达阈值≠失败</w:t>
      </w:r>
    </w:p>
    <w:p>
      <w:pPr>
        <w:pStyle w:val="FirstParagraph"/>
      </w:pPr>
      <w:r>
        <w:t xml:space="preserve">2026年4月早期期中分析未达提前终止阈值，采用高度保守alpha-spending策略——数据成熟度极低时要求HR达极端水平（如&lt;0.50）才能终止。这相当于”第一节超分胜利”，在肿瘤试验中几乎从未发生</w:t>
      </w:r>
      <w:r>
        <w:rPr>
          <w:vertAlign w:val="superscript"/>
        </w:rPr>
        <w:t xml:space="preserve">33</w:t>
      </w:r>
      <w:r>
        <w:t xml:space="preserve">。未达阈值完全在预期内，且仅消耗极小显著性预算（&lt;0.001 alpha），对最终分析功效影响可忽略。</w:t>
      </w:r>
    </w:p>
    <w:bookmarkEnd w:id="162"/>
    <w:bookmarkStart w:id="163" w:name="历史参照harmoni-6的早期分析假设"/>
    <w:p>
      <w:pPr>
        <w:pStyle w:val="Heading3"/>
      </w:pPr>
      <w:r>
        <w:t xml:space="preserve">8.4.2 历史参照：HARMONi-6的早期分析假设</w:t>
      </w:r>
    </w:p>
    <w:p>
      <w:pPr>
        <w:pStyle w:val="FirstParagraph"/>
      </w:pPr>
      <w:r>
        <w:t xml:space="preserve">若HARMONi-6在类似成熟度时进行早期分析，是否可能达显著性？其最终OS HR=0.66，但OS曲线在早期可能尚未充分分离，尤其对照组替雷+化疗初期具有活性。因此即便最终强阳性试验，早期分析也可能因数据不成熟而未达终止阈值。此参照强化”2026年4月阴性结果不预测最终阴性”的统计逻辑</w:t>
      </w:r>
      <w:r>
        <w:rPr>
          <w:vertAlign w:val="superscript"/>
        </w:rPr>
        <w:t xml:space="preserve">34</w:t>
      </w:r>
      <w:r>
        <w:t xml:space="preserve">。</w:t>
      </w:r>
    </w:p>
    <w:bookmarkEnd w:id="163"/>
    <w:bookmarkStart w:id="164" w:name="投资者情绪与长期价值的错配"/>
    <w:p>
      <w:pPr>
        <w:pStyle w:val="Heading3"/>
      </w:pPr>
      <w:r>
        <w:t xml:space="preserve">8.4.3 投资者情绪与长期价值的错配</w:t>
      </w:r>
    </w:p>
    <w:p>
      <w:pPr>
        <w:pStyle w:val="FirstParagraph"/>
      </w:pPr>
      <w:r>
        <w:t xml:space="preserve">市场对2026年4月消息的反应（Summit股价跌26%）典型反映短期情绪与长期价值的错配。未达阈值的”失望”信号触发止损和动量交易，导致价格超调。然而HARMONi-6强OS数据（HR=0.66, p=0.0017）、HARMONi-2单药优效性（PFS HR=0.51）及HARMONi全球阳性结果，共同构成AK112机制有效性的”三重锚定”</w:t>
      </w:r>
      <w:r>
        <w:rPr>
          <w:vertAlign w:val="superscript"/>
        </w:rPr>
        <w:t xml:space="preserve">35</w:t>
      </w:r>
      <w:r>
        <w:t xml:space="preserve">。2026年Q2新增PFS期中分析（管理层主动增加，体现信心）和2026年H2最终分析，将提供远比早期分析更成熟的数据</w:t>
      </w:r>
      <w:r>
        <w:rPr>
          <w:vertAlign w:val="superscript"/>
        </w:rPr>
        <w:t xml:space="preserve">36</w:t>
      </w:r>
      <w:r>
        <w:t xml:space="preserve">。投资者应将此事件视为”时间延迟”而非”疗效否定”，调整预期时间线而非成功概率。</w:t>
      </w:r>
    </w:p>
    <w:p>
      <w:r>
        <w:pict>
          <v:rect style="width:0;height:1.5pt" o:hralign="center" o:hrstd="t" o:hr="t"/>
        </w:pict>
      </w:r>
    </w:p>
    <w:bookmarkEnd w:id="164"/>
    <w:bookmarkEnd w:id="165"/>
    <w:bookmarkStart w:id="166" w:name="脚注-5"/>
    <w:p>
      <w:pPr>
        <w:pStyle w:val="Heading2"/>
      </w:pPr>
      <w:r>
        <w:t xml:space="preserve">脚注</w:t>
      </w:r>
    </w:p>
    <w:p>
      <w:r>
        <w:pict>
          <v:rect style="width:0;height:1.5pt" o:hralign="center" o:hrstd="t" o:hr="t"/>
        </w:pict>
      </w:r>
    </w:p>
    <w:bookmarkEnd w:id="166"/>
    <w:bookmarkEnd w:id="167"/>
    <w:bookmarkStart w:id="179" w:name="第九章-结论与综合预测"/>
    <w:p>
      <w:pPr>
        <w:pStyle w:val="Heading1"/>
      </w:pPr>
      <w:r>
        <w:t xml:space="preserve">第九章 结论与综合预测</w:t>
      </w:r>
    </w:p>
    <w:bookmarkStart w:id="168" w:name="核心判断汇总"/>
    <w:p>
      <w:pPr>
        <w:pStyle w:val="Heading2"/>
      </w:pPr>
      <w:r>
        <w:t xml:space="preserve">9.1 核心判断汇总</w:t>
      </w:r>
    </w:p>
    <w:p>
      <w:pPr>
        <w:pStyle w:val="FirstParagraph"/>
      </w:pPr>
      <w:r>
        <w:t xml:space="preserve">基于前八章跨维度分析、统计模型与交叉验证，本报告对HARMONi-3（AK112+化疗 vs 帕博利珠单抗+化疗，一线转移性NSCLC）形成如下核心判断：</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队列</w:t>
            </w:r>
          </w:p>
        </w:tc>
        <w:tc>
          <w:tcPr/>
          <w:p>
            <w:pPr>
              <w:pStyle w:val="Compact"/>
              <w:jc w:val="left"/>
            </w:pPr>
            <w:r>
              <w:t xml:space="preserve">终点</w:t>
            </w:r>
          </w:p>
        </w:tc>
        <w:tc>
          <w:tcPr/>
          <w:p>
            <w:pPr>
              <w:pStyle w:val="Compact"/>
              <w:jc w:val="left"/>
            </w:pPr>
            <w:r>
              <w:t xml:space="preserve">基准预测HR</w:t>
            </w:r>
          </w:p>
        </w:tc>
        <w:tc>
          <w:tcPr/>
          <w:p>
            <w:pPr>
              <w:pStyle w:val="Compact"/>
              <w:jc w:val="left"/>
            </w:pPr>
            <w:r>
              <w:t xml:space="preserve">95%预测区间</w:t>
            </w:r>
          </w:p>
        </w:tc>
        <w:tc>
          <w:tcPr/>
          <w:p>
            <w:pPr>
              <w:pStyle w:val="Compact"/>
              <w:jc w:val="left"/>
            </w:pPr>
            <w:r>
              <w:t xml:space="preserve">统计成功概率</w:t>
            </w:r>
          </w:p>
        </w:tc>
        <w:tc>
          <w:tcPr/>
          <w:p>
            <w:pPr>
              <w:pStyle w:val="Compact"/>
              <w:jc w:val="left"/>
            </w:pPr>
            <w:r>
              <w:t xml:space="preserve">置信度</w:t>
            </w:r>
          </w:p>
        </w:tc>
      </w:tr>
      <w:tr>
        <w:tc>
          <w:tcPr/>
          <w:p>
            <w:pPr>
              <w:pStyle w:val="Compact"/>
              <w:jc w:val="left"/>
            </w:pPr>
            <w:r>
              <w:rPr>
                <w:bCs/>
                <w:b/>
              </w:rPr>
              <w:t xml:space="preserve">鳞癌</w:t>
            </w:r>
          </w:p>
        </w:tc>
        <w:tc>
          <w:tcPr/>
          <w:p>
            <w:pPr>
              <w:pStyle w:val="Compact"/>
              <w:jc w:val="left"/>
            </w:pPr>
            <w:r>
              <w:t xml:space="preserve">PFS</w:t>
            </w:r>
          </w:p>
        </w:tc>
        <w:tc>
          <w:tcPr/>
          <w:p>
            <w:pPr>
              <w:pStyle w:val="Compact"/>
              <w:jc w:val="left"/>
            </w:pPr>
            <w:r>
              <w:rPr>
                <w:bCs/>
                <w:b/>
              </w:rPr>
              <w:t xml:space="preserve">0.66</w:t>
            </w:r>
          </w:p>
        </w:tc>
        <w:tc>
          <w:tcPr/>
          <w:p>
            <w:pPr>
              <w:pStyle w:val="Compact"/>
              <w:jc w:val="left"/>
            </w:pPr>
            <w:r>
              <w:t xml:space="preserve">0.46–0.93</w:t>
            </w:r>
          </w:p>
        </w:tc>
        <w:tc>
          <w:tcPr/>
          <w:p>
            <w:pPr>
              <w:pStyle w:val="Compact"/>
              <w:jc w:val="left"/>
            </w:pPr>
            <w:r>
              <w:rPr>
                <w:bCs/>
                <w:b/>
              </w:rPr>
              <w:t xml:space="preserve">99.6%</w:t>
            </w:r>
          </w:p>
        </w:tc>
        <w:tc>
          <w:tcPr/>
          <w:p>
            <w:pPr>
              <w:pStyle w:val="Compact"/>
              <w:jc w:val="left"/>
            </w:pPr>
            <w:r>
              <w:t xml:space="preserve">高</w:t>
            </w:r>
          </w:p>
        </w:tc>
      </w:tr>
      <w:tr>
        <w:tc>
          <w:tcPr/>
          <w:p>
            <w:pPr>
              <w:pStyle w:val="Compact"/>
              <w:jc w:val="left"/>
            </w:pPr>
            <w:r>
              <w:rPr>
                <w:bCs/>
                <w:b/>
              </w:rPr>
              <w:t xml:space="preserve">鳞癌</w:t>
            </w:r>
          </w:p>
        </w:tc>
        <w:tc>
          <w:tcPr/>
          <w:p>
            <w:pPr>
              <w:pStyle w:val="Compact"/>
              <w:jc w:val="left"/>
            </w:pPr>
            <w:r>
              <w:t xml:space="preserve">OS</w:t>
            </w:r>
          </w:p>
        </w:tc>
        <w:tc>
          <w:tcPr/>
          <w:p>
            <w:pPr>
              <w:pStyle w:val="Compact"/>
              <w:jc w:val="left"/>
            </w:pPr>
            <w:r>
              <w:rPr>
                <w:bCs/>
                <w:b/>
              </w:rPr>
              <w:t xml:space="preserve">0.70</w:t>
            </w:r>
          </w:p>
        </w:tc>
        <w:tc>
          <w:tcPr/>
          <w:p>
            <w:pPr>
              <w:pStyle w:val="Compact"/>
              <w:jc w:val="left"/>
            </w:pPr>
            <w:r>
              <w:t xml:space="preserve">0.65–0.80</w:t>
            </w:r>
          </w:p>
        </w:tc>
        <w:tc>
          <w:tcPr/>
          <w:p>
            <w:pPr>
              <w:pStyle w:val="Compact"/>
              <w:jc w:val="left"/>
            </w:pPr>
            <w:r>
              <w:rPr>
                <w:bCs/>
                <w:b/>
              </w:rPr>
              <w:t xml:space="preserve">96.4%</w:t>
            </w:r>
          </w:p>
        </w:tc>
        <w:tc>
          <w:tcPr/>
          <w:p>
            <w:pPr>
              <w:pStyle w:val="Compact"/>
              <w:jc w:val="left"/>
            </w:pPr>
            <w:r>
              <w:t xml:space="preserve">高</w:t>
            </w:r>
          </w:p>
        </w:tc>
      </w:tr>
      <w:tr>
        <w:tc>
          <w:tcPr/>
          <w:p>
            <w:pPr>
              <w:pStyle w:val="Compact"/>
              <w:jc w:val="left"/>
            </w:pPr>
            <w:r>
              <w:rPr>
                <w:bCs/>
                <w:b/>
              </w:rPr>
              <w:t xml:space="preserve">非鳞癌</w:t>
            </w:r>
          </w:p>
        </w:tc>
        <w:tc>
          <w:tcPr/>
          <w:p>
            <w:pPr>
              <w:pStyle w:val="Compact"/>
              <w:jc w:val="left"/>
            </w:pPr>
            <w:r>
              <w:t xml:space="preserve">PFS</w:t>
            </w:r>
          </w:p>
        </w:tc>
        <w:tc>
          <w:tcPr/>
          <w:p>
            <w:pPr>
              <w:pStyle w:val="Compact"/>
              <w:jc w:val="left"/>
            </w:pPr>
            <w:r>
              <w:rPr>
                <w:bCs/>
                <w:b/>
              </w:rPr>
              <w:t xml:space="preserve">0.55</w:t>
            </w:r>
          </w:p>
        </w:tc>
        <w:tc>
          <w:tcPr/>
          <w:p>
            <w:pPr>
              <w:pStyle w:val="Compact"/>
              <w:jc w:val="left"/>
            </w:pPr>
            <w:r>
              <w:t xml:space="preserve">0.50–0.65</w:t>
            </w:r>
          </w:p>
        </w:tc>
        <w:tc>
          <w:tcPr/>
          <w:p>
            <w:pPr>
              <w:pStyle w:val="Compact"/>
              <w:jc w:val="left"/>
            </w:pPr>
            <w:r>
              <w:rPr>
                <w:bCs/>
                <w:b/>
              </w:rPr>
              <w:t xml:space="preserve">~100%</w:t>
            </w:r>
          </w:p>
        </w:tc>
        <w:tc>
          <w:tcPr/>
          <w:p>
            <w:pPr>
              <w:pStyle w:val="Compact"/>
              <w:jc w:val="left"/>
            </w:pPr>
            <w:r>
              <w:t xml:space="preserve">中高</w:t>
            </w:r>
          </w:p>
        </w:tc>
      </w:tr>
      <w:tr>
        <w:tc>
          <w:tcPr/>
          <w:p>
            <w:pPr>
              <w:pStyle w:val="Compact"/>
              <w:jc w:val="left"/>
            </w:pPr>
            <w:r>
              <w:rPr>
                <w:bCs/>
                <w:b/>
              </w:rPr>
              <w:t xml:space="preserve">非鳞癌</w:t>
            </w:r>
          </w:p>
        </w:tc>
        <w:tc>
          <w:tcPr/>
          <w:p>
            <w:pPr>
              <w:pStyle w:val="Compact"/>
              <w:jc w:val="left"/>
            </w:pPr>
            <w:r>
              <w:t xml:space="preserve">OS</w:t>
            </w:r>
          </w:p>
        </w:tc>
        <w:tc>
          <w:tcPr/>
          <w:p>
            <w:pPr>
              <w:pStyle w:val="Compact"/>
              <w:jc w:val="left"/>
            </w:pPr>
            <w:r>
              <w:rPr>
                <w:bCs/>
                <w:b/>
              </w:rPr>
              <w:t xml:space="preserve">0.73</w:t>
            </w:r>
          </w:p>
        </w:tc>
        <w:tc>
          <w:tcPr/>
          <w:p>
            <w:pPr>
              <w:pStyle w:val="Compact"/>
              <w:jc w:val="left"/>
            </w:pPr>
            <w:r>
              <w:t xml:space="preserve">0.69–0.80</w:t>
            </w:r>
          </w:p>
        </w:tc>
        <w:tc>
          <w:tcPr/>
          <w:p>
            <w:pPr>
              <w:pStyle w:val="Compact"/>
              <w:jc w:val="left"/>
            </w:pPr>
            <w:r>
              <w:rPr>
                <w:bCs/>
                <w:b/>
              </w:rPr>
              <w:t xml:space="preserve">98.0%</w:t>
            </w:r>
          </w:p>
        </w:tc>
        <w:tc>
          <w:tcPr/>
          <w:p>
            <w:pPr>
              <w:pStyle w:val="Compact"/>
              <w:jc w:val="left"/>
            </w:pPr>
            <w:r>
              <w:t xml:space="preserve">中等</w:t>
            </w:r>
          </w:p>
        </w:tc>
      </w:tr>
    </w:tbl>
    <w:p>
      <w:pPr>
        <w:pStyle w:val="BodyText"/>
      </w:pPr>
      <w:r>
        <w:t xml:space="preserve">鳞癌预测锚定坚实：HARMONi-6已提供直接头对头数据，PFS HR=0.60，OS HR=0.66（p=0.0017）</w:t>
      </w:r>
      <w:r>
        <w:rPr>
          <w:vertAlign w:val="superscript"/>
        </w:rPr>
        <w:t xml:space="preserve">2</w:t>
      </w:r>
      <w:r>
        <w:t xml:space="preserve">。通过替雷利珠单抗与帕博利珠单抗的间接比较（NMA PFS HR=1.04，95% CI跨越1.0）</w:t>
      </w:r>
      <w:r>
        <w:rPr>
          <w:vertAlign w:val="superscript"/>
        </w:rPr>
        <w:t xml:space="preserve">3</w:t>
      </w:r>
      <w:r>
        <w:t xml:space="preserve">，及中国至全球人群外推调整（因子1.05），桥接模型得出鳞癌PFS HR=0.66</w:t>
      </w:r>
      <w:r>
        <w:rPr>
          <w:vertAlign w:val="superscript"/>
        </w:rPr>
        <w:t xml:space="preserve">1</w:t>
      </w:r>
      <w:r>
        <w:t xml:space="preserve">。非鳞癌基于多锚点：HARMONi-2（HR=0.51）</w:t>
      </w:r>
      <w:r>
        <w:rPr>
          <w:vertAlign w:val="superscript"/>
        </w:rPr>
        <w:t xml:space="preserve">4</w:t>
      </w:r>
      <w:r>
        <w:t xml:space="preserve">、HARMONi-A（HR=0.46）</w:t>
      </w:r>
      <w:r>
        <w:rPr>
          <w:vertAlign w:val="superscript"/>
        </w:rPr>
        <w:t xml:space="preserve">5</w:t>
      </w:r>
      <w:r>
        <w:t xml:space="preserve">及KEYNOTE-189（HR=0.52）</w:t>
      </w:r>
      <w:r>
        <w:rPr>
          <w:vertAlign w:val="superscript"/>
        </w:rPr>
        <w:t xml:space="preserve">1</w:t>
      </w:r>
      <w:r>
        <w:t xml:space="preserve">，综合预测PFS HR=0.55。OS采用PFS-to-OS转化效率：鳞癌沿用HARMONi-6的0.81</w:t>
      </w:r>
      <w:r>
        <w:rPr>
          <w:vertAlign w:val="superscript"/>
        </w:rPr>
        <w:t xml:space="preserve">1</w:t>
      </w:r>
      <w:r>
        <w:t xml:space="preserve">，非鳞癌采用化疗联合平均值0.53</w:t>
      </w:r>
      <w:r>
        <w:rPr>
          <w:vertAlign w:val="superscript"/>
        </w:rPr>
        <w:t xml:space="preserve">1</w:t>
      </w:r>
      <w:r>
        <w:t xml:space="preserve">。双主要终点设计（PFS或OS任一显著即成功）进一步提升整体成功概率</w:t>
      </w:r>
      <w:r>
        <w:rPr>
          <w:vertAlign w:val="superscript"/>
        </w:rPr>
        <w:t xml:space="preserve">6</w:t>
      </w:r>
      <w:r>
        <w:t xml:space="preserve">。</w:t>
      </w:r>
    </w:p>
    <w:bookmarkEnd w:id="168"/>
    <w:bookmarkStart w:id="172" w:name="harmoni-3结果预测"/>
    <w:p>
      <w:pPr>
        <w:pStyle w:val="Heading2"/>
      </w:pPr>
      <w:r>
        <w:t xml:space="preserve">9.2 HARMONi-3结果预测</w:t>
      </w:r>
    </w:p>
    <w:bookmarkStart w:id="169" w:name="鳞癌队列pfs与os双阳性概率极高"/>
    <w:p>
      <w:pPr>
        <w:pStyle w:val="Heading3"/>
      </w:pPr>
      <w:r>
        <w:t xml:space="preserve">鳞癌队列：PFS与OS双阳性概率极高</w:t>
      </w:r>
    </w:p>
    <w:p>
      <w:pPr>
        <w:pStyle w:val="FirstParagraph"/>
      </w:pPr>
      <w:r>
        <w:rPr>
          <w:bCs/>
          <w:b/>
        </w:rPr>
        <w:t xml:space="preserve">鳞癌PFS</w:t>
      </w:r>
      <w:r>
        <w:t xml:space="preserve">是预测置信度最高的终点。HARMONi-6的PFS HR=0.60已建立强锚点，替雷利珠单抗与帕博利珠单抗经间接比较证实无显著差异（HR=1.04）</w:t>
      </w:r>
      <w:r>
        <w:rPr>
          <w:vertAlign w:val="superscript"/>
        </w:rPr>
        <w:t xml:space="preserve">3</w:t>
      </w:r>
      <w:r>
        <w:t xml:space="preserve">。即使保守情景，PFS HR仍仅恶化至0.72，成功率达94.8%</w:t>
      </w:r>
      <w:r>
        <w:rPr>
          <w:vertAlign w:val="superscript"/>
        </w:rPr>
        <w:t xml:space="preserve">1</w:t>
      </w:r>
      <w:r>
        <w:t xml:space="preserve">。Monte Carlo显示，PFS HR&lt;0.75的概率为77.6%</w:t>
      </w:r>
      <w:r>
        <w:rPr>
          <w:vertAlign w:val="superscript"/>
        </w:rPr>
        <w:t xml:space="preserve">1</w:t>
      </w:r>
      <w:r>
        <w:t xml:space="preserve">。</w:t>
      </w:r>
      <w:r>
        <w:rPr>
          <w:bCs/>
          <w:b/>
        </w:rPr>
        <w:t xml:space="preserve">鳞癌PFS最终分析达到显著性的概率超过99%</w:t>
      </w:r>
      <w:r>
        <w:t xml:space="preserve">。</w:t>
      </w:r>
    </w:p>
    <w:p>
      <w:pPr>
        <w:pStyle w:val="BodyText"/>
      </w:pPr>
      <w:r>
        <w:rPr>
          <w:bCs/>
          <w:b/>
        </w:rPr>
        <w:t xml:space="preserve">鳞癌OS</w:t>
      </w:r>
      <w:r>
        <w:t xml:space="preserve">预测置信度同样高位。HARMONi-6已实现OS HR=0.66的阳性结果，打破了”PFS获益不一定转化为OS获益”的历史顾虑</w:t>
      </w:r>
      <w:r>
        <w:rPr>
          <w:vertAlign w:val="superscript"/>
        </w:rPr>
        <w:t xml:space="preserve">2</w:t>
      </w:r>
      <w:r>
        <w:t xml:space="preserve">。HARMONi-3与HARMONi-6结构一致（均为AK112+化疗 vs PD-1+化疗），PFS-to-OS转化效率可合理预期与HARMONi-6接近（0.81）</w:t>
      </w:r>
      <w:r>
        <w:rPr>
          <w:vertAlign w:val="superscript"/>
        </w:rPr>
        <w:t xml:space="preserve">1</w:t>
      </w:r>
      <w:r>
        <w:t xml:space="preserve">。基准OS HR=0.70对应约96%成功率</w:t>
      </w:r>
      <w:r>
        <w:rPr>
          <w:vertAlign w:val="superscript"/>
        </w:rPr>
        <w:t xml:space="preserve">1</w:t>
      </w:r>
      <w:r>
        <w:t xml:space="preserve">，保守情景（HR=0.73）下仍维持91.7%</w:t>
      </w:r>
      <w:r>
        <w:rPr>
          <w:vertAlign w:val="superscript"/>
        </w:rPr>
        <w:t xml:space="preserve">1</w:t>
      </w:r>
      <w:r>
        <w:t xml:space="preserve">。</w:t>
      </w:r>
      <w:r>
        <w:rPr>
          <w:bCs/>
          <w:b/>
        </w:rPr>
        <w:t xml:space="preserve">最可能结果是鳞癌PFS与OS双主要终点均达到显著性</w:t>
      </w:r>
      <w:r>
        <w:t xml:space="preserve">。</w:t>
      </w:r>
    </w:p>
    <w:bookmarkEnd w:id="169"/>
    <w:bookmarkStart w:id="170" w:name="非鳞癌队列pfs高度确定os趋势阳性"/>
    <w:p>
      <w:pPr>
        <w:pStyle w:val="Heading3"/>
      </w:pPr>
      <w:r>
        <w:t xml:space="preserve">非鳞癌队列：PFS高度确定，OS趋势阳性</w:t>
      </w:r>
    </w:p>
    <w:p>
      <w:pPr>
        <w:pStyle w:val="FirstParagraph"/>
      </w:pPr>
      <w:r>
        <w:rPr>
          <w:bCs/>
          <w:b/>
        </w:rPr>
        <w:t xml:space="preserve">非鳞癌PFS</w:t>
      </w:r>
      <w:r>
        <w:t xml:space="preserve">基准预测HR=0.55，成功概率接近100%</w:t>
      </w:r>
      <w:r>
        <w:rPr>
          <w:vertAlign w:val="superscript"/>
        </w:rPr>
        <w:t xml:space="preserve">1</w:t>
      </w:r>
      <w:r>
        <w:t xml:space="preserve">。多个间接锚点一致：HARMONi-2（HR=0.51）</w:t>
      </w:r>
      <w:r>
        <w:rPr>
          <w:vertAlign w:val="superscript"/>
        </w:rPr>
        <w:t xml:space="preserve">4</w:t>
      </w:r>
      <w:r>
        <w:t xml:space="preserve">、HARMONi-A（HR=0.46）</w:t>
      </w:r>
      <w:r>
        <w:rPr>
          <w:vertAlign w:val="superscript"/>
        </w:rPr>
        <w:t xml:space="preserve">5</w:t>
      </w:r>
      <w:r>
        <w:t xml:space="preserve">、KEYNOTE-189（HR=0.52）</w:t>
      </w:r>
      <w:r>
        <w:rPr>
          <w:vertAlign w:val="superscript"/>
        </w:rPr>
        <w:t xml:space="preserve">1</w:t>
      </w:r>
      <w:r>
        <w:t xml:space="preserve">。即使悲观情景（HR=0.65），成功率仍维持100%</w:t>
      </w:r>
      <w:r>
        <w:rPr>
          <w:vertAlign w:val="superscript"/>
        </w:rPr>
        <w:t xml:space="preserve">1</w:t>
      </w:r>
      <w:r>
        <w:t xml:space="preserve">，因样本量约1,000例、预设事件数约720，统计功效充裕</w:t>
      </w:r>
      <w:r>
        <w:rPr>
          <w:vertAlign w:val="superscript"/>
        </w:rPr>
        <w:t xml:space="preserve">1</w:t>
      </w:r>
      <w:r>
        <w:t xml:space="preserve">。</w:t>
      </w:r>
    </w:p>
    <w:p>
      <w:pPr>
        <w:pStyle w:val="BodyText"/>
      </w:pPr>
      <w:r>
        <w:rPr>
          <w:bCs/>
          <w:b/>
        </w:rPr>
        <w:t xml:space="preserve">非鳞癌OS</w:t>
      </w:r>
      <w:r>
        <w:t xml:space="preserve">预测HR=0.73，成功率约98%</w:t>
      </w:r>
      <w:r>
        <w:rPr>
          <w:vertAlign w:val="superscript"/>
        </w:rPr>
        <w:t xml:space="preserve">1</w:t>
      </w:r>
      <w:r>
        <w:t xml:space="preserve">。不确定性高于鳞癌，因PFS-to-OS转化效率缺乏直接观察数据，模型采用化疗联合试验平均水平（0.53）</w:t>
      </w:r>
      <w:r>
        <w:rPr>
          <w:vertAlign w:val="superscript"/>
        </w:rPr>
        <w:t xml:space="preserve">1</w:t>
      </w:r>
      <w:r>
        <w:t xml:space="preserve">。非鳞癌OS最终分析预计需至2027年下半年，数据成熟度相对不足。但Monte Carlo显示P(OS HR&lt;0.80)=79.9%</w:t>
      </w:r>
      <w:r>
        <w:rPr>
          <w:vertAlign w:val="superscript"/>
        </w:rPr>
        <w:t xml:space="preserve">1</w:t>
      </w:r>
      <w:r>
        <w:t xml:space="preserve">，</w:t>
      </w:r>
      <w:r>
        <w:rPr>
          <w:bCs/>
          <w:b/>
        </w:rPr>
        <w:t xml:space="preserve">OS至少趋势性阳性的概率极高</w:t>
      </w:r>
      <w:r>
        <w:t xml:space="preserve">。</w:t>
      </w:r>
    </w:p>
    <w:bookmarkEnd w:id="170"/>
    <w:bookmarkStart w:id="171" w:name="最可能情景与敏感性"/>
    <w:p>
      <w:pPr>
        <w:pStyle w:val="Heading3"/>
      </w:pPr>
      <w:r>
        <w:t xml:space="preserve">最可能情景与敏感性</w:t>
      </w:r>
    </w:p>
    <w:p>
      <w:pPr>
        <w:pStyle w:val="FirstParagraph"/>
      </w:pPr>
      <w:r>
        <w:t xml:space="preserve">综合两队列、两终点，</w:t>
      </w:r>
      <w:r>
        <w:rPr>
          <w:bCs/>
          <w:b/>
        </w:rPr>
        <w:t xml:space="preserve">最可能情景：鳞癌PFS+OS双阳性，非鳞癌PFS阳性且OS趋势阳性</w:t>
      </w:r>
      <w:r>
        <w:t xml:space="preserve">。Monte Carlo显示PFS HR&lt;0.75且OS HR&lt;0.80的联合概率为76.3%</w:t>
      </w:r>
      <w:r>
        <w:rPr>
          <w:vertAlign w:val="superscript"/>
        </w:rPr>
        <w:t xml:space="preserve">1</w:t>
      </w:r>
      <w:r>
        <w:t xml:space="preserve">。Downside情景（鳞癌OS HR=0.76、非鳞癌OS HR=0.80）下成功率仍分别为83.9%和82.5%</w:t>
      </w:r>
      <w:r>
        <w:rPr>
          <w:vertAlign w:val="superscript"/>
        </w:rPr>
        <w:t xml:space="preserve">1</w:t>
      </w:r>
      <w:r>
        <w:t xml:space="preserve">，多重不利因素叠加下HARMONi-3仍大概率成功。</w:t>
      </w:r>
    </w:p>
    <w:bookmarkEnd w:id="171"/>
    <w:bookmarkEnd w:id="172"/>
    <w:bookmarkStart w:id="177" w:name="关键催化剂与投资建议"/>
    <w:p>
      <w:pPr>
        <w:pStyle w:val="Heading2"/>
      </w:pPr>
      <w:r>
        <w:t xml:space="preserve">9.3 关键催化剂与投资建议</w:t>
      </w:r>
    </w:p>
    <w:bookmarkStart w:id="173" w:name="年下半年ak112的决胜窗口"/>
    <w:p>
      <w:pPr>
        <w:pStyle w:val="Heading3"/>
      </w:pPr>
      <w:r>
        <w:t xml:space="preserve">2026年下半年：AK112的”决胜窗口”</w:t>
      </w:r>
    </w:p>
    <w:p>
      <w:pPr>
        <w:pStyle w:val="FirstParagraph"/>
      </w:pPr>
      <w:r>
        <w:t xml:space="preserve">2026年下半年是HARMONi-3全球价值兑现的最关键时间窗口</w:t>
      </w:r>
      <w:r>
        <w:rPr>
          <w:vertAlign w:val="superscript"/>
        </w:rPr>
        <w:t xml:space="preserve">7</w:t>
      </w:r>
      <w:r>
        <w:t xml:space="preserve">。该时段将密集出现：鳞癌PFS最终分析、鳞癌OS期中分析、非鳞癌队列入组完成等催化剂</w:t>
      </w:r>
      <w:r>
        <w:rPr>
          <w:vertAlign w:val="superscript"/>
        </w:rPr>
        <w:t xml:space="preserve">6</w:t>
      </w:r>
      <w:r>
        <w:t xml:space="preserve">。</w:t>
      </w:r>
      <w:r>
        <w:rPr>
          <w:bCs/>
          <w:b/>
        </w:rPr>
        <w:t xml:space="preserve">鳞癌PFS最终分析是首个决定性数据读出</w:t>
      </w:r>
      <w:r>
        <w:t xml:space="preserve">，若阳性，将首次在全球人群中证实AK112一线鳞癌优效性</w:t>
      </w:r>
      <w:r>
        <w:rPr>
          <w:vertAlign w:val="superscript"/>
        </w:rPr>
        <w:t xml:space="preserve">7</w:t>
      </w:r>
      <w:r>
        <w:t xml:space="preserve">。Summit在2025年Q4财报中新增2026年Q2鳞癌PFS期中分析计划</w:t>
      </w:r>
      <w:r>
        <w:rPr>
          <w:vertAlign w:val="superscript"/>
        </w:rPr>
        <w:t xml:space="preserve">6</w:t>
      </w:r>
      <w:r>
        <w:t xml:space="preserve">，若该期中分析即达显著，将构成重大超预期事件，加速审批路径</w:t>
      </w:r>
      <w:r>
        <w:rPr>
          <w:vertAlign w:val="superscript"/>
        </w:rPr>
        <w:t xml:space="preserve">1</w:t>
      </w:r>
      <w:r>
        <w:t xml:space="preserve">。</w:t>
      </w:r>
    </w:p>
    <w:bookmarkEnd w:id="173"/>
    <w:bookmarkStart w:id="174" w:name="harmoni-6-os阳性已提供强信号"/>
    <w:p>
      <w:pPr>
        <w:pStyle w:val="Heading3"/>
      </w:pPr>
      <w:r>
        <w:t xml:space="preserve">HARMONi-6 OS阳性已提供强信号</w:t>
      </w:r>
    </w:p>
    <w:p>
      <w:pPr>
        <w:pStyle w:val="FirstParagraph"/>
      </w:pPr>
      <w:r>
        <w:t xml:space="preserve">HARMONi-6的OS阳性（HR=0.66，p=0.0017）是HARMONi-3最强预测锚点，而非HARMONi-2</w:t>
      </w:r>
      <w:r>
        <w:rPr>
          <w:vertAlign w:val="superscript"/>
        </w:rPr>
        <w:t xml:space="preserve">7</w:t>
      </w:r>
      <w:r>
        <w:t xml:space="preserve">。HARMONi-6与HARMONi-3结构一致：均为AK112+化疗 vs PD-1+化疗。HARMONi-2单药头对头设计无法直接外推至联合化疗场景</w:t>
      </w:r>
      <w:r>
        <w:rPr>
          <w:vertAlign w:val="superscript"/>
        </w:rPr>
        <w:t xml:space="preserve">7</w:t>
      </w:r>
      <w:r>
        <w:t xml:space="preserve">。HARMONi-6 OS阳性意味着AK112的PD-1/VEGF双靶机制在化疗背景下不仅改善PFS，更显著延长OS，为HARMONi-3全球验证提供了最直接证据</w:t>
      </w:r>
      <w:r>
        <w:rPr>
          <w:vertAlign w:val="superscript"/>
        </w:rPr>
        <w:t xml:space="preserve">2</w:t>
      </w:r>
      <w:r>
        <w:t xml:space="preserve">。</w:t>
      </w:r>
    </w:p>
    <w:bookmarkEnd w:id="174"/>
    <w:bookmarkStart w:id="175" w:name="年11月fda-pdufa与全球价值重估"/>
    <w:p>
      <w:pPr>
        <w:pStyle w:val="Heading3"/>
      </w:pPr>
      <w:r>
        <w:t xml:space="preserve">2026年11月FDA PDUFA与全球价值重估</w:t>
      </w:r>
    </w:p>
    <w:p>
      <w:pPr>
        <w:pStyle w:val="FirstParagraph"/>
      </w:pPr>
      <w:r>
        <w:t xml:space="preserve">除HARMONi-3外，2026年11月FDA对HARMONi（EGFRm NSCLC）的PDUFA决定是另一关键催化剂</w:t>
      </w:r>
      <w:r>
        <w:rPr>
          <w:vertAlign w:val="superscript"/>
        </w:rPr>
        <w:t xml:space="preserve">1</w:t>
      </w:r>
      <w:r>
        <w:t xml:space="preserve">。HARMONi的PFS HR=0.52（p&lt;0.0001）和OS HR=0.78（p=0.0332）已显示阳性</w:t>
      </w:r>
      <w:r>
        <w:rPr>
          <w:vertAlign w:val="superscript"/>
        </w:rPr>
        <w:t xml:space="preserve">8</w:t>
      </w:r>
      <w:r>
        <w:t xml:space="preserve">，北美人群OS HR=0.70优于总体</w:t>
      </w:r>
      <w:r>
        <w:rPr>
          <w:vertAlign w:val="superscript"/>
        </w:rPr>
        <w:t xml:space="preserve">8</w:t>
      </w:r>
      <w:r>
        <w:t xml:space="preserve">。若获批，AK112将成为首个在美上市的PD-1/VEGF双抗，为HARMONi-3后续审批积累经验。</w:t>
      </w:r>
    </w:p>
    <w:p>
      <w:pPr>
        <w:pStyle w:val="BodyText"/>
      </w:pPr>
      <w:r>
        <w:rPr>
          <w:bCs/>
          <w:b/>
        </w:rPr>
        <w:t xml:space="preserve">HARMONi-3成功后的全球价值重估远超单一试验意义</w:t>
      </w:r>
      <w:r>
        <w:t xml:space="preserve">。AK112拥有三重壁垒：全球唯一头对头击败帕博利珠单抗的III期数据（HARMONi-2）</w:t>
      </w:r>
      <w:r>
        <w:rPr>
          <w:vertAlign w:val="superscript"/>
        </w:rPr>
        <w:t xml:space="preserve">4</w:t>
      </w:r>
      <w:r>
        <w:t xml:space="preserve">、全球唯一鳞癌OS阳性的抗VEGF药物（HARMONi-6）</w:t>
      </w:r>
      <w:r>
        <w:rPr>
          <w:vertAlign w:val="superscript"/>
        </w:rPr>
        <w:t xml:space="preserve">2</w:t>
      </w:r>
      <w:r>
        <w:t xml:space="preserve">、全球首个获批上市的PD-1/VEGF双抗。竞品III期预计最早2027–2028年才有头对头数据</w:t>
      </w:r>
      <w:r>
        <w:rPr>
          <w:vertAlign w:val="superscript"/>
        </w:rPr>
        <w:t xml:space="preserve">7</w:t>
      </w:r>
      <w:r>
        <w:t xml:space="preserve">。HARMONi-3成功将巩固AK112一线NSCLC先发垄断地位，有望成为继帕博利珠单抗之后第二个确立全球一线标准的免疫药物</w:t>
      </w:r>
      <w:r>
        <w:rPr>
          <w:vertAlign w:val="superscript"/>
        </w:rPr>
        <w:t xml:space="preserve">7</w:t>
      </w:r>
      <w:r>
        <w:t xml:space="preserve">。</w:t>
      </w:r>
    </w:p>
    <w:bookmarkEnd w:id="175"/>
    <w:bookmarkStart w:id="176" w:name="安全性从风险项转为加分项"/>
    <w:p>
      <w:pPr>
        <w:pStyle w:val="Heading3"/>
      </w:pPr>
      <w:r>
        <w:t xml:space="preserve">安全性：从风险项转为加分项</w:t>
      </w:r>
    </w:p>
    <w:p>
      <w:pPr>
        <w:pStyle w:val="FirstParagraph"/>
      </w:pPr>
      <w:r>
        <w:t xml:space="preserve">传统上，VEGF抑制剂在鳞癌中的出血禁忌被视为重大监管风险。但AK112通过Fc-silencing机制，在HARMONi-6（63%中央型鳞癌、30%咯血史）中实现≥3级出血仅2.6%</w:t>
      </w:r>
      <w:r>
        <w:rPr>
          <w:vertAlign w:val="superscript"/>
        </w:rPr>
        <w:t xml:space="preserve">9</w:t>
      </w:r>
      <w:r>
        <w:t xml:space="preserve">，与贝伐珠单抗历史数据（9–10%）形成鲜明对比</w:t>
      </w:r>
      <w:r>
        <w:rPr>
          <w:vertAlign w:val="superscript"/>
        </w:rPr>
        <w:t xml:space="preserve">9</w:t>
      </w:r>
      <w:r>
        <w:t xml:space="preserve">。在HARMONi-3的FDA审评中，出血风险很可能不再是ODAC焦点，反而成为差异化优势的积极证据</w:t>
      </w:r>
      <w:r>
        <w:rPr>
          <w:vertAlign w:val="superscript"/>
        </w:rPr>
        <w:t xml:space="preserve">7</w:t>
      </w:r>
      <w:r>
        <w:t xml:space="preserve">。</w:t>
      </w:r>
    </w:p>
    <w:bookmarkEnd w:id="176"/>
    <w:bookmarkEnd w:id="177"/>
    <w:bookmarkStart w:id="178" w:name="模型局限性与免责声明"/>
    <w:p>
      <w:pPr>
        <w:pStyle w:val="Heading2"/>
      </w:pPr>
      <w:r>
        <w:t xml:space="preserve">9.4 模型局限性与免责声明</w:t>
      </w:r>
    </w:p>
    <w:p>
      <w:pPr>
        <w:pStyle w:val="FirstParagraph"/>
      </w:pPr>
      <w:r>
        <w:t xml:space="preserve">本报告基于截至2026年6月的公开数据、间接比较统计模型和文献荟萃分析，</w:t>
      </w:r>
      <w:r>
        <w:rPr>
          <w:bCs/>
          <w:b/>
        </w:rPr>
        <w:t xml:space="preserve">所有结论均具有不确定性，不构成确定性判断</w:t>
      </w:r>
      <w:r>
        <w:t xml:space="preserve">。主要局限性包括：</w:t>
      </w:r>
    </w:p>
    <w:p>
      <w:pPr>
        <w:numPr>
          <w:ilvl w:val="0"/>
          <w:numId w:val="1008"/>
        </w:numPr>
        <w:pStyle w:val="Compact"/>
      </w:pPr>
      <w:r>
        <w:rPr>
          <w:bCs/>
          <w:b/>
        </w:rPr>
        <w:t xml:space="preserve">替雷至帕博利珠单抗桥接依赖间接比较</w:t>
      </w:r>
      <w:r>
        <w:t xml:space="preserve">：NMA（HR=1.04）存在残留混杂和发表偏倚风险</w:t>
      </w:r>
      <w:r>
        <w:rPr>
          <w:vertAlign w:val="superscript"/>
        </w:rPr>
        <w:t xml:space="preserve">3</w:t>
      </w:r>
      <w:r>
        <w:t xml:space="preserve">。</w:t>
      </w:r>
    </w:p>
    <w:p>
      <w:pPr>
        <w:numPr>
          <w:ilvl w:val="0"/>
          <w:numId w:val="1008"/>
        </w:numPr>
        <w:pStyle w:val="Compact"/>
      </w:pPr>
      <w:r>
        <w:rPr>
          <w:bCs/>
          <w:b/>
        </w:rPr>
        <w:t xml:space="preserve">中国至全球人群外推不确定性</w:t>
      </w:r>
      <w:r>
        <w:t xml:space="preserve">：HARMONi试验提供全球一致性证据（OS HR=0.78）</w:t>
      </w:r>
      <w:r>
        <w:rPr>
          <w:vertAlign w:val="superscript"/>
        </w:rPr>
        <w:t xml:space="preserve">8</w:t>
      </w:r>
      <w:r>
        <w:t xml:space="preserve">，但鳞癌种族差异未充分量化。KEYNOTE-407中国人群OS HR=0.44显著优于全球HR=0.71</w:t>
      </w:r>
      <w:r>
        <w:rPr>
          <w:vertAlign w:val="superscript"/>
        </w:rPr>
        <w:t xml:space="preserve">7</w:t>
      </w:r>
      <w:r>
        <w:t xml:space="preserve">，提示西方人群占比可能带来疗效稀释。</w:t>
      </w:r>
    </w:p>
    <w:p>
      <w:pPr>
        <w:numPr>
          <w:ilvl w:val="0"/>
          <w:numId w:val="1008"/>
        </w:numPr>
        <w:pStyle w:val="Compact"/>
      </w:pPr>
      <w:r>
        <w:rPr>
          <w:bCs/>
          <w:b/>
        </w:rPr>
        <w:t xml:space="preserve">PFS-to-OS转化效率外推风险</w:t>
      </w:r>
      <w:r>
        <w:t xml:space="preserve">：HARMONi-6转化效率极高（0.81）</w:t>
      </w:r>
      <w:r>
        <w:rPr>
          <w:vertAlign w:val="superscript"/>
        </w:rPr>
        <w:t xml:space="preserve">1</w:t>
      </w:r>
      <w:r>
        <w:t xml:space="preserve">，可能受中国人群特征影响，无法完全复制于全球人群。</w:t>
      </w:r>
    </w:p>
    <w:p>
      <w:pPr>
        <w:numPr>
          <w:ilvl w:val="0"/>
          <w:numId w:val="1008"/>
        </w:numPr>
        <w:pStyle w:val="Compact"/>
      </w:pPr>
      <w:r>
        <w:rPr>
          <w:bCs/>
          <w:b/>
        </w:rPr>
        <w:t xml:space="preserve">统计设计假设</w:t>
      </w:r>
      <w:r>
        <w:t xml:space="preserve">：HARMONi-3的alpha分配、期中分析边界等细节未完全公开，功效计算基于假设</w:t>
      </w:r>
      <w:r>
        <w:rPr>
          <w:vertAlign w:val="superscript"/>
        </w:rPr>
        <w:t xml:space="preserve">1</w:t>
      </w:r>
      <w:r>
        <w:t xml:space="preserve">。</w:t>
      </w:r>
    </w:p>
    <w:p>
      <w:pPr>
        <w:numPr>
          <w:ilvl w:val="0"/>
          <w:numId w:val="1008"/>
        </w:numPr>
        <w:pStyle w:val="Compact"/>
      </w:pPr>
      <w:r>
        <w:rPr>
          <w:bCs/>
          <w:b/>
        </w:rPr>
        <w:t xml:space="preserve">非鳞癌数据成熟度</w:t>
      </w:r>
      <w:r>
        <w:t xml:space="preserve">：非鳞癌OS最终分析预计需至2027年下半年，预测不确定性高于鳞癌。</w:t>
      </w:r>
    </w:p>
    <w:p>
      <w:pPr>
        <w:numPr>
          <w:ilvl w:val="0"/>
          <w:numId w:val="1008"/>
        </w:numPr>
        <w:pStyle w:val="Compact"/>
      </w:pPr>
      <w:r>
        <w:rPr>
          <w:bCs/>
          <w:b/>
        </w:rPr>
        <w:t xml:space="preserve">竞品动态与后续治疗格局</w:t>
      </w:r>
      <w:r>
        <w:t xml:space="preserve">：若一线NSCLC标准治疗发生根本性变化（如TROP2 ADC获批），可能影响AK112相对价值定位。</w:t>
      </w:r>
    </w:p>
    <w:p>
      <w:pPr>
        <w:pStyle w:val="FirstParagraph"/>
      </w:pPr>
      <w:r>
        <w:rPr>
          <w:bCs/>
          <w:b/>
        </w:rPr>
        <w:t xml:space="preserve">本报告仅供研究参考，不构成任何投资建议</w:t>
      </w:r>
      <w:r>
        <w:t xml:space="preserve">。投资有风险，决策需谨慎。实际结果可能因患者基线特征、地区分布、随访时间、统计方法等多种因素与预测偏离。最终以Summit Therapeutics和康方生物官方发布的临床数据为权威依据。</w:t>
      </w:r>
    </w:p>
    <w:p>
      <w:r>
        <w:pict>
          <v:rect style="width:0;height:1.5pt" o:hralign="center" o:hrstd="t" o:hr="t"/>
        </w:pict>
      </w:r>
    </w:p>
    <w:p>
      <w:r>
        <w:pict>
          <v:rect style="width:0;height:1.5pt" o:hralign="center" o:hrstd="t" o:hr="t"/>
        </w:pict>
      </w:r>
    </w:p>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2026-07-06T02:45:46Z</dcterms:created>
  <dcterms:modified xsi:type="dcterms:W3CDTF">2026-07-06T02:45:46Z</dcterms:modified>
</cp:coreProperties>
</file>

<file path=docProps/custom.xml><?xml version="1.0" encoding="utf-8"?>
<Properties xmlns="http://schemas.openxmlformats.org/officeDocument/2006/custom-properties" xmlns:vt="http://schemas.openxmlformats.org/officeDocument/2006/docPropsVTypes"/>
</file>