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Arial" w:cs="Arial" w:eastAsia="Arial" w:hAnsi="Arial"/>
          <w:b/>
          <w:bCs/>
          <w:color w:val="1E4D78"/>
          <w:sz w:val="56"/>
          <w:szCs w:val="56"/>
        </w:rPr>
        <w:t xml:space="preserve">Maintenance (Derived) Pricing</w:t>
      </w:r>
    </w:p>
    <w:p>
      <w:pPr>
        <w:spacing w:after="200"/>
        <w:jc w:val="center"/>
      </w:pPr>
      <w:r>
        <w:rPr>
          <w:rFonts w:ascii="Arial" w:cs="Arial" w:eastAsia="Arial" w:hAnsi="Arial"/>
          <w:color w:val="404040"/>
          <w:sz w:val="36"/>
          <w:szCs w:val="36"/>
        </w:rPr>
        <w:t xml:space="preserve">Solution Design Document</w:t>
      </w:r>
    </w:p>
    <w:p>
      <w:pPr>
        <w:spacing w:after="600"/>
        <w:jc w:val="center"/>
      </w:pPr>
      <w:r>
        <w:rPr>
          <w:rFonts w:ascii="Arial" w:cs="Arial" w:eastAsia="Arial" w:hAnsi="Arial"/>
          <w:color w:val="808080"/>
          <w:sz w:val="28"/>
          <w:szCs w:val="28"/>
        </w:rPr>
        <w:t xml:space="preserve">Prepared for Fortra</w:t>
      </w:r>
    </w:p>
    <w:p>
      <w:pPr>
        <w:spacing w:before="1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rHeight w:val="288"/>
        </w:trPr>
        <w:tc>
          <w:tcPr>
            <w:tcW w:type="dxa" w:w="3000"/>
            <w:shd w:fill="F5F5F5" w:color="auto" w:val="clear"/>
            <w:tcMar>
              <w:top w:type="dxa" w:w="72"/>
              <w:left w:type="dxa" w:w="72"/>
              <w:bottom w:type="dxa" w:w="72"/>
              <w:right w:type="dxa" w:w="72"/>
            </w:tcMar>
          </w:tcPr>
          <w:p>
            <w:r>
              <w:rPr>
                <w:rFonts w:ascii="Arial" w:cs="Arial" w:eastAsia="Arial" w:hAnsi="Arial"/>
                <w:b/>
                <w:bCs/>
                <w:sz w:val="20"/>
                <w:szCs w:val="20"/>
              </w:rPr>
              <w:t xml:space="preserve">Client:</w:t>
            </w:r>
          </w:p>
        </w:tc>
        <w:tc>
          <w:tcPr>
            <w:tcW w:type="dxa" w:w="6360"/>
            <w:tcMar>
              <w:top w:type="dxa" w:w="72"/>
              <w:left w:type="dxa" w:w="72"/>
              <w:bottom w:type="dxa" w:w="72"/>
              <w:right w:type="dxa" w:w="72"/>
            </w:tcMar>
          </w:tcPr>
          <w:p>
            <w:r>
              <w:rPr>
                <w:rFonts w:ascii="Arial" w:cs="Arial" w:eastAsia="Arial" w:hAnsi="Arial"/>
                <w:sz w:val="20"/>
                <w:szCs w:val="20"/>
              </w:rPr>
              <w:t xml:space="preserve">Fortra</w:t>
            </w:r>
          </w:p>
        </w:tc>
      </w:tr>
      <w:tr>
        <w:trPr>
          <w:trHeight w:val="288"/>
        </w:trPr>
        <w:tc>
          <w:tcPr>
            <w:tcW w:type="dxa" w:w="3000"/>
            <w:shd w:fill="F5F5F5" w:color="auto" w:val="clear"/>
            <w:tcMar>
              <w:top w:type="dxa" w:w="72"/>
              <w:left w:type="dxa" w:w="72"/>
              <w:bottom w:type="dxa" w:w="72"/>
              <w:right w:type="dxa" w:w="72"/>
            </w:tcMar>
          </w:tcPr>
          <w:p>
            <w:r>
              <w:rPr>
                <w:rFonts w:ascii="Arial" w:cs="Arial" w:eastAsia="Arial" w:hAnsi="Arial"/>
                <w:b/>
                <w:bCs/>
                <w:sz w:val="20"/>
                <w:szCs w:val="20"/>
              </w:rPr>
              <w:t xml:space="preserve">Solution:</w:t>
            </w:r>
          </w:p>
        </w:tc>
        <w:tc>
          <w:tcPr>
            <w:tcW w:type="dxa" w:w="6360"/>
            <w:tcMar>
              <w:top w:type="dxa" w:w="72"/>
              <w:left w:type="dxa" w:w="72"/>
              <w:bottom w:type="dxa" w:w="72"/>
              <w:right w:type="dxa" w:w="72"/>
            </w:tcMar>
          </w:tcPr>
          <w:p>
            <w:r>
              <w:rPr>
                <w:rFonts w:ascii="Arial" w:cs="Arial" w:eastAsia="Arial" w:hAnsi="Arial"/>
                <w:sz w:val="20"/>
                <w:szCs w:val="20"/>
              </w:rPr>
              <w:t xml:space="preserve">Maintenance (Derived) Pricing</w:t>
            </w:r>
          </w:p>
        </w:tc>
      </w:tr>
      <w:tr>
        <w:trPr>
          <w:trHeight w:val="288"/>
        </w:trPr>
        <w:tc>
          <w:tcPr>
            <w:tcW w:type="dxa" w:w="3000"/>
            <w:shd w:fill="F5F5F5" w:color="auto" w:val="clear"/>
            <w:tcMar>
              <w:top w:type="dxa" w:w="72"/>
              <w:left w:type="dxa" w:w="72"/>
              <w:bottom w:type="dxa" w:w="72"/>
              <w:right w:type="dxa" w:w="72"/>
            </w:tcMar>
          </w:tcPr>
          <w:p>
            <w:r>
              <w:rPr>
                <w:rFonts w:ascii="Arial" w:cs="Arial" w:eastAsia="Arial" w:hAnsi="Arial"/>
                <w:b/>
                <w:bCs/>
                <w:sz w:val="20"/>
                <w:szCs w:val="20"/>
              </w:rPr>
              <w:t xml:space="preserve">Consultant:</w:t>
            </w:r>
          </w:p>
        </w:tc>
        <w:tc>
          <w:tcPr>
            <w:tcW w:type="dxa" w:w="6360"/>
            <w:tcMar>
              <w:top w:type="dxa" w:w="72"/>
              <w:left w:type="dxa" w:w="72"/>
              <w:bottom w:type="dxa" w:w="72"/>
              <w:right w:type="dxa" w:w="72"/>
            </w:tcMar>
          </w:tcPr>
          <w:p>
            <w:r>
              <w:rPr>
                <w:rFonts w:ascii="Arial" w:cs="Arial" w:eastAsia="Arial" w:hAnsi="Arial"/>
                <w:sz w:val="20"/>
                <w:szCs w:val="20"/>
              </w:rPr>
              <w:t xml:space="preserve">Coastal</w:t>
            </w:r>
          </w:p>
        </w:tc>
      </w:tr>
      <w:tr>
        <w:trPr>
          <w:trHeight w:val="288"/>
        </w:trPr>
        <w:tc>
          <w:tcPr>
            <w:tcW w:type="dxa" w:w="3000"/>
            <w:shd w:fill="F5F5F5" w:color="auto" w:val="clear"/>
            <w:tcMar>
              <w:top w:type="dxa" w:w="72"/>
              <w:left w:type="dxa" w:w="72"/>
              <w:bottom w:type="dxa" w:w="72"/>
              <w:right w:type="dxa" w:w="72"/>
            </w:tcMar>
          </w:tcPr>
          <w:p>
            <w:r>
              <w:rPr>
                <w:rFonts w:ascii="Arial" w:cs="Arial" w:eastAsia="Arial" w:hAnsi="Arial"/>
                <w:b/>
                <w:bCs/>
                <w:sz w:val="20"/>
                <w:szCs w:val="20"/>
              </w:rPr>
              <w:t xml:space="preserve">Document Version:</w:t>
            </w:r>
          </w:p>
        </w:tc>
        <w:tc>
          <w:tcPr>
            <w:tcW w:type="dxa" w:w="6360"/>
            <w:tcMar>
              <w:top w:type="dxa" w:w="72"/>
              <w:left w:type="dxa" w:w="72"/>
              <w:bottom w:type="dxa" w:w="72"/>
              <w:right w:type="dxa" w:w="72"/>
            </w:tcMar>
          </w:tcPr>
          <w:p>
            <w:r>
              <w:rPr>
                <w:rFonts w:ascii="Arial" w:cs="Arial" w:eastAsia="Arial" w:hAnsi="Arial"/>
                <w:sz w:val="20"/>
                <w:szCs w:val="20"/>
              </w:rPr>
              <w:t xml:space="preserve">1.0</w:t>
            </w:r>
          </w:p>
        </w:tc>
      </w:tr>
      <w:tr>
        <w:trPr>
          <w:trHeight w:val="288"/>
        </w:trPr>
        <w:tc>
          <w:tcPr>
            <w:tcW w:type="dxa" w:w="3000"/>
            <w:shd w:fill="F5F5F5" w:color="auto" w:val="clear"/>
            <w:tcMar>
              <w:top w:type="dxa" w:w="72"/>
              <w:left w:type="dxa" w:w="72"/>
              <w:bottom w:type="dxa" w:w="72"/>
              <w:right w:type="dxa" w:w="72"/>
            </w:tcMar>
          </w:tcPr>
          <w:p>
            <w:r>
              <w:rPr>
                <w:rFonts w:ascii="Arial" w:cs="Arial" w:eastAsia="Arial" w:hAnsi="Arial"/>
                <w:b/>
                <w:bCs/>
                <w:sz w:val="20"/>
                <w:szCs w:val="20"/>
              </w:rPr>
              <w:t xml:space="preserve">Date:</w:t>
            </w:r>
          </w:p>
        </w:tc>
        <w:tc>
          <w:tcPr>
            <w:tcW w:type="dxa" w:w="6360"/>
            <w:tcMar>
              <w:top w:type="dxa" w:w="72"/>
              <w:left w:type="dxa" w:w="72"/>
              <w:bottom w:type="dxa" w:w="72"/>
              <w:right w:type="dxa" w:w="72"/>
            </w:tcMar>
          </w:tcPr>
          <w:p>
            <w:r>
              <w:rPr>
                <w:rFonts w:ascii="Arial" w:cs="Arial" w:eastAsia="Arial" w:hAnsi="Arial"/>
                <w:sz w:val="20"/>
                <w:szCs w:val="20"/>
              </w:rPr>
              <w:t xml:space="preserve">June 6, 2026</w:t>
            </w:r>
          </w:p>
        </w:tc>
      </w:tr>
    </w:tbl>
    <w:p>
      <w:r>
        <w:br w:type="page"/>
      </w:r>
    </w:p>
    <w:p>
      <w:pPr>
        <w:pStyle w:val="Heading1"/>
      </w:pPr>
      <w:r>
        <w:rPr>
          <w:rFonts w:ascii="Arial" w:cs="Arial" w:eastAsia="Arial" w:hAnsi="Arial"/>
          <w:b/>
          <w:bCs/>
          <w:color w:val="1E4D7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220"/>
      </w:pPr>
      <w:r>
        <w:rPr>
          <w:rFonts w:ascii="Arial" w:cs="Arial" w:eastAsia="Arial" w:hAnsi="Arial"/>
          <w:b/>
          <w:bCs/>
          <w:color w:val="1E4D78"/>
          <w:sz w:val="32"/>
          <w:szCs w:val="32"/>
        </w:rPr>
        <w:t xml:space="preserve">1. Executive Summary</w:t>
      </w:r>
    </w:p>
    <w:p>
      <w:pPr>
        <w:spacing w:after="200"/>
      </w:pPr>
      <w:r>
        <w:rPr>
          <w:rFonts w:ascii="Arial" w:cs="Arial" w:eastAsia="Arial" w:hAnsi="Arial"/>
          <w:sz w:val="20"/>
          <w:szCs w:val="20"/>
        </w:rPr>
        <w:t xml:space="preserve">Auto-added maintenance and support lines on Revenue Cloud quotes must price as the related license's list price multiplied by a percentage that depends on the maintenance tier the salesperson selects on the line. Today these lines price at $0 across most of the catalog. This solution prices them correctly using Revenue Cloud configuration plus a single declarative Flow — with no custom Apex pricing prehook — and is immune to the selling-model mismatch that breaks the platform's native derived-pricing for roughly a third of the catalog. It also corrects a price-shrinkage defect that caused maintenance prices to fall on each repricing.</w:t>
      </w:r>
    </w:p>
    <w:p>
      <w:pPr>
        <w:pStyle w:val="Heading2"/>
        <w:spacing w:before="320" w:after="205"/>
      </w:pPr>
      <w:r>
        <w:rPr>
          <w:rFonts w:ascii="Arial" w:cs="Arial" w:eastAsia="Arial" w:hAnsi="Arial"/>
          <w:b/>
          <w:bCs/>
          <w:color w:val="2E75B6"/>
          <w:sz w:val="26"/>
          <w:szCs w:val="26"/>
        </w:rPr>
        <w:t xml:space="preserve">1.1 Key Features</w:t>
      </w:r>
    </w:p>
    <w:p>
      <w:pPr>
        <w:pStyle w:val="ListParagraph"/>
        <w:numPr>
          <w:ilvl w:val="0"/>
          <w:numId w:val="2"/>
        </w:numPr>
        <w:spacing w:after="120"/>
      </w:pPr>
      <w:r>
        <w:rPr>
          <w:rFonts w:ascii="Arial" w:cs="Arial" w:eastAsia="Arial" w:hAnsi="Arial"/>
          <w:sz w:val="20"/>
          <w:szCs w:val="20"/>
        </w:rPr>
        <w:t xml:space="preserve">Prices each maintenance line as source license list price × the user-selected tier rate (Premier 30%, Standard 20%, Professional 20%).</w:t>
      </w:r>
    </w:p>
    <w:p>
      <w:pPr>
        <w:pStyle w:val="ListParagraph"/>
        <w:numPr>
          <w:ilvl w:val="0"/>
          <w:numId w:val="2"/>
        </w:numPr>
        <w:spacing w:after="120"/>
      </w:pPr>
      <w:r>
        <w:rPr>
          <w:rFonts w:ascii="Arial" w:cs="Arial" w:eastAsia="Arial" w:hAnsi="Arial"/>
          <w:sz w:val="20"/>
          <w:szCs w:val="20"/>
        </w:rPr>
        <w:t xml:space="preserve">Follows the tier the salesperson selects on each line at quote time — not a fixed per-product rate — and updates when they change it.</w:t>
      </w:r>
    </w:p>
    <w:p>
      <w:pPr>
        <w:pStyle w:val="ListParagraph"/>
        <w:numPr>
          <w:ilvl w:val="0"/>
          <w:numId w:val="2"/>
        </w:numPr>
        <w:spacing w:after="120"/>
      </w:pPr>
      <w:r>
        <w:rPr>
          <w:rFonts w:ascii="Arial" w:cs="Arial" w:eastAsia="Arial" w:hAnsi="Arial"/>
          <w:sz w:val="20"/>
          <w:szCs w:val="20"/>
        </w:rPr>
        <w:t xml:space="preserve">Immune to selling-model mismatch: the source list price is captured as data on the line, so pricing no longer depends on the native contributor-resolution step that fails when the license and maintenance products use different selling models.</w:t>
      </w:r>
    </w:p>
    <w:p>
      <w:pPr>
        <w:pStyle w:val="ListParagraph"/>
        <w:numPr>
          <w:ilvl w:val="0"/>
          <w:numId w:val="2"/>
        </w:numPr>
        <w:spacing w:after="120"/>
      </w:pPr>
      <w:r>
        <w:rPr>
          <w:rFonts w:ascii="Arial" w:cs="Arial" w:eastAsia="Arial" w:hAnsi="Arial"/>
          <w:sz w:val="20"/>
          <w:szCs w:val="20"/>
        </w:rPr>
        <w:t xml:space="preserve">No custom Apex pricing prehook — delivered with one new field, one Flow, and one pricing-procedure formula change.</w:t>
      </w:r>
    </w:p>
    <w:p>
      <w:pPr>
        <w:pStyle w:val="ListParagraph"/>
        <w:numPr>
          <w:ilvl w:val="0"/>
          <w:numId w:val="2"/>
        </w:numPr>
        <w:spacing w:after="360"/>
      </w:pPr>
      <w:r>
        <w:rPr>
          <w:rFonts w:ascii="Arial" w:cs="Arial" w:eastAsia="Arial" w:hAnsi="Arial"/>
          <w:sz w:val="20"/>
          <w:szCs w:val="20"/>
        </w:rPr>
        <w:t xml:space="preserve">Eliminates the multiplicative price-shrinkage seen on repeated repricing by multiplying a stable stamped value instead of the field being written.</w:t>
      </w:r>
    </w:p>
    <w:p>
      <w:r>
        <w:br w:type="page"/>
      </w:r>
    </w:p>
    <w:p>
      <w:pPr>
        <w:pStyle w:val="Heading1"/>
        <w:spacing w:before="320" w:after="220"/>
      </w:pPr>
      <w:r>
        <w:rPr>
          <w:rFonts w:ascii="Arial" w:cs="Arial" w:eastAsia="Arial" w:hAnsi="Arial"/>
          <w:b/>
          <w:bCs/>
          <w:color w:val="1E4D78"/>
          <w:sz w:val="32"/>
          <w:szCs w:val="32"/>
        </w:rPr>
        <w:t xml:space="preserve">2. Solution Overview</w:t>
      </w:r>
    </w:p>
    <w:p>
      <w:pPr>
        <w:pStyle w:val="Heading2"/>
        <w:spacing w:before="320" w:after="205"/>
      </w:pPr>
      <w:r>
        <w:rPr>
          <w:rFonts w:ascii="Arial" w:cs="Arial" w:eastAsia="Arial" w:hAnsi="Arial"/>
          <w:b/>
          <w:bCs/>
          <w:color w:val="2E75B6"/>
          <w:sz w:val="26"/>
          <w:szCs w:val="26"/>
        </w:rPr>
        <w:t xml:space="preserve">2.1 Business Process Flow</w:t>
      </w:r>
    </w:p>
    <w:p>
      <w:pPr>
        <w:spacing w:after="200"/>
      </w:pPr>
      <w:r>
        <w:rPr>
          <w:rFonts w:ascii="Arial" w:cs="Arial" w:eastAsia="Arial" w:hAnsi="Arial"/>
          <w:sz w:val="20"/>
          <w:szCs w:val="20"/>
        </w:rPr>
        <w:t xml:space="preserve">From a business perspective, maintenance pricing works as follows on every quote:</w:t>
      </w:r>
    </w:p>
    <w:p>
      <w:pPr>
        <w:pStyle w:val="ListParagraph"/>
        <w:numPr>
          <w:ilvl w:val="0"/>
          <w:numId w:val="3"/>
        </w:numPr>
        <w:spacing w:after="120"/>
      </w:pPr>
      <w:r>
        <w:rPr>
          <w:rFonts w:ascii="Arial" w:cs="Arial" w:eastAsia="Arial" w:hAnsi="Arial"/>
          <w:sz w:val="20"/>
          <w:szCs w:val="20"/>
        </w:rPr>
        <w:t xml:space="preserve">A salesperson adds a license product to a quote.</w:t>
      </w:r>
    </w:p>
    <w:p>
      <w:pPr>
        <w:pStyle w:val="ListParagraph"/>
        <w:numPr>
          <w:ilvl w:val="0"/>
          <w:numId w:val="3"/>
        </w:numPr>
        <w:spacing w:after="120"/>
      </w:pPr>
      <w:r>
        <w:rPr>
          <w:rFonts w:ascii="Arial" w:cs="Arial" w:eastAsia="Arial" w:hAnsi="Arial"/>
          <w:sz w:val="20"/>
          <w:szCs w:val="20"/>
        </w:rPr>
        <w:t xml:space="preserve">Revenue Cloud automatically adds the matching maintenance / support line next to it.</w:t>
      </w:r>
    </w:p>
    <w:p>
      <w:pPr>
        <w:pStyle w:val="ListParagraph"/>
        <w:numPr>
          <w:ilvl w:val="0"/>
          <w:numId w:val="3"/>
        </w:numPr>
        <w:spacing w:after="120"/>
      </w:pPr>
      <w:r>
        <w:rPr>
          <w:rFonts w:ascii="Arial" w:cs="Arial" w:eastAsia="Arial" w:hAnsi="Arial"/>
          <w:sz w:val="20"/>
          <w:szCs w:val="20"/>
        </w:rPr>
        <w:t xml:space="preserve">The salesperson selects the maintenance tier on that line (Premier, Standard, or Professional).</w:t>
      </w:r>
    </w:p>
    <w:p>
      <w:pPr>
        <w:pStyle w:val="ListParagraph"/>
        <w:numPr>
          <w:ilvl w:val="0"/>
          <w:numId w:val="3"/>
        </w:numPr>
        <w:spacing w:after="360"/>
      </w:pPr>
      <w:r>
        <w:rPr>
          <w:rFonts w:ascii="Arial" w:cs="Arial" w:eastAsia="Arial" w:hAnsi="Arial"/>
          <w:sz w:val="20"/>
          <w:szCs w:val="20"/>
        </w:rPr>
        <w:t xml:space="preserve">The maintenance line prices automatically as the license's list price × the selected tier's percentage, and re-prices correctly if the tier is changed.</w:t>
      </w:r>
    </w:p>
    <w:p>
      <w:pPr>
        <w:pStyle w:val="Heading2"/>
        <w:spacing w:before="320" w:after="205"/>
      </w:pPr>
      <w:r>
        <w:rPr>
          <w:rFonts w:ascii="Arial" w:cs="Arial" w:eastAsia="Arial" w:hAnsi="Arial"/>
          <w:b/>
          <w:bCs/>
          <w:color w:val="2E75B6"/>
          <w:sz w:val="26"/>
          <w:szCs w:val="26"/>
        </w:rPr>
        <w:t xml:space="preserve">2.2 Technical Process Flow</w:t>
      </w:r>
    </w:p>
    <w:p>
      <w:pPr>
        <w:spacing w:after="200"/>
      </w:pPr>
      <w:r>
        <w:rPr>
          <w:rFonts w:ascii="Arial" w:cs="Arial" w:eastAsia="Arial" w:hAnsi="Arial"/>
          <w:sz w:val="20"/>
          <w:szCs w:val="20"/>
        </w:rPr>
        <w:t xml:space="preserve">The Maintenance (Derived) Pricing solution follows this sequence:</w:t>
      </w:r>
    </w:p>
    <w:p>
      <w:pPr>
        <w:pStyle w:val="ListParagraph"/>
        <w:numPr>
          <w:ilvl w:val="0"/>
          <w:numId w:val="4"/>
        </w:numPr>
        <w:spacing w:after="120"/>
      </w:pPr>
      <w:r>
        <w:rPr>
          <w:rFonts w:ascii="Arial" w:cs="Arial" w:eastAsia="Arial" w:hAnsi="Arial"/>
          <w:sz w:val="20"/>
          <w:szCs w:val="20"/>
        </w:rPr>
        <w:t xml:space="preserve">When the maintenance line is created or its source changes, a record-triggered Flow looks up the source license's list price and stamps it onto a new Source List Price field on the line.</w:t>
      </w:r>
    </w:p>
    <w:p>
      <w:pPr>
        <w:pStyle w:val="ListParagraph"/>
        <w:numPr>
          <w:ilvl w:val="0"/>
          <w:numId w:val="4"/>
        </w:numPr>
        <w:spacing w:after="120"/>
      </w:pPr>
      <w:r>
        <w:rPr>
          <w:rFonts w:ascii="Arial" w:cs="Arial" w:eastAsia="Arial" w:hAnsi="Arial"/>
          <w:sz w:val="20"/>
          <w:szCs w:val="20"/>
        </w:rPr>
        <w:t xml:space="preserve">During pricing, the procedure reads the user-selected tier attribute and the stamped Source List Price from the line.</w:t>
      </w:r>
    </w:p>
    <w:p>
      <w:pPr>
        <w:pStyle w:val="ListParagraph"/>
        <w:numPr>
          <w:ilvl w:val="0"/>
          <w:numId w:val="4"/>
        </w:numPr>
        <w:spacing w:after="120"/>
      </w:pPr>
      <w:r>
        <w:rPr>
          <w:rFonts w:ascii="Arial" w:cs="Arial" w:eastAsia="Arial" w:hAnsi="Arial"/>
          <w:sz w:val="20"/>
          <w:szCs w:val="20"/>
        </w:rPr>
        <w:t xml:space="preserve">A Formula Based Pricing element multiplies the stamped Source List Price by the rate for the selected tier and writes the result to the line's Net Unit Price.</w:t>
      </w:r>
    </w:p>
    <w:p>
      <w:pPr>
        <w:pStyle w:val="ListParagraph"/>
        <w:numPr>
          <w:ilvl w:val="0"/>
          <w:numId w:val="4"/>
        </w:numPr>
        <w:spacing w:after="360"/>
      </w:pPr>
      <w:r>
        <w:rPr>
          <w:rFonts w:ascii="Arial" w:cs="Arial" w:eastAsia="Arial" w:hAnsi="Arial"/>
          <w:sz w:val="20"/>
          <w:szCs w:val="20"/>
        </w:rPr>
        <w:t xml:space="preserve">Because the price is computed from line data rather than runtime contributor resolution, selling-model mismatches no longer zero the line.</w:t>
      </w:r>
    </w:p>
    <w:p>
      <w:pPr>
        <w:pStyle w:val="Heading2"/>
        <w:spacing w:before="320" w:after="205"/>
      </w:pPr>
      <w:r>
        <w:rPr>
          <w:rFonts w:ascii="Arial" w:cs="Arial" w:eastAsia="Arial" w:hAnsi="Arial"/>
          <w:b/>
          <w:bCs/>
          <w:color w:val="2E75B6"/>
          <w:sz w:val="26"/>
          <w:szCs w:val="26"/>
        </w:rPr>
        <w:t xml:space="preserve">2.3 Solution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Height w:val="370" w:hRule="exact"/>
        </w:trPr>
        <w:tc>
          <w:tcPr>
            <w:tcW w:type="dxa" w:w="312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Component</w:t>
            </w:r>
          </w:p>
        </w:tc>
        <w:tc>
          <w:tcPr>
            <w:tcW w:type="dxa" w:w="312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Type</w:t>
            </w:r>
          </w:p>
        </w:tc>
        <w:tc>
          <w:tcPr>
            <w:tcW w:type="dxa" w:w="312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Description</w:t>
            </w:r>
          </w:p>
        </w:tc>
      </w:tr>
      <w:tr>
        <w:trPr>
          <w:trHeight w:val="288"/>
        </w:trPr>
        <w:tc>
          <w:tcPr>
            <w:tcW w:type="dxa" w:w="3120"/>
            <w:tcMar>
              <w:top w:type="dxa" w:w="72"/>
              <w:left w:type="dxa" w:w="72"/>
              <w:bottom w:type="dxa" w:w="72"/>
              <w:right w:type="dxa" w:w="72"/>
            </w:tcMar>
            <w:vAlign w:val="center"/>
          </w:tcPr>
          <w:p>
            <w:pPr>
              <w:spacing w:before="50" w:after="50"/>
            </w:pPr>
            <w:r>
              <w:rPr>
                <w:rFonts w:ascii="Arial" w:cs="Arial" w:eastAsia="Arial" w:hAnsi="Arial"/>
                <w:sz w:val="16"/>
                <w:szCs w:val="16"/>
              </w:rPr>
              <w:t xml:space="preserve">Source_List_Price__c</w:t>
            </w:r>
          </w:p>
        </w:tc>
        <w:tc>
          <w:tcPr>
            <w:tcW w:type="dxa" w:w="3120"/>
            <w:tcMar>
              <w:top w:type="dxa" w:w="72"/>
              <w:left w:type="dxa" w:w="72"/>
              <w:bottom w:type="dxa" w:w="72"/>
              <w:right w:type="dxa" w:w="72"/>
            </w:tcMar>
            <w:vAlign w:val="center"/>
          </w:tcPr>
          <w:p>
            <w:pPr>
              <w:spacing w:before="50" w:after="50"/>
            </w:pPr>
            <w:r>
              <w:rPr>
                <w:rFonts w:ascii="Arial" w:cs="Arial" w:eastAsia="Arial" w:hAnsi="Arial"/>
                <w:sz w:val="16"/>
                <w:szCs w:val="16"/>
              </w:rPr>
              <w:t xml:space="preserve">Custom Field (QuoteLineItem, Currency)</w:t>
            </w:r>
          </w:p>
        </w:tc>
        <w:tc>
          <w:tcPr>
            <w:tcW w:type="dxa" w:w="3120"/>
            <w:tcMar>
              <w:top w:type="dxa" w:w="72"/>
              <w:left w:type="dxa" w:w="72"/>
              <w:bottom w:type="dxa" w:w="72"/>
              <w:right w:type="dxa" w:w="72"/>
            </w:tcMar>
            <w:vAlign w:val="center"/>
          </w:tcPr>
          <w:p>
            <w:pPr>
              <w:spacing w:before="50" w:after="50"/>
            </w:pPr>
            <w:r>
              <w:rPr>
                <w:rFonts w:ascii="Arial" w:cs="Arial" w:eastAsia="Arial" w:hAnsi="Arial"/>
                <w:sz w:val="16"/>
                <w:szCs w:val="16"/>
              </w:rPr>
              <w:t xml:space="preserve">Holds the source license's list price on the maintenance line so pricing does not depend on runtime contributor resolution. Must be hydration-mapped into the sales-transaction pricing context (_v2).</w:t>
            </w:r>
          </w:p>
        </w:tc>
      </w:tr>
      <w:tr>
        <w:trPr>
          <w:trHeight w:val="288"/>
        </w:trPr>
        <w:tc>
          <w:tcPr>
            <w:tcW w:type="dxa" w:w="312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Stamp Source List Price</w:t>
            </w:r>
          </w:p>
        </w:tc>
        <w:tc>
          <w:tcPr>
            <w:tcW w:type="dxa" w:w="312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Record-Triggered Flow (QuoteLineItem)</w:t>
            </w:r>
          </w:p>
        </w:tc>
        <w:tc>
          <w:tcPr>
            <w:tcW w:type="dxa" w:w="312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On maintenance-line create/update, finds the source license product via the derived-price (ContributingProduct) mapping, reads its list price from the price-book entry in the quote's price book and currency, and writes Source_List_Price__c.</w:t>
            </w:r>
          </w:p>
        </w:tc>
      </w:tr>
      <w:tr>
        <w:trPr>
          <w:trHeight w:val="288"/>
        </w:trPr>
        <w:tc>
          <w:tcPr>
            <w:tcW w:type="dxa" w:w="3120"/>
            <w:tcMar>
              <w:top w:type="dxa" w:w="72"/>
              <w:left w:type="dxa" w:w="72"/>
              <w:bottom w:type="dxa" w:w="72"/>
              <w:right w:type="dxa" w:w="72"/>
            </w:tcMar>
            <w:vAlign w:val="center"/>
          </w:tcPr>
          <w:p>
            <w:pPr>
              <w:spacing w:before="50" w:after="50"/>
            </w:pPr>
            <w:r>
              <w:rPr>
                <w:rFonts w:ascii="Arial" w:cs="Arial" w:eastAsia="Arial" w:hAnsi="Arial"/>
                <w:sz w:val="16"/>
                <w:szCs w:val="16"/>
              </w:rPr>
              <w:t xml:space="preserve">Derived Pricing Formula</w:t>
            </w:r>
          </w:p>
        </w:tc>
        <w:tc>
          <w:tcPr>
            <w:tcW w:type="dxa" w:w="3120"/>
            <w:tcMar>
              <w:top w:type="dxa" w:w="72"/>
              <w:left w:type="dxa" w:w="72"/>
              <w:bottom w:type="dxa" w:w="72"/>
              <w:right w:type="dxa" w:w="72"/>
            </w:tcMar>
            <w:vAlign w:val="center"/>
          </w:tcPr>
          <w:p>
            <w:pPr>
              <w:spacing w:before="50" w:after="50"/>
            </w:pPr>
            <w:r>
              <w:rPr>
                <w:rFonts w:ascii="Arial" w:cs="Arial" w:eastAsia="Arial" w:hAnsi="Arial"/>
                <w:sz w:val="16"/>
                <w:szCs w:val="16"/>
              </w:rPr>
              <w:t xml:space="preserve">Pricing Procedure element (Formula Based Pricing, List Container 9)</w:t>
            </w:r>
          </w:p>
        </w:tc>
        <w:tc>
          <w:tcPr>
            <w:tcW w:type="dxa" w:w="3120"/>
            <w:tcMar>
              <w:top w:type="dxa" w:w="72"/>
              <w:left w:type="dxa" w:w="72"/>
              <w:bottom w:type="dxa" w:w="72"/>
              <w:right w:type="dxa" w:w="72"/>
            </w:tcMar>
            <w:vAlign w:val="center"/>
          </w:tcPr>
          <w:p>
            <w:pPr>
              <w:spacing w:before="50" w:after="50"/>
            </w:pPr>
            <w:r>
              <w:rPr>
                <w:rFonts w:ascii="Arial" w:cs="Arial" w:eastAsia="Arial" w:hAnsi="Arial"/>
                <w:sz w:val="16"/>
                <w:szCs w:val="16"/>
              </w:rPr>
              <w:t xml:space="preserve">Rewritten to compute tier rate × Source_List_Price__c and output to NetUnitPrice, replacing the current self-referencing NetUnitPrice multiplication.</w:t>
            </w:r>
          </w:p>
        </w:tc>
      </w:tr>
      <w:tr>
        <w:trPr>
          <w:trHeight w:val="288"/>
        </w:trPr>
        <w:tc>
          <w:tcPr>
            <w:tcW w:type="dxa" w:w="312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Derived Pricing Data Retrieval</w:t>
            </w:r>
          </w:p>
        </w:tc>
        <w:tc>
          <w:tcPr>
            <w:tcW w:type="dxa" w:w="312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Pricing Procedure element (Derived Price)</w:t>
            </w:r>
          </w:p>
        </w:tc>
        <w:tc>
          <w:tcPr>
            <w:tcW w:type="dxa" w:w="312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Native contributor-resolution element. Removed if it hard-errors on selling-model mismatch, or retained (its $0 output is overwritten by the formula) if it fails softly — determined by the first validation step.</w:t>
            </w:r>
          </w:p>
        </w:tc>
      </w:tr>
      <w:tr>
        <w:trPr>
          <w:trHeight w:val="288"/>
        </w:trPr>
        <w:tc>
          <w:tcPr>
            <w:tcW w:type="dxa" w:w="3120"/>
            <w:tcMar>
              <w:top w:type="dxa" w:w="72"/>
              <w:left w:type="dxa" w:w="72"/>
              <w:bottom w:type="dxa" w:w="72"/>
              <w:right w:type="dxa" w:w="72"/>
            </w:tcMar>
            <w:vAlign w:val="center"/>
          </w:tcPr>
          <w:p>
            <w:pPr>
              <w:spacing w:before="50" w:after="50"/>
            </w:pPr>
            <w:r>
              <w:rPr>
                <w:rFonts w:ascii="Arial" w:cs="Arial" w:eastAsia="Arial" w:hAnsi="Arial"/>
                <w:sz w:val="16"/>
                <w:szCs w:val="16"/>
              </w:rPr>
              <w:t xml:space="preserve">Maintenance tier attribute (MTD / MaintenanceType)</w:t>
            </w:r>
          </w:p>
        </w:tc>
        <w:tc>
          <w:tcPr>
            <w:tcW w:type="dxa" w:w="3120"/>
            <w:tcMar>
              <w:top w:type="dxa" w:w="72"/>
              <w:left w:type="dxa" w:w="72"/>
              <w:bottom w:type="dxa" w:w="72"/>
              <w:right w:type="dxa" w:w="72"/>
            </w:tcMar>
            <w:vAlign w:val="center"/>
          </w:tcPr>
          <w:p>
            <w:pPr>
              <w:spacing w:before="50" w:after="50"/>
            </w:pPr>
            <w:r>
              <w:rPr>
                <w:rFonts w:ascii="Arial" w:cs="Arial" w:eastAsia="Arial" w:hAnsi="Arial"/>
                <w:sz w:val="16"/>
                <w:szCs w:val="16"/>
              </w:rPr>
              <w:t xml:space="preserve">Product Attribute (user-selected)</w:t>
            </w:r>
          </w:p>
        </w:tc>
        <w:tc>
          <w:tcPr>
            <w:tcW w:type="dxa" w:w="3120"/>
            <w:tcMar>
              <w:top w:type="dxa" w:w="72"/>
              <w:left w:type="dxa" w:w="72"/>
              <w:bottom w:type="dxa" w:w="72"/>
              <w:right w:type="dxa" w:w="72"/>
            </w:tcMar>
            <w:vAlign w:val="center"/>
          </w:tcPr>
          <w:p>
            <w:pPr>
              <w:spacing w:before="50" w:after="50"/>
            </w:pPr>
            <w:r>
              <w:rPr>
                <w:rFonts w:ascii="Arial" w:cs="Arial" w:eastAsia="Arial" w:hAnsi="Arial"/>
                <w:sz w:val="16"/>
                <w:szCs w:val="16"/>
              </w:rPr>
              <w:t xml:space="preserve">Selected per line at quote time; drives the tier percentage. Already configured on 184 maintenance products.</w:t>
            </w:r>
          </w:p>
        </w:tc>
      </w:tr>
    </w:tbl>
    <w:p>
      <w:pPr>
        <w:spacing w:after="280"/>
      </w:pPr>
    </w:p>
    <w:p>
      <w:r>
        <w:br w:type="page"/>
      </w:r>
    </w:p>
    <w:p>
      <w:pPr>
        <w:pStyle w:val="Heading1"/>
        <w:spacing w:before="320" w:after="220"/>
      </w:pPr>
      <w:r>
        <w:rPr>
          <w:rFonts w:ascii="Arial" w:cs="Arial" w:eastAsia="Arial" w:hAnsi="Arial"/>
          <w:b/>
          <w:bCs/>
          <w:color w:val="1E4D78"/>
          <w:sz w:val="32"/>
          <w:szCs w:val="32"/>
        </w:rPr>
        <w:t xml:space="preserve">3. Requirements</w:t>
      </w:r>
    </w:p>
    <w:p>
      <w:pPr>
        <w:pStyle w:val="Heading2"/>
        <w:spacing w:before="320" w:after="205"/>
      </w:pPr>
      <w:r>
        <w:rPr>
          <w:rFonts w:ascii="Arial" w:cs="Arial" w:eastAsia="Arial" w:hAnsi="Arial"/>
          <w:b/>
          <w:bCs/>
          <w:color w:val="2E75B6"/>
          <w:sz w:val="26"/>
          <w:szCs w:val="26"/>
        </w:rPr>
        <w:t xml:space="preserve">3.1 Business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ID</w:t>
            </w:r>
          </w:p>
        </w:tc>
        <w:tc>
          <w:tcPr>
            <w:tcW w:type="dxa" w:w="60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Requirement</w:t>
            </w:r>
          </w:p>
        </w:tc>
        <w:tc>
          <w:tcPr>
            <w:tcW w:type="dxa" w:w="186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Priority</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BR-001</w:t>
            </w:r>
          </w:p>
        </w:tc>
        <w:tc>
          <w:tcPr>
            <w:tcW w:type="dxa" w:w="6000"/>
            <w:tcMar>
              <w:top w:type="dxa" w:w="72"/>
              <w:left w:type="dxa" w:w="72"/>
              <w:bottom w:type="dxa" w:w="72"/>
              <w:right w:type="dxa" w:w="72"/>
            </w:tcMar>
            <w:vAlign w:val="center"/>
          </w:tcPr>
          <w:p>
            <w:pPr>
              <w:spacing w:before="50" w:after="50"/>
            </w:pPr>
            <w:r>
              <w:rPr>
                <w:rFonts w:ascii="Arial" w:cs="Arial" w:eastAsia="Arial" w:hAnsi="Arial"/>
                <w:sz w:val="16"/>
                <w:szCs w:val="16"/>
              </w:rPr>
              <w:t xml:space="preserve">[Requirement]</w:t>
            </w:r>
          </w:p>
        </w:tc>
        <w:tc>
          <w:tcPr>
            <w:tcW w:type="dxa" w:w="1860"/>
            <w:tcMar>
              <w:top w:type="dxa" w:w="72"/>
              <w:left w:type="dxa" w:w="72"/>
              <w:bottom w:type="dxa" w:w="72"/>
              <w:right w:type="dxa" w:w="72"/>
            </w:tcMar>
            <w:vAlign w:val="center"/>
          </w:tcPr>
          <w:p>
            <w:pPr>
              <w:spacing w:before="50" w:after="50"/>
            </w:pPr>
            <w:r>
              <w:rPr>
                <w:rFonts w:ascii="Arial" w:cs="Arial" w:eastAsia="Arial" w:hAnsi="Arial"/>
                <w:sz w:val="16"/>
                <w:szCs w:val="16"/>
              </w:rPr>
              <w:t xml:space="preserve">Medium</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BR-002</w:t>
            </w:r>
          </w:p>
        </w:tc>
        <w:tc>
          <w:tcPr>
            <w:tcW w:type="dxa" w:w="60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[Requirement]</w:t>
            </w:r>
          </w:p>
        </w:tc>
        <w:tc>
          <w:tcPr>
            <w:tcW w:type="dxa" w:w="186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Medium</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BR-003</w:t>
            </w:r>
          </w:p>
        </w:tc>
        <w:tc>
          <w:tcPr>
            <w:tcW w:type="dxa" w:w="6000"/>
            <w:tcMar>
              <w:top w:type="dxa" w:w="72"/>
              <w:left w:type="dxa" w:w="72"/>
              <w:bottom w:type="dxa" w:w="72"/>
              <w:right w:type="dxa" w:w="72"/>
            </w:tcMar>
            <w:vAlign w:val="center"/>
          </w:tcPr>
          <w:p>
            <w:pPr>
              <w:spacing w:before="50" w:after="50"/>
            </w:pPr>
            <w:r>
              <w:rPr>
                <w:rFonts w:ascii="Arial" w:cs="Arial" w:eastAsia="Arial" w:hAnsi="Arial"/>
                <w:sz w:val="16"/>
                <w:szCs w:val="16"/>
              </w:rPr>
              <w:t xml:space="preserve">[Requirement]</w:t>
            </w:r>
          </w:p>
        </w:tc>
        <w:tc>
          <w:tcPr>
            <w:tcW w:type="dxa" w:w="1860"/>
            <w:tcMar>
              <w:top w:type="dxa" w:w="72"/>
              <w:left w:type="dxa" w:w="72"/>
              <w:bottom w:type="dxa" w:w="72"/>
              <w:right w:type="dxa" w:w="72"/>
            </w:tcMar>
            <w:vAlign w:val="center"/>
          </w:tcPr>
          <w:p>
            <w:pPr>
              <w:spacing w:before="50" w:after="50"/>
            </w:pPr>
            <w:r>
              <w:rPr>
                <w:rFonts w:ascii="Arial" w:cs="Arial" w:eastAsia="Arial" w:hAnsi="Arial"/>
                <w:sz w:val="16"/>
                <w:szCs w:val="16"/>
              </w:rPr>
              <w:t xml:space="preserve">Medium</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BR-004</w:t>
            </w:r>
          </w:p>
        </w:tc>
        <w:tc>
          <w:tcPr>
            <w:tcW w:type="dxa" w:w="60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[Requirement]</w:t>
            </w:r>
          </w:p>
        </w:tc>
        <w:tc>
          <w:tcPr>
            <w:tcW w:type="dxa" w:w="186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Medium</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BR-005</w:t>
            </w:r>
          </w:p>
        </w:tc>
        <w:tc>
          <w:tcPr>
            <w:tcW w:type="dxa" w:w="6000"/>
            <w:tcMar>
              <w:top w:type="dxa" w:w="72"/>
              <w:left w:type="dxa" w:w="72"/>
              <w:bottom w:type="dxa" w:w="72"/>
              <w:right w:type="dxa" w:w="72"/>
            </w:tcMar>
            <w:vAlign w:val="center"/>
          </w:tcPr>
          <w:p>
            <w:pPr>
              <w:spacing w:before="50" w:after="50"/>
            </w:pPr>
            <w:r>
              <w:rPr>
                <w:rFonts w:ascii="Arial" w:cs="Arial" w:eastAsia="Arial" w:hAnsi="Arial"/>
                <w:sz w:val="16"/>
                <w:szCs w:val="16"/>
              </w:rPr>
              <w:t xml:space="preserve">[Requirement]</w:t>
            </w:r>
          </w:p>
        </w:tc>
        <w:tc>
          <w:tcPr>
            <w:tcW w:type="dxa" w:w="1860"/>
            <w:tcMar>
              <w:top w:type="dxa" w:w="72"/>
              <w:left w:type="dxa" w:w="72"/>
              <w:bottom w:type="dxa" w:w="72"/>
              <w:right w:type="dxa" w:w="72"/>
            </w:tcMar>
            <w:vAlign w:val="center"/>
          </w:tcPr>
          <w:p>
            <w:pPr>
              <w:spacing w:before="50" w:after="50"/>
            </w:pPr>
            <w:r>
              <w:rPr>
                <w:rFonts w:ascii="Arial" w:cs="Arial" w:eastAsia="Arial" w:hAnsi="Arial"/>
                <w:sz w:val="16"/>
                <w:szCs w:val="16"/>
              </w:rPr>
              <w:t xml:space="preserve">Medium</w:t>
            </w:r>
          </w:p>
        </w:tc>
      </w:tr>
    </w:tbl>
    <w:p>
      <w:pPr>
        <w:spacing w:after="280"/>
      </w:pPr>
    </w:p>
    <w:p>
      <w:pPr>
        <w:pStyle w:val="Heading2"/>
        <w:spacing w:before="320" w:after="205"/>
      </w:pPr>
      <w:r>
        <w:rPr>
          <w:rFonts w:ascii="Arial" w:cs="Arial" w:eastAsia="Arial" w:hAnsi="Arial"/>
          <w:b/>
          <w:bCs/>
          <w:color w:val="2E75B6"/>
          <w:sz w:val="26"/>
          <w:szCs w:val="26"/>
        </w:rPr>
        <w:t xml:space="preserve">3.2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ID</w:t>
            </w:r>
          </w:p>
        </w:tc>
        <w:tc>
          <w:tcPr>
            <w:tcW w:type="dxa" w:w="60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Requirement</w:t>
            </w:r>
          </w:p>
        </w:tc>
        <w:tc>
          <w:tcPr>
            <w:tcW w:type="dxa" w:w="186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Priority</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TR-001</w:t>
            </w:r>
          </w:p>
        </w:tc>
        <w:tc>
          <w:tcPr>
            <w:tcW w:type="dxa" w:w="6000"/>
            <w:tcMar>
              <w:top w:type="dxa" w:w="72"/>
              <w:left w:type="dxa" w:w="72"/>
              <w:bottom w:type="dxa" w:w="72"/>
              <w:right w:type="dxa" w:w="72"/>
            </w:tcMar>
            <w:vAlign w:val="center"/>
          </w:tcPr>
          <w:p>
            <w:pPr>
              <w:spacing w:before="50" w:after="50"/>
            </w:pPr>
            <w:r>
              <w:rPr>
                <w:rFonts w:ascii="Arial" w:cs="Arial" w:eastAsia="Arial" w:hAnsi="Arial"/>
                <w:sz w:val="16"/>
                <w:szCs w:val="16"/>
              </w:rPr>
              <w:t xml:space="preserve">[Requirement]</w:t>
            </w:r>
          </w:p>
        </w:tc>
        <w:tc>
          <w:tcPr>
            <w:tcW w:type="dxa" w:w="1860"/>
            <w:tcMar>
              <w:top w:type="dxa" w:w="72"/>
              <w:left w:type="dxa" w:w="72"/>
              <w:bottom w:type="dxa" w:w="72"/>
              <w:right w:type="dxa" w:w="72"/>
            </w:tcMar>
            <w:vAlign w:val="center"/>
          </w:tcPr>
          <w:p>
            <w:pPr>
              <w:spacing w:before="50" w:after="50"/>
            </w:pPr>
            <w:r>
              <w:rPr>
                <w:rFonts w:ascii="Arial" w:cs="Arial" w:eastAsia="Arial" w:hAnsi="Arial"/>
                <w:sz w:val="16"/>
                <w:szCs w:val="16"/>
              </w:rPr>
              <w:t xml:space="preserve">Medium</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TR-002</w:t>
            </w:r>
          </w:p>
        </w:tc>
        <w:tc>
          <w:tcPr>
            <w:tcW w:type="dxa" w:w="60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[Requirement]</w:t>
            </w:r>
          </w:p>
        </w:tc>
        <w:tc>
          <w:tcPr>
            <w:tcW w:type="dxa" w:w="186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Medium</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TR-003</w:t>
            </w:r>
          </w:p>
        </w:tc>
        <w:tc>
          <w:tcPr>
            <w:tcW w:type="dxa" w:w="6000"/>
            <w:tcMar>
              <w:top w:type="dxa" w:w="72"/>
              <w:left w:type="dxa" w:w="72"/>
              <w:bottom w:type="dxa" w:w="72"/>
              <w:right w:type="dxa" w:w="72"/>
            </w:tcMar>
            <w:vAlign w:val="center"/>
          </w:tcPr>
          <w:p>
            <w:pPr>
              <w:spacing w:before="50" w:after="50"/>
            </w:pPr>
            <w:r>
              <w:rPr>
                <w:rFonts w:ascii="Arial" w:cs="Arial" w:eastAsia="Arial" w:hAnsi="Arial"/>
                <w:sz w:val="16"/>
                <w:szCs w:val="16"/>
              </w:rPr>
              <w:t xml:space="preserve">[Requirement]</w:t>
            </w:r>
          </w:p>
        </w:tc>
        <w:tc>
          <w:tcPr>
            <w:tcW w:type="dxa" w:w="1860"/>
            <w:tcMar>
              <w:top w:type="dxa" w:w="72"/>
              <w:left w:type="dxa" w:w="72"/>
              <w:bottom w:type="dxa" w:w="72"/>
              <w:right w:type="dxa" w:w="72"/>
            </w:tcMar>
            <w:vAlign w:val="center"/>
          </w:tcPr>
          <w:p>
            <w:pPr>
              <w:spacing w:before="50" w:after="50"/>
            </w:pPr>
            <w:r>
              <w:rPr>
                <w:rFonts w:ascii="Arial" w:cs="Arial" w:eastAsia="Arial" w:hAnsi="Arial"/>
                <w:sz w:val="16"/>
                <w:szCs w:val="16"/>
              </w:rPr>
              <w:t xml:space="preserve">Medium</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TR-004</w:t>
            </w:r>
          </w:p>
        </w:tc>
        <w:tc>
          <w:tcPr>
            <w:tcW w:type="dxa" w:w="60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[Requirement]</w:t>
            </w:r>
          </w:p>
        </w:tc>
        <w:tc>
          <w:tcPr>
            <w:tcW w:type="dxa" w:w="186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Medium</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TR-005</w:t>
            </w:r>
          </w:p>
        </w:tc>
        <w:tc>
          <w:tcPr>
            <w:tcW w:type="dxa" w:w="6000"/>
            <w:tcMar>
              <w:top w:type="dxa" w:w="72"/>
              <w:left w:type="dxa" w:w="72"/>
              <w:bottom w:type="dxa" w:w="72"/>
              <w:right w:type="dxa" w:w="72"/>
            </w:tcMar>
            <w:vAlign w:val="center"/>
          </w:tcPr>
          <w:p>
            <w:pPr>
              <w:spacing w:before="50" w:after="50"/>
            </w:pPr>
            <w:r>
              <w:rPr>
                <w:rFonts w:ascii="Arial" w:cs="Arial" w:eastAsia="Arial" w:hAnsi="Arial"/>
                <w:sz w:val="16"/>
                <w:szCs w:val="16"/>
              </w:rPr>
              <w:t xml:space="preserve">[Requirement]</w:t>
            </w:r>
          </w:p>
        </w:tc>
        <w:tc>
          <w:tcPr>
            <w:tcW w:type="dxa" w:w="1860"/>
            <w:tcMar>
              <w:top w:type="dxa" w:w="72"/>
              <w:left w:type="dxa" w:w="72"/>
              <w:bottom w:type="dxa" w:w="72"/>
              <w:right w:type="dxa" w:w="72"/>
            </w:tcMar>
            <w:vAlign w:val="center"/>
          </w:tcPr>
          <w:p>
            <w:pPr>
              <w:spacing w:before="50" w:after="50"/>
            </w:pPr>
            <w:r>
              <w:rPr>
                <w:rFonts w:ascii="Arial" w:cs="Arial" w:eastAsia="Arial" w:hAnsi="Arial"/>
                <w:sz w:val="16"/>
                <w:szCs w:val="16"/>
              </w:rPr>
              <w:t xml:space="preserve">Medium</w:t>
            </w:r>
          </w:p>
        </w:tc>
      </w:tr>
    </w:tbl>
    <w:p>
      <w:pPr>
        <w:spacing w:after="280"/>
      </w:pPr>
    </w:p>
    <w:p>
      <w:r>
        <w:br w:type="page"/>
      </w:r>
    </w:p>
    <w:p>
      <w:pPr>
        <w:pStyle w:val="Heading1"/>
        <w:spacing w:before="320" w:after="220"/>
      </w:pPr>
      <w:r>
        <w:rPr>
          <w:rFonts w:ascii="Arial" w:cs="Arial" w:eastAsia="Arial" w:hAnsi="Arial"/>
          <w:b/>
          <w:bCs/>
          <w:color w:val="1E4D78"/>
          <w:sz w:val="32"/>
          <w:szCs w:val="32"/>
        </w:rPr>
        <w:t xml:space="preserve">4. Assumptions</w:t>
      </w:r>
    </w:p>
    <w:p>
      <w:pPr>
        <w:spacing w:after="200"/>
      </w:pPr>
      <w:r>
        <w:rPr>
          <w:rFonts w:ascii="Arial" w:cs="Arial" w:eastAsia="Arial" w:hAnsi="Arial"/>
          <w:sz w:val="20"/>
          <w:szCs w:val="20"/>
        </w:rPr>
        <w:t xml:space="preserve">The following assumptions have been made during the design of this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Height w:val="370" w:hRule="exact"/>
        </w:trPr>
        <w:tc>
          <w:tcPr>
            <w:tcW w:type="dxa" w:w="1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ID</w:t>
            </w:r>
          </w:p>
        </w:tc>
        <w:tc>
          <w:tcPr>
            <w:tcW w:type="dxa" w:w="786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Assumption</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A-001</w:t>
            </w:r>
          </w:p>
        </w:tc>
        <w:tc>
          <w:tcPr>
            <w:tcW w:type="dxa" w:w="7860"/>
            <w:tcMar>
              <w:top w:type="dxa" w:w="72"/>
              <w:left w:type="dxa" w:w="72"/>
              <w:bottom w:type="dxa" w:w="72"/>
              <w:right w:type="dxa" w:w="72"/>
            </w:tcMar>
            <w:vAlign w:val="center"/>
          </w:tcPr>
          <w:p>
            <w:pPr>
              <w:spacing w:before="50" w:after="50"/>
            </w:pPr>
            <w:r>
              <w:rPr>
                <w:rFonts w:ascii="Arial" w:cs="Arial" w:eastAsia="Arial" w:hAnsi="Arial"/>
                <w:sz w:val="16"/>
                <w:szCs w:val="16"/>
              </w:rPr>
              <w:t xml:space="preserve">[Assumption]</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A-002</w:t>
            </w:r>
          </w:p>
        </w:tc>
        <w:tc>
          <w:tcPr>
            <w:tcW w:type="dxa" w:w="786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[Assumption]</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A-003</w:t>
            </w:r>
          </w:p>
        </w:tc>
        <w:tc>
          <w:tcPr>
            <w:tcW w:type="dxa" w:w="7860"/>
            <w:tcMar>
              <w:top w:type="dxa" w:w="72"/>
              <w:left w:type="dxa" w:w="72"/>
              <w:bottom w:type="dxa" w:w="72"/>
              <w:right w:type="dxa" w:w="72"/>
            </w:tcMar>
            <w:vAlign w:val="center"/>
          </w:tcPr>
          <w:p>
            <w:pPr>
              <w:spacing w:before="50" w:after="50"/>
            </w:pPr>
            <w:r>
              <w:rPr>
                <w:rFonts w:ascii="Arial" w:cs="Arial" w:eastAsia="Arial" w:hAnsi="Arial"/>
                <w:sz w:val="16"/>
                <w:szCs w:val="16"/>
              </w:rPr>
              <w:t xml:space="preserve">[Assumption]</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A-004</w:t>
            </w:r>
          </w:p>
        </w:tc>
        <w:tc>
          <w:tcPr>
            <w:tcW w:type="dxa" w:w="786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[Assumption]</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A-005</w:t>
            </w:r>
          </w:p>
        </w:tc>
        <w:tc>
          <w:tcPr>
            <w:tcW w:type="dxa" w:w="7860"/>
            <w:tcMar>
              <w:top w:type="dxa" w:w="72"/>
              <w:left w:type="dxa" w:w="72"/>
              <w:bottom w:type="dxa" w:w="72"/>
              <w:right w:type="dxa" w:w="72"/>
            </w:tcMar>
            <w:vAlign w:val="center"/>
          </w:tcPr>
          <w:p>
            <w:pPr>
              <w:spacing w:before="50" w:after="50"/>
            </w:pPr>
            <w:r>
              <w:rPr>
                <w:rFonts w:ascii="Arial" w:cs="Arial" w:eastAsia="Arial" w:hAnsi="Arial"/>
                <w:sz w:val="16"/>
                <w:szCs w:val="16"/>
              </w:rPr>
              <w:t xml:space="preserve">[Assumption]</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A-006</w:t>
            </w:r>
          </w:p>
        </w:tc>
        <w:tc>
          <w:tcPr>
            <w:tcW w:type="dxa" w:w="786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[Assumption]</w:t>
            </w:r>
          </w:p>
        </w:tc>
      </w:tr>
    </w:tbl>
    <w:p>
      <w:pPr>
        <w:spacing w:after="280"/>
      </w:pPr>
    </w:p>
    <w:p>
      <w:r>
        <w:br w:type="page"/>
      </w:r>
    </w:p>
    <w:p>
      <w:pPr>
        <w:pStyle w:val="Heading1"/>
        <w:spacing w:before="320" w:after="220"/>
      </w:pPr>
      <w:r>
        <w:rPr>
          <w:rFonts w:ascii="Arial" w:cs="Arial" w:eastAsia="Arial" w:hAnsi="Arial"/>
          <w:b/>
          <w:bCs/>
          <w:color w:val="1E4D78"/>
          <w:sz w:val="32"/>
          <w:szCs w:val="32"/>
        </w:rPr>
        <w:t xml:space="preserve">5. Dependencies</w:t>
      </w:r>
    </w:p>
    <w:p>
      <w:pPr>
        <w:spacing w:after="200"/>
      </w:pPr>
      <w:r>
        <w:rPr>
          <w:rFonts w:ascii="Arial" w:cs="Arial" w:eastAsia="Arial" w:hAnsi="Arial"/>
          <w:sz w:val="20"/>
          <w:szCs w:val="20"/>
        </w:rPr>
        <w:t xml:space="preserve">The following dependencies exist for this solution:</w:t>
      </w:r>
    </w:p>
    <w:p>
      <w:pPr>
        <w:pStyle w:val="Heading2"/>
        <w:spacing w:before="320" w:after="205"/>
      </w:pPr>
      <w:r>
        <w:rPr>
          <w:rFonts w:ascii="Arial" w:cs="Arial" w:eastAsia="Arial" w:hAnsi="Arial"/>
          <w:b/>
          <w:bCs/>
          <w:color w:val="2E75B6"/>
          <w:sz w:val="26"/>
          <w:szCs w:val="26"/>
        </w:rPr>
        <w:t xml:space="preserve">5.1 Internal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ID</w:t>
            </w:r>
          </w:p>
        </w:tc>
        <w:tc>
          <w:tcPr>
            <w:tcW w:type="dxa" w:w="468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Dependency</w:t>
            </w:r>
          </w:p>
        </w:tc>
        <w:tc>
          <w:tcPr>
            <w:tcW w:type="dxa" w:w="318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Status</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D-001</w:t>
            </w:r>
          </w:p>
        </w:tc>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[Dependency]</w:t>
            </w:r>
          </w:p>
        </w:tc>
        <w:tc>
          <w:tcPr>
            <w:tcW w:type="dxa" w:w="3180"/>
            <w:tcMar>
              <w:top w:type="dxa" w:w="72"/>
              <w:left w:type="dxa" w:w="72"/>
              <w:bottom w:type="dxa" w:w="72"/>
              <w:right w:type="dxa" w:w="72"/>
            </w:tcMar>
            <w:vAlign w:val="center"/>
          </w:tcPr>
          <w:p>
            <w:pPr>
              <w:spacing w:before="50" w:after="50"/>
            </w:pPr>
            <w:r>
              <w:rPr>
                <w:rFonts w:ascii="Arial" w:cs="Arial" w:eastAsia="Arial" w:hAnsi="Arial"/>
                <w:sz w:val="16"/>
                <w:szCs w:val="16"/>
              </w:rPr>
              <w:t xml:space="preserve">Pending</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D-002</w:t>
            </w:r>
          </w:p>
        </w:tc>
        <w:tc>
          <w:tcPr>
            <w:tcW w:type="dxa" w:w="46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[Dependency]</w:t>
            </w:r>
          </w:p>
        </w:tc>
        <w:tc>
          <w:tcPr>
            <w:tcW w:type="dxa" w:w="31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Pending</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D-003</w:t>
            </w:r>
          </w:p>
        </w:tc>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[Dependency]</w:t>
            </w:r>
          </w:p>
        </w:tc>
        <w:tc>
          <w:tcPr>
            <w:tcW w:type="dxa" w:w="3180"/>
            <w:tcMar>
              <w:top w:type="dxa" w:w="72"/>
              <w:left w:type="dxa" w:w="72"/>
              <w:bottom w:type="dxa" w:w="72"/>
              <w:right w:type="dxa" w:w="72"/>
            </w:tcMar>
            <w:vAlign w:val="center"/>
          </w:tcPr>
          <w:p>
            <w:pPr>
              <w:spacing w:before="50" w:after="50"/>
            </w:pPr>
            <w:r>
              <w:rPr>
                <w:rFonts w:ascii="Arial" w:cs="Arial" w:eastAsia="Arial" w:hAnsi="Arial"/>
                <w:sz w:val="16"/>
                <w:szCs w:val="16"/>
              </w:rPr>
              <w:t xml:space="preserve">Pending</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D-004</w:t>
            </w:r>
          </w:p>
        </w:tc>
        <w:tc>
          <w:tcPr>
            <w:tcW w:type="dxa" w:w="46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[Dependency]</w:t>
            </w:r>
          </w:p>
        </w:tc>
        <w:tc>
          <w:tcPr>
            <w:tcW w:type="dxa" w:w="31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Pending</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D-005</w:t>
            </w:r>
          </w:p>
        </w:tc>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[Dependency]</w:t>
            </w:r>
          </w:p>
        </w:tc>
        <w:tc>
          <w:tcPr>
            <w:tcW w:type="dxa" w:w="3180"/>
            <w:tcMar>
              <w:top w:type="dxa" w:w="72"/>
              <w:left w:type="dxa" w:w="72"/>
              <w:bottom w:type="dxa" w:w="72"/>
              <w:right w:type="dxa" w:w="72"/>
            </w:tcMar>
            <w:vAlign w:val="center"/>
          </w:tcPr>
          <w:p>
            <w:pPr>
              <w:spacing w:before="50" w:after="50"/>
            </w:pPr>
            <w:r>
              <w:rPr>
                <w:rFonts w:ascii="Arial" w:cs="Arial" w:eastAsia="Arial" w:hAnsi="Arial"/>
                <w:sz w:val="16"/>
                <w:szCs w:val="16"/>
              </w:rPr>
              <w:t xml:space="preserve">Pending</w:t>
            </w:r>
          </w:p>
        </w:tc>
      </w:tr>
    </w:tbl>
    <w:p>
      <w:pPr>
        <w:spacing w:after="280"/>
      </w:pPr>
    </w:p>
    <w:p>
      <w:pPr>
        <w:pStyle w:val="Heading2"/>
        <w:spacing w:before="320" w:after="205"/>
      </w:pPr>
      <w:r>
        <w:rPr>
          <w:rFonts w:ascii="Arial" w:cs="Arial" w:eastAsia="Arial" w:hAnsi="Arial"/>
          <w:b/>
          <w:bCs/>
          <w:color w:val="2E75B6"/>
          <w:sz w:val="26"/>
          <w:szCs w:val="26"/>
        </w:rPr>
        <w:t xml:space="preserve">5.2 External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ID</w:t>
            </w:r>
          </w:p>
        </w:tc>
        <w:tc>
          <w:tcPr>
            <w:tcW w:type="dxa" w:w="468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Dependency</w:t>
            </w:r>
          </w:p>
        </w:tc>
        <w:tc>
          <w:tcPr>
            <w:tcW w:type="dxa" w:w="318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Owner</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E-001</w:t>
            </w:r>
          </w:p>
        </w:tc>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[Dependency]</w:t>
            </w:r>
          </w:p>
        </w:tc>
        <w:tc>
          <w:tcPr>
            <w:tcW w:type="dxa" w:w="3180"/>
            <w:tcMar>
              <w:top w:type="dxa" w:w="72"/>
              <w:left w:type="dxa" w:w="72"/>
              <w:bottom w:type="dxa" w:w="72"/>
              <w:right w:type="dxa" w:w="72"/>
            </w:tcMar>
            <w:vAlign w:val="center"/>
          </w:tcPr>
          <w:p>
            <w:pPr>
              <w:spacing w:before="50" w:after="50"/>
            </w:pPr>
            <w:r>
              <w:rPr>
                <w:rFonts w:ascii="Arial" w:cs="Arial" w:eastAsia="Arial" w:hAnsi="Arial"/>
                <w:sz w:val="16"/>
                <w:szCs w:val="16"/>
              </w:rPr>
              <w:t xml:space="preserve">[Owner]</w:t>
            </w:r>
          </w:p>
        </w:tc>
      </w:tr>
      <w:tr>
        <w:trPr>
          <w:trHeight w:val="288"/>
        </w:trPr>
        <w:tc>
          <w:tcPr>
            <w:tcW w:type="dxa" w:w="150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E-002</w:t>
            </w:r>
          </w:p>
        </w:tc>
        <w:tc>
          <w:tcPr>
            <w:tcW w:type="dxa" w:w="46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[Dependency]</w:t>
            </w:r>
          </w:p>
        </w:tc>
        <w:tc>
          <w:tcPr>
            <w:tcW w:type="dxa" w:w="31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[Owner]</w:t>
            </w:r>
          </w:p>
        </w:tc>
      </w:tr>
    </w:tbl>
    <w:p>
      <w:pPr>
        <w:spacing w:after="280"/>
      </w:pPr>
    </w:p>
    <w:p>
      <w:r>
        <w:br w:type="page"/>
      </w:r>
    </w:p>
    <w:p>
      <w:pPr>
        <w:pStyle w:val="Heading1"/>
        <w:spacing w:before="320" w:after="220"/>
      </w:pPr>
      <w:r>
        <w:rPr>
          <w:rFonts w:ascii="Arial" w:cs="Arial" w:eastAsia="Arial" w:hAnsi="Arial"/>
          <w:b/>
          <w:bCs/>
          <w:color w:val="1E4D78"/>
          <w:sz w:val="32"/>
          <w:szCs w:val="32"/>
        </w:rPr>
        <w:t xml:space="preserve">6. Technical Design</w:t>
      </w:r>
    </w:p>
    <w:p>
      <w:pPr>
        <w:pStyle w:val="Heading2"/>
        <w:spacing w:before="320" w:after="205"/>
      </w:pPr>
      <w:r>
        <w:rPr>
          <w:rFonts w:ascii="Arial" w:cs="Arial" w:eastAsia="Arial" w:hAnsi="Arial"/>
          <w:b/>
          <w:bCs/>
          <w:color w:val="2E75B6"/>
          <w:sz w:val="26"/>
          <w:szCs w:val="26"/>
        </w:rPr>
        <w:t xml:space="preserve">6.1 Architecture Overview</w:t>
      </w:r>
    </w:p>
    <w:p>
      <w:pPr>
        <w:spacing w:after="200"/>
      </w:pPr>
      <w:r>
        <w:rPr>
          <w:rFonts w:ascii="Arial" w:cs="Arial" w:eastAsia="Arial" w:hAnsi="Arial"/>
          <w:sz w:val="20"/>
          <w:szCs w:val="20"/>
        </w:rPr>
        <w:t xml:space="preserve">The solution prices maintenance lines entirely within Revenue Cloud configuration plus one declarative Flow — no Apex pricing prehook. Two platform constraints drive the approach. First, for IsDerived lines the native derived-pricing element owns the line's Net Unit Price and discards any prehook write, so a prehook cannot set the price (this was verified empirically and the prehook approach was abandoned). Second, that same native element only resolves the source ('contributor') list price when the source license and the maintenance product share a selling model; roughly a third of the catalog mismatches and the line falls to $0 or errors. To sidestep both constraints, the source license's list price is captured as data on the maintenance line by a Flow at line creation, and the pricing procedure computes the maintenance price from that stamped field rather than from runtime contributor resolution. A Formula Based Pricing element multiplies the stamped source list price by the percentage for the user-selected tier and writes the result to Net Unit Price. Because the source price is plain data on the line, selling-model mismatches can no longer zero it; and because the formula multiplies a stable stamped field instead of the field it writes to, the price no longer shrinks on repeated repricing.</w:t>
      </w:r>
    </w:p>
    <w:p>
      <w:pPr>
        <w:pStyle w:val="Heading2"/>
        <w:spacing w:before="320" w:after="205"/>
      </w:pPr>
      <w:r>
        <w:rPr>
          <w:rFonts w:ascii="Arial" w:cs="Arial" w:eastAsia="Arial" w:hAnsi="Arial"/>
          <w:b/>
          <w:bCs/>
          <w:color w:val="2E75B6"/>
          <w:sz w:val="26"/>
          <w:szCs w:val="26"/>
        </w:rPr>
        <w:t xml:space="preserve">6.2 Data Model</w:t>
      </w:r>
    </w:p>
    <w:p>
      <w:pPr>
        <w:spacing w:after="200"/>
      </w:pPr>
      <w:r>
        <w:rPr>
          <w:rFonts w:ascii="Arial" w:cs="Arial" w:eastAsia="Arial" w:hAnsi="Arial"/>
          <w:sz w:val="20"/>
          <w:szCs w:val="20"/>
        </w:rPr>
        <w:t xml:space="preserve">One new currency field, Source_List_Price__c, is added to QuoteLineItem to hold the source license's list price on each maintenance line, and is hydration-mapped into the _v2 sales-transaction pricing context. The maintenance-to-source relationship is provided by the existing PriceBookEntryDerivedPrice.ContributingProductId mapping (one source product per maintenance product). The maintenance tier is read from the existing MTD / MaintenanceType line attribute. No new objects are introduced.</w:t>
      </w:r>
    </w:p>
    <w:p>
      <w:pPr>
        <w:pStyle w:val="Heading3"/>
        <w:spacing w:before="260" w:after="160"/>
      </w:pPr>
      <w:r>
        <w:rPr>
          <w:rFonts w:ascii="Arial" w:cs="Arial" w:eastAsia="Arial" w:hAnsi="Arial"/>
          <w:b/>
          <w:bCs/>
          <w:color w:val="404040"/>
          <w:sz w:val="24"/>
          <w:szCs w:val="24"/>
        </w:rPr>
        <w:t xml:space="preserve">6.2.1 Field Mappings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70" w:hRule="exact"/>
        </w:trPr>
        <w:tc>
          <w:tcPr>
            <w:tcW w:type="dxa" w:w="468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Source Field</w:t>
            </w:r>
          </w:p>
        </w:tc>
        <w:tc>
          <w:tcPr>
            <w:tcW w:type="dxa" w:w="468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Target Field</w:t>
            </w:r>
          </w:p>
        </w:tc>
      </w:tr>
      <w:tr>
        <w:trPr>
          <w:trHeight w:val="288"/>
        </w:trPr>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Maintenance product → PriceBookEntryDerivedPrice.ContributingProductId</w:t>
            </w:r>
          </w:p>
        </w:tc>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Source license Product2 (the contributor)</w:t>
            </w:r>
          </w:p>
        </w:tc>
      </w:tr>
      <w:tr>
        <w:trPr>
          <w:trHeight w:val="288"/>
        </w:trPr>
        <w:tc>
          <w:tcPr>
            <w:tcW w:type="dxa" w:w="46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Source license PricebookEntry.UnitPrice (quote price book + currency, IsDerived = false)</w:t>
            </w:r>
          </w:p>
        </w:tc>
        <w:tc>
          <w:tcPr>
            <w:tcW w:type="dxa" w:w="46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QuoteLineItem.Source_List_Price__c (stamped by Flow)</w:t>
            </w:r>
          </w:p>
        </w:tc>
      </w:tr>
      <w:tr>
        <w:trPr>
          <w:trHeight w:val="288"/>
        </w:trPr>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QuoteLineItem.Source_List_Price__c (context attribute)</w:t>
            </w:r>
          </w:p>
        </w:tc>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Derived Pricing Formula input (stable base)</w:t>
            </w:r>
          </w:p>
        </w:tc>
      </w:tr>
      <w:tr>
        <w:trPr>
          <w:trHeight w:val="288"/>
        </w:trPr>
        <w:tc>
          <w:tcPr>
            <w:tcW w:type="dxa" w:w="46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MTD / MaintenanceType attribute value (user-selected tier)</w:t>
            </w:r>
          </w:p>
        </w:tc>
        <w:tc>
          <w:tcPr>
            <w:tcW w:type="dxa" w:w="4680"/>
            <w:shd w:fill="F5F5F5" w:color="auto" w:val="clear"/>
            <w:tcMar>
              <w:top w:type="dxa" w:w="72"/>
              <w:left w:type="dxa" w:w="72"/>
              <w:bottom w:type="dxa" w:w="72"/>
              <w:right w:type="dxa" w:w="72"/>
            </w:tcMar>
            <w:vAlign w:val="center"/>
          </w:tcPr>
          <w:p>
            <w:pPr>
              <w:spacing w:before="50" w:after="50"/>
            </w:pPr>
            <w:r>
              <w:rPr>
                <w:rFonts w:ascii="Arial" w:cs="Arial" w:eastAsia="Arial" w:hAnsi="Arial"/>
                <w:sz w:val="16"/>
                <w:szCs w:val="16"/>
              </w:rPr>
              <w:t xml:space="preserve">Derived Pricing Formula tier selector (IF on Premier / Standard / Professional)</w:t>
            </w:r>
          </w:p>
        </w:tc>
      </w:tr>
      <w:tr>
        <w:trPr>
          <w:trHeight w:val="288"/>
        </w:trPr>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Derived Pricing Formula output</w:t>
            </w:r>
          </w:p>
        </w:tc>
        <w:tc>
          <w:tcPr>
            <w:tcW w:type="dxa" w:w="4680"/>
            <w:tcMar>
              <w:top w:type="dxa" w:w="72"/>
              <w:left w:type="dxa" w:w="72"/>
              <w:bottom w:type="dxa" w:w="72"/>
              <w:right w:type="dxa" w:w="72"/>
            </w:tcMar>
            <w:vAlign w:val="center"/>
          </w:tcPr>
          <w:p>
            <w:pPr>
              <w:spacing w:before="50" w:after="50"/>
            </w:pPr>
            <w:r>
              <w:rPr>
                <w:rFonts w:ascii="Arial" w:cs="Arial" w:eastAsia="Arial" w:hAnsi="Arial"/>
                <w:sz w:val="16"/>
                <w:szCs w:val="16"/>
              </w:rPr>
              <w:t xml:space="preserve">QuoteLineItem.NetUnitPrice</w:t>
            </w:r>
          </w:p>
        </w:tc>
      </w:tr>
    </w:tbl>
    <w:p>
      <w:pPr>
        <w:spacing w:after="280"/>
      </w:pPr>
    </w:p>
    <w:p>
      <w:pPr>
        <w:pStyle w:val="Heading2"/>
        <w:spacing w:before="320" w:after="205"/>
      </w:pPr>
      <w:r>
        <w:rPr>
          <w:rFonts w:ascii="Arial" w:cs="Arial" w:eastAsia="Arial" w:hAnsi="Arial"/>
          <w:b/>
          <w:bCs/>
          <w:color w:val="2E75B6"/>
          <w:sz w:val="26"/>
          <w:szCs w:val="26"/>
        </w:rPr>
        <w:t xml:space="preserve">6.3 Business Logic</w:t>
      </w:r>
    </w:p>
    <w:p>
      <w:pPr>
        <w:spacing w:after="200"/>
      </w:pPr>
      <w:r>
        <w:rPr>
          <w:rFonts w:ascii="Arial" w:cs="Arial" w:eastAsia="Arial" w:hAnsi="Arial"/>
          <w:sz w:val="20"/>
          <w:szCs w:val="20"/>
        </w:rPr>
        <w:t xml:space="preserve">STAMP SOURCE LIST PRICE (record-triggered Flow on QuoteLineItem): when a maintenance / derived line is created or its source changes, the Flow finds the line's source license product via the derived-price (ContributingProduct) mapping, reads that product's list price from its non-derived price-book entry in the quote's price book and currency, and writes the value to Source_List_Price__c. DERIVED PRICING FORMULA (pricing procedure, List Container 9, after the MTD filter): the formula computes IF(tier='Premier',0.30, IF(tier='Standard',0.20, IF(tier='Professional',0.20, &lt;fallback&gt;))) * Source_List_Price__c and writes the result to NetUnitPrice. It multiplies the stamped field, not NetUnitPrice, to avoid multiplicative shrinkage. FIRST VALIDATION STEP (gates the rest of the build): on a known selling-model-mismatched product (FIM-FIM-RRM-TECRM), confirm whether the native 'Derived Pricing Data Retrieval' element hard-errors (stops the reprice) or returns $0. If it hard-errors, remove that element from the procedure (the formula does the full job from the stamped field); if it returns $0, retain it (the formula overwrites the $0). TIER FALLBACK / DATA HYGIENE: decide how blank or off-list tiers behave (the current trailing '0' yields $0); re-tag the four straggler products (Premium ×2, Expert ×1, platinum ×1) to live tiers or confirm dead. Tier rates remain in administrator-editable Maintenance_Rate custom metadata.</w:t>
      </w:r>
    </w:p>
    <w:p>
      <w:pPr>
        <w:pStyle w:val="Heading2"/>
        <w:spacing w:before="320" w:after="205"/>
      </w:pPr>
      <w:r>
        <w:rPr>
          <w:rFonts w:ascii="Arial" w:cs="Arial" w:eastAsia="Arial" w:hAnsi="Arial"/>
          <w:b/>
          <w:bCs/>
          <w:color w:val="2E75B6"/>
          <w:sz w:val="26"/>
          <w:szCs w:val="26"/>
        </w:rPr>
        <w:t xml:space="preserve">6.4 Integration Points</w:t>
      </w:r>
    </w:p>
    <w:p>
      <w:pPr>
        <w:spacing w:after="200"/>
      </w:pPr>
      <w:r>
        <w:rPr>
          <w:rFonts w:ascii="Arial" w:cs="Arial" w:eastAsia="Arial" w:hAnsi="Arial"/>
          <w:sz w:val="20"/>
          <w:szCs w:val="20"/>
        </w:rPr>
        <w:t xml:space="preserve">None. The solution is entirely within Salesforce Revenue Cloud; there are no external system integrations. Note the operational dependency on the manual Decision Table refresh after pricing-data or formula changes.</w:t>
      </w:r>
    </w:p>
    <w:p>
      <w:r>
        <w:br w:type="page"/>
      </w:r>
    </w:p>
    <w:p>
      <w:pPr>
        <w:pStyle w:val="Heading1"/>
        <w:spacing w:before="320" w:after="220"/>
      </w:pPr>
      <w:r>
        <w:rPr>
          <w:rFonts w:ascii="Arial" w:cs="Arial" w:eastAsia="Arial" w:hAnsi="Arial"/>
          <w:b/>
          <w:bCs/>
          <w:color w:val="1E4D78"/>
          <w:sz w:val="32"/>
          <w:szCs w:val="32"/>
        </w:rPr>
        <w:t xml:space="preserve">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Height w:val="370" w:hRule="exact"/>
        </w:trPr>
        <w:tc>
          <w:tcPr>
            <w:tcW w:type="dxa" w:w="1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Version</w:t>
            </w:r>
          </w:p>
        </w:tc>
        <w:tc>
          <w:tcPr>
            <w:tcW w:type="dxa" w:w="2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Date</w:t>
            </w:r>
          </w:p>
        </w:tc>
        <w:tc>
          <w:tcPr>
            <w:tcW w:type="dxa" w:w="250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Author</w:t>
            </w:r>
          </w:p>
        </w:tc>
        <w:tc>
          <w:tcPr>
            <w:tcW w:type="dxa" w:w="2860"/>
            <w:shd w:fill="1E4D78" w:color="auto" w:val="clear"/>
            <w:tcMar>
              <w:top w:type="dxa" w:w="72"/>
              <w:left w:type="dxa" w:w="72"/>
              <w:bottom w:type="dxa" w:w="72"/>
              <w:right w:type="dxa" w:w="72"/>
            </w:tcMar>
            <w:vAlign w:val="center"/>
          </w:tcPr>
          <w:p>
            <w:pPr>
              <w:spacing w:before="60" w:after="60"/>
              <w:jc w:val="left"/>
            </w:pPr>
            <w:r>
              <w:rPr>
                <w:rFonts w:ascii="Arial" w:cs="Arial" w:eastAsia="Arial" w:hAnsi="Arial"/>
                <w:b/>
                <w:bCs/>
                <w:color w:val="FFFFFF"/>
                <w:sz w:val="16"/>
                <w:szCs w:val="16"/>
              </w:rPr>
              <w:t xml:space="preserve">Description</w:t>
            </w:r>
          </w:p>
        </w:tc>
      </w:tr>
      <w:tr>
        <w:trPr>
          <w:trHeight w:val="288"/>
        </w:trPr>
        <w:tc>
          <w:tcPr>
            <w:tcW w:type="dxa" w:w="1500"/>
            <w:tcMar>
              <w:top w:type="dxa" w:w="72"/>
              <w:left w:type="dxa" w:w="72"/>
              <w:bottom w:type="dxa" w:w="72"/>
              <w:right w:type="dxa" w:w="72"/>
            </w:tcMar>
            <w:vAlign w:val="center"/>
          </w:tcPr>
          <w:p>
            <w:pPr>
              <w:spacing w:before="50" w:after="50"/>
            </w:pPr>
            <w:r>
              <w:rPr>
                <w:rFonts w:ascii="Arial" w:cs="Arial" w:eastAsia="Arial" w:hAnsi="Arial"/>
                <w:sz w:val="16"/>
                <w:szCs w:val="16"/>
              </w:rPr>
              <w:t xml:space="preserve">1.0</w:t>
            </w:r>
          </w:p>
        </w:tc>
        <w:tc>
          <w:tcPr>
            <w:tcW w:type="dxa" w:w="2500"/>
            <w:tcMar>
              <w:top w:type="dxa" w:w="72"/>
              <w:left w:type="dxa" w:w="72"/>
              <w:bottom w:type="dxa" w:w="72"/>
              <w:right w:type="dxa" w:w="72"/>
            </w:tcMar>
            <w:vAlign w:val="center"/>
          </w:tcPr>
          <w:p>
            <w:pPr>
              <w:spacing w:before="50" w:after="50"/>
            </w:pPr>
            <w:r>
              <w:rPr>
                <w:rFonts w:ascii="Arial" w:cs="Arial" w:eastAsia="Arial" w:hAnsi="Arial"/>
                <w:sz w:val="16"/>
                <w:szCs w:val="16"/>
              </w:rPr>
              <w:t xml:space="preserve">June 6, 2026</w:t>
            </w:r>
          </w:p>
        </w:tc>
        <w:tc>
          <w:tcPr>
            <w:tcW w:type="dxa" w:w="2500"/>
            <w:tcMar>
              <w:top w:type="dxa" w:w="72"/>
              <w:left w:type="dxa" w:w="72"/>
              <w:bottom w:type="dxa" w:w="72"/>
              <w:right w:type="dxa" w:w="72"/>
            </w:tcMar>
            <w:vAlign w:val="center"/>
          </w:tcPr>
          <w:p>
            <w:pPr>
              <w:spacing w:before="50" w:after="50"/>
            </w:pPr>
            <w:r>
              <w:rPr>
                <w:rFonts w:ascii="Arial" w:cs="Arial" w:eastAsia="Arial" w:hAnsi="Arial"/>
                <w:sz w:val="16"/>
                <w:szCs w:val="16"/>
              </w:rPr>
              <w:t xml:space="preserve">[Author Name]</w:t>
            </w:r>
          </w:p>
        </w:tc>
        <w:tc>
          <w:tcPr>
            <w:tcW w:type="dxa" w:w="2860"/>
            <w:tcMar>
              <w:top w:type="dxa" w:w="72"/>
              <w:left w:type="dxa" w:w="72"/>
              <w:bottom w:type="dxa" w:w="72"/>
              <w:right w:type="dxa" w:w="72"/>
            </w:tcMar>
            <w:vAlign w:val="center"/>
          </w:tcPr>
          <w:p>
            <w:pPr>
              <w:spacing w:before="50" w:after="50"/>
            </w:pPr>
            <w:r>
              <w:rPr>
                <w:rFonts w:ascii="Arial" w:cs="Arial" w:eastAsia="Arial" w:hAnsi="Arial"/>
                <w:sz w:val="16"/>
                <w:szCs w:val="16"/>
              </w:rPr>
              <w:t xml:space="preserve">Initial document creation</w:t>
            </w:r>
          </w:p>
        </w:tc>
      </w:tr>
    </w:tbl>
    <w:p>
      <w:pPr>
        <w:spacing w:after="280"/>
      </w:pPr>
    </w:p>
    <w:sectPr>
      <w:headerReference w:type="default" r:id="rId6"/>
      <w:footerReference w:type="default" r:id="rId7"/>
      <w:pgSz w:w="11906" w:h="16838" w:orient="portrait"/>
      <w:pgMar w:top="1440" w:right="1440" w:bottom="1440" w:left="1440" w:header="48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Maintenance (Derived) Pricing - Solution Design</w:t>
    </w:r>
    <w:r>
      <w:tab/>
    </w:r>
    <w:r>
      <w:rPr>
        <w:rFonts w:ascii="Arial" w:cs="Arial" w:eastAsia="Arial" w:hAnsi="Arial"/>
        <w:color w:val="808080"/>
        <w:sz w:val="18"/>
        <w:szCs w:val="18"/>
      </w:rPr>
      <w:t xml:space="preserve">Page </w:t>
    </w:r>
    <w:r>
      <w:rPr>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877"/>
      <w:tblBorders>
        <w:top w:val="single" w:color="auto" w:sz="4"/>
        <w:left w:val="single" w:color="auto" w:sz="4"/>
        <w:bottom w:val="single" w:color="auto" w:sz="4"/>
        <w:right w:val="single" w:color="auto" w:sz="4"/>
        <w:insideH w:val="single" w:color="auto" w:sz="4"/>
        <w:insideV w:val="single" w:color="auto" w:sz="4"/>
      </w:tblBorders>
    </w:tblPr>
    <w:tblGrid>
      <w:gridCol w:w="2525"/>
      <w:gridCol w:w="6352"/>
    </w:tblGrid>
    <w:tr>
      <w:tc>
        <w:tcPr>
          <w:tcW w:type="dxa" w:w="2525"/>
          <w:tcBorders>
            <w:top w:val="none" w:color="FFFFFF" w:sz="0"/>
            <w:left w:val="none" w:color="FFFFFF" w:sz="0"/>
            <w:bottom w:val="none" w:color="FFFFFF" w:sz="0"/>
            <w:right w:val="single" w:color="auto" w:sz="4"/>
          </w:tcBorders>
          <w:vAlign w:val="center"/>
        </w:tcPr>
        <w:p>
          <w:pPr>
            <w:ind w:right="-490"/>
          </w:pPr>
        </w:p>
      </w:tc>
      <w:tc>
        <w:tcPr>
          <w:tcW w:type="dxa" w:w="6352"/>
          <w:tcBorders>
            <w:top w:val="none" w:color="FFFFFF" w:sz="0"/>
            <w:left w:val="single" w:color="auto" w:sz="4"/>
            <w:bottom w:val="none" w:color="FFFFFF" w:sz="0"/>
            <w:right w:val="none" w:color="FFFFFF" w:sz="0"/>
          </w:tcBorders>
          <w:tcMar>
            <w:left w:type="dxa" w:w="86"/>
          </w:tcMar>
          <w:vAlign w:val="center"/>
        </w:tcPr>
        <w:p>
          <w:pPr>
            <w:ind w:left="181"/>
          </w:pPr>
        </w:p>
      </w:tc>
    </w:tr>
  </w:tbl>
  <w:p>
    <w:pPr>
      <w:spacing w:after="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70"/>
      </w:pPr>
    </w:lvl>
  </w:abstractNum>
  <w:abstractNum w:abstractNumId="3" w15:restartNumberingAfterBreak="0">
    <w:multiLevelType w:val="hybridMultilevel"/>
    <w:lvl w:ilvl="0" w15:tentative="1">
      <w:start w:val="1"/>
      <w:numFmt w:val="decimal"/>
      <w:lvlText w:val="%1."/>
      <w:lvlJc w:val="left"/>
      <w:pPr>
        <w:ind w:left="500" w:hanging="270"/>
      </w:pPr>
    </w:lvl>
  </w:abstractNum>
  <w:abstractNum w:abstractNumId="4" w15:restartNumberingAfterBreak="0">
    <w:multiLevelType w:val="hybridMultilevel"/>
    <w:lvl w:ilvl="0" w15:tentative="1">
      <w:start w:val="1"/>
      <w:numFmt w:val="decimal"/>
      <w:lvlText w:val="%1."/>
      <w:lvlJc w:val="left"/>
      <w:pPr>
        <w:ind w:left="500" w:hanging="270"/>
      </w:pPr>
    </w:lvl>
  </w:abstractNum>
  <w:abstractNum w:abstractNumId="5" w15:restartNumberingAfterBreak="0">
    <w:multiLevelType w:val="hybridMultilevel"/>
    <w:lvl w:ilvl="0" w15:tentative="1">
      <w:start w:val="1"/>
      <w:numFmt w:val="decimal"/>
      <w:lvlText w:val="%1."/>
      <w:lvlJc w:val="left"/>
      <w:pPr>
        <w:ind w:left="50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4D78"/>
      <w:sz w:val="56"/>
      <w:szCs w:val="56"/>
    </w:rPr>
  </w:style>
  <w:style w:type="paragraph" w:styleId="Heading1">
    <w:name w:val="Heading 1"/>
    <w:basedOn w:val="Normal"/>
    <w:next w:val="Normal"/>
    <w:qFormat/>
    <w:pPr>
      <w:spacing w:before="320" w:after="220"/>
      <w:outlineLvl w:val="0"/>
    </w:pPr>
    <w:rPr>
      <w:rFonts w:ascii="Arial" w:cs="Arial" w:eastAsia="Arial" w:hAnsi="Arial"/>
      <w:b/>
      <w:bCs/>
      <w:color w:val="1E4D78"/>
      <w:sz w:val="32"/>
      <w:szCs w:val="32"/>
    </w:rPr>
  </w:style>
  <w:style w:type="paragraph" w:styleId="Heading2">
    <w:name w:val="Heading 2"/>
    <w:basedOn w:val="Normal"/>
    <w:next w:val="Normal"/>
    <w:qFormat/>
    <w:pPr>
      <w:spacing w:before="320" w:after="205"/>
      <w:outlineLvl w:val="1"/>
    </w:pPr>
    <w:rPr>
      <w:rFonts w:ascii="Arial" w:cs="Arial" w:eastAsia="Arial" w:hAnsi="Arial"/>
      <w:b/>
      <w:bCs/>
      <w:color w:val="2E75B6"/>
      <w:sz w:val="26"/>
      <w:szCs w:val="26"/>
    </w:rPr>
  </w:style>
  <w:style w:type="paragraph" w:styleId="Heading3">
    <w:name w:val="Heading 3"/>
    <w:basedOn w:val="Normal"/>
    <w:next w:val="Normal"/>
    <w:qFormat/>
    <w:pPr>
      <w:spacing w:before="260" w:after="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2026-06-06T23:58:41.511Z</dcterms:created>
  <dcterms:modified xsi:type="dcterms:W3CDTF">2026-06-06T23:58:41.511Z</dcterms:modified>
</cp:coreProperties>
</file>

<file path=docProps/custom.xml><?xml version="1.0" encoding="utf-8"?>
<Properties xmlns="http://schemas.openxmlformats.org/officeDocument/2006/custom-properties" xmlns:vt="http://schemas.openxmlformats.org/officeDocument/2006/docPropsVTypes"/>
</file>