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rPr>
          <w:rFonts w:ascii="Arial" w:cs="Arial" w:eastAsia="Arial" w:hAnsi="Arial"/>
          <w:b/>
          <w:bCs/>
          <w:color w:val="1E4D78"/>
          <w:sz w:val="56"/>
          <w:szCs w:val="56"/>
        </w:rPr>
        <w:t xml:space="preserve">Quotes Amendments</w:t>
      </w:r>
    </w:p>
    <w:p>
      <w:pPr>
        <w:spacing w:after="200"/>
        <w:jc w:val="center"/>
      </w:pPr>
      <w:r>
        <w:rPr>
          <w:rFonts w:ascii="Arial" w:cs="Arial" w:eastAsia="Arial" w:hAnsi="Arial"/>
          <w:color w:val="404040"/>
          <w:sz w:val="36"/>
          <w:szCs w:val="36"/>
        </w:rPr>
        <w:t xml:space="preserve">Solution Design Document</w:t>
      </w:r>
    </w:p>
    <w:p>
      <w:pPr>
        <w:spacing w:after="600"/>
        <w:jc w:val="center"/>
      </w:pPr>
      <w:r>
        <w:rPr>
          <w:rFonts w:ascii="Arial" w:cs="Arial" w:eastAsia="Arial" w:hAnsi="Arial"/>
          <w:color w:val="808080"/>
          <w:sz w:val="28"/>
          <w:szCs w:val="28"/>
        </w:rPr>
        <w:t xml:space="preserve">Prepared for Fortra</w:t>
      </w:r>
    </w:p>
    <w:p>
      <w:r>
        <w:br w:type="page"/>
      </w:r>
    </w:p>
    <w:p>
      <w:pPr>
        <w:pStyle w:val="Heading1"/>
      </w:pPr>
      <w:r>
        <w:rPr>
          <w:rFonts w:ascii="Arial" w:cs="Arial" w:eastAsia="Arial" w:hAnsi="Arial"/>
          <w:b/>
          <w:bCs/>
          <w:color w:val="1E4D7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20" w:after="360"/>
      </w:pPr>
      <w:r>
        <w:rPr>
          <w:rFonts w:ascii="Arial" w:cs="Arial" w:eastAsia="Arial" w:hAnsi="Arial"/>
          <w:b/>
          <w:bCs/>
          <w:color w:val="1E4D78"/>
          <w:sz w:val="32"/>
          <w:szCs w:val="32"/>
        </w:rPr>
        <w:t xml:space="preserve">1. Executive Summary</w:t>
      </w:r>
    </w:p>
    <w:p>
      <w:pPr>
        <w:spacing w:after="200"/>
      </w:pPr>
      <w:r>
        <w:rPr>
          <w:rFonts w:ascii="Arial" w:cs="Arial" w:eastAsia="Arial" w:hAnsi="Arial"/>
          <w:sz w:val="22"/>
          <w:szCs w:val="22"/>
        </w:rPr>
        <w:t xml:space="preserve">This solution implements a comprehensive Amendment Quote management framework within Fortra's Salesforce Revenue Cloud environment. The system extends the standard Quote object to support mid-term contract amendments with role-based access controls, financial impact tracking, and pro-ration calculation capabilities.</w:t>
      </w:r>
    </w:p>
    <w:p>
      <w:pPr>
        <w:spacing w:after="200"/>
      </w:pPr>
      <w:r>
        <w:rPr>
          <w:rFonts w:ascii="Arial" w:cs="Arial" w:eastAsia="Arial" w:hAnsi="Arial"/>
          <w:sz w:val="22"/>
          <w:szCs w:val="22"/>
        </w:rPr>
        <w:t xml:space="preserve">The design leverages the existing Quote_Type__c picklist field with an 'Amendment' value rather than creating a separate Record Type, simplifying maintenance while enabling Lightning Dynamic Forms visibility rules. Eleven custom fields on the Quote object capture amendment-specific data including the amendment reason, effective dates, ARR impact, pro-ration methods, and credit amounts.</w:t>
      </w:r>
    </w:p>
    <w:p>
      <w:pPr>
        <w:spacing w:after="200"/>
      </w:pPr>
      <w:r>
        <w:rPr>
          <w:rFonts w:ascii="Arial" w:cs="Arial" w:eastAsia="Arial" w:hAnsi="Arial"/>
          <w:sz w:val="22"/>
          <w:szCs w:val="22"/>
        </w:rPr>
        <w:t xml:space="preserve">A dedicated Amendment Quote page layout organizes fields into three focused sections: Amendment Details, Related Contract Information, and Financial Impact. These sections are conditionally visible only when Quote_Type__c equals 'Amendment', providing a clean user experience that adapts to the quote context.</w:t>
      </w:r>
    </w:p>
    <w:p>
      <w:pPr>
        <w:spacing w:after="200"/>
      </w:pPr>
      <w:r>
        <w:rPr>
          <w:rFonts w:ascii="Arial" w:cs="Arial" w:eastAsia="Arial" w:hAnsi="Arial"/>
          <w:sz w:val="22"/>
          <w:szCs w:val="22"/>
        </w:rPr>
        <w:t xml:space="preserve">Role-based validation rules enforce business policies that protect revenue by limiting Sales users from creating downsells, cancellations, and other restricted amendment types, while Customer Operations maintains full access to all amendment capabilities. An additional 120-day renewal window restriction prevents Sales from creating non-growth amendments near contract renewal dates.</w:t>
      </w:r>
    </w:p>
    <w:p>
      <w:pPr>
        <w:spacing w:after="200"/>
      </w:pPr>
      <w:r>
        <w:rPr>
          <w:rFonts w:ascii="Arial" w:cs="Arial" w:eastAsia="Arial" w:hAnsi="Arial"/>
          <w:sz w:val="22"/>
          <w:szCs w:val="22"/>
        </w:rPr>
        <w:t xml:space="preserve">The solution also includes co-termination support through integration with the Contract object, where amendment contracts automatically align their end dates with the parent contract and track manual overrides for audit purposes.</w:t>
      </w:r>
    </w:p>
    <w:p>
      <w:pPr>
        <w:pStyle w:val="Heading2"/>
        <w:spacing w:before="240" w:after="240"/>
      </w:pPr>
      <w:r>
        <w:rPr>
          <w:rFonts w:ascii="Arial" w:cs="Arial" w:eastAsia="Arial" w:hAnsi="Arial"/>
          <w:b/>
          <w:bCs/>
          <w:color w:val="2E75B6"/>
          <w:sz w:val="26"/>
          <w:szCs w:val="26"/>
        </w:rPr>
        <w:t xml:space="preserve">1.1 Key Features</w:t>
      </w:r>
    </w:p>
    <w:p>
      <w:pPr>
        <w:pStyle w:val="ListParagraph"/>
        <w:numPr>
          <w:ilvl w:val="0"/>
          <w:numId w:val="2"/>
        </w:numPr>
        <w:spacing w:after="120"/>
      </w:pPr>
      <w:r>
        <w:rPr>
          <w:rFonts w:ascii="Arial" w:cs="Arial" w:eastAsia="Arial" w:hAnsi="Arial"/>
          <w:sz w:val="22"/>
          <w:szCs w:val="22"/>
        </w:rPr>
        <w:t xml:space="preserve">Amendment Reason categorization with 10 picklist values covering upsell, cross-sell, downsell, cancellation, and administrative amendment types</w:t>
      </w:r>
    </w:p>
    <w:p>
      <w:pPr>
        <w:pStyle w:val="ListParagraph"/>
        <w:numPr>
          <w:ilvl w:val="0"/>
          <w:numId w:val="2"/>
        </w:numPr>
        <w:spacing w:after="120"/>
      </w:pPr>
      <w:r>
        <w:rPr>
          <w:rFonts w:ascii="Arial" w:cs="Arial" w:eastAsia="Arial" w:hAnsi="Arial"/>
          <w:sz w:val="22"/>
          <w:szCs w:val="22"/>
        </w:rPr>
        <w:t xml:space="preserve">Role-based access controls preventing Sales users from processing downsell and cancellation amendments, routed to Customer Operations</w:t>
      </w:r>
    </w:p>
    <w:p>
      <w:pPr>
        <w:pStyle w:val="ListParagraph"/>
        <w:numPr>
          <w:ilvl w:val="0"/>
          <w:numId w:val="2"/>
        </w:numPr>
        <w:spacing w:after="120"/>
      </w:pPr>
      <w:r>
        <w:rPr>
          <w:rFonts w:ascii="Arial" w:cs="Arial" w:eastAsia="Arial" w:hAnsi="Arial"/>
          <w:sz w:val="22"/>
          <w:szCs w:val="22"/>
        </w:rPr>
        <w:t xml:space="preserve">120-day renewal window restriction limiting Sales users to growth-only amendments (Upsell/Cross-sell) near contract end dates</w:t>
      </w:r>
    </w:p>
    <w:p>
      <w:pPr>
        <w:pStyle w:val="ListParagraph"/>
        <w:numPr>
          <w:ilvl w:val="0"/>
          <w:numId w:val="2"/>
        </w:numPr>
        <w:spacing w:after="120"/>
      </w:pPr>
      <w:r>
        <w:rPr>
          <w:rFonts w:ascii="Arial" w:cs="Arial" w:eastAsia="Arial" w:hAnsi="Arial"/>
          <w:sz w:val="22"/>
          <w:szCs w:val="22"/>
        </w:rPr>
        <w:t xml:space="preserve">Formula-driven financial calculations including Original Contract ARR (from linked contract), Days Until Renewal, Within Renewal Window status, and Net Contract Change</w:t>
      </w:r>
    </w:p>
    <w:p>
      <w:pPr>
        <w:pStyle w:val="ListParagraph"/>
        <w:numPr>
          <w:ilvl w:val="0"/>
          <w:numId w:val="2"/>
        </w:numPr>
        <w:spacing w:after="120"/>
      </w:pPr>
      <w:r>
        <w:rPr>
          <w:rFonts w:ascii="Arial" w:cs="Arial" w:eastAsia="Arial" w:hAnsi="Arial"/>
          <w:sz w:val="22"/>
          <w:szCs w:val="22"/>
        </w:rPr>
        <w:t xml:space="preserve">Multiple pro-ration methods (Daily, Monthly, Full Period, No Pro-ration) for flexible partial-period charge calculation</w:t>
      </w:r>
    </w:p>
    <w:p>
      <w:pPr>
        <w:pStyle w:val="ListParagraph"/>
        <w:numPr>
          <w:ilvl w:val="0"/>
          <w:numId w:val="2"/>
        </w:numPr>
        <w:spacing w:after="120"/>
      </w:pPr>
      <w:r>
        <w:rPr>
          <w:rFonts w:ascii="Arial" w:cs="Arial" w:eastAsia="Arial" w:hAnsi="Arial"/>
          <w:sz w:val="22"/>
          <w:szCs w:val="22"/>
        </w:rPr>
        <w:t xml:space="preserve">Dedicated Amendment Quote Layout with Dynamic Forms visibility for Amendment Details, Contract Information, and Financial Impact sections</w:t>
      </w:r>
    </w:p>
    <w:p>
      <w:pPr>
        <w:pStyle w:val="ListParagraph"/>
        <w:numPr>
          <w:ilvl w:val="0"/>
          <w:numId w:val="2"/>
        </w:numPr>
        <w:spacing w:after="120"/>
      </w:pPr>
      <w:r>
        <w:rPr>
          <w:rFonts w:ascii="Arial" w:cs="Arial" w:eastAsia="Arial" w:hAnsi="Arial"/>
          <w:b/>
          <w:bCs/>
          <w:sz w:val="22"/>
          <w:szCs w:val="22"/>
        </w:rPr>
        <w:t xml:space="preserve">Four validation rules enforcing data integrity:</w:t>
      </w:r>
      <w:r>
        <w:rPr>
          <w:rFonts w:ascii="Arial" w:cs="Arial" w:eastAsia="Arial" w:hAnsi="Arial"/>
          <w:sz w:val="22"/>
          <w:szCs w:val="22"/>
        </w:rPr>
        <w:t xml:space="preserve"> mandatory amendment reason, required contract linkage, role-based restrictions, and renewal window controls</w:t>
      </w:r>
    </w:p>
    <w:p>
      <w:pPr>
        <w:pStyle w:val="ListParagraph"/>
        <w:numPr>
          <w:ilvl w:val="0"/>
          <w:numId w:val="2"/>
        </w:numPr>
        <w:spacing w:after="120"/>
      </w:pPr>
      <w:r>
        <w:rPr>
          <w:rFonts w:ascii="Arial" w:cs="Arial" w:eastAsia="Arial" w:hAnsi="Arial"/>
          <w:sz w:val="22"/>
          <w:szCs w:val="22"/>
        </w:rPr>
        <w:t xml:space="preserve">Co-termination support with automatic end date alignment to parent contract and override tracking via Contract flows</w:t>
      </w:r>
    </w:p>
    <w:p>
      <w:pPr>
        <w:pStyle w:val="ListParagraph"/>
        <w:numPr>
          <w:ilvl w:val="0"/>
          <w:numId w:val="2"/>
        </w:numPr>
        <w:spacing w:after="360"/>
      </w:pPr>
      <w:r>
        <w:rPr>
          <w:rFonts w:ascii="Arial" w:cs="Arial" w:eastAsia="Arial" w:hAnsi="Arial"/>
          <w:sz w:val="22"/>
          <w:szCs w:val="22"/>
        </w:rPr>
        <w:t xml:space="preserve">History tracking on key amendment fields for audit trail and compliance reporting</w:t>
      </w:r>
    </w:p>
    <w:p>
      <w:r>
        <w:br w:type="page"/>
      </w:r>
    </w:p>
    <w:p>
      <w:pPr>
        <w:pStyle w:val="Heading1"/>
        <w:spacing w:before="320" w:after="360"/>
      </w:pPr>
      <w:r>
        <w:rPr>
          <w:rFonts w:ascii="Arial" w:cs="Arial" w:eastAsia="Arial" w:hAnsi="Arial"/>
          <w:b/>
          <w:bCs/>
          <w:color w:val="1E4D78"/>
          <w:sz w:val="32"/>
          <w:szCs w:val="32"/>
        </w:rPr>
        <w:t xml:space="preserve">2. Solution Overview</w:t>
      </w:r>
    </w:p>
    <w:p>
      <w:pPr>
        <w:pStyle w:val="Heading2"/>
        <w:spacing w:before="240" w:after="240"/>
      </w:pPr>
      <w:r>
        <w:rPr>
          <w:rFonts w:ascii="Arial" w:cs="Arial" w:eastAsia="Arial" w:hAnsi="Arial"/>
          <w:b/>
          <w:bCs/>
          <w:color w:val="2E75B6"/>
          <w:sz w:val="26"/>
          <w:szCs w:val="26"/>
        </w:rPr>
        <w:t xml:space="preserve">2.1 Process Flow Summary</w:t>
      </w:r>
    </w:p>
    <w:p>
      <w:pPr>
        <w:spacing w:after="200"/>
      </w:pPr>
      <w:r>
        <w:rPr>
          <w:rFonts w:ascii="Arial" w:cs="Arial" w:eastAsia="Arial" w:hAnsi="Arial"/>
          <w:sz w:val="22"/>
          <w:szCs w:val="22"/>
        </w:rPr>
        <w:t xml:space="preserve">The Quotes Amendments solution follows this sequence:</w:t>
      </w:r>
    </w:p>
    <w:p>
      <w:pPr>
        <w:pStyle w:val="ListParagraph"/>
        <w:numPr>
          <w:ilvl w:val="0"/>
          <w:numId w:val="3"/>
        </w:numPr>
        <w:spacing w:after="120"/>
      </w:pPr>
      <w:r>
        <w:rPr>
          <w:rFonts w:ascii="Arial" w:cs="Arial" w:eastAsia="Arial" w:hAnsi="Arial"/>
          <w:sz w:val="22"/>
          <w:szCs w:val="22"/>
        </w:rPr>
        <w:t xml:space="preserve">1. Sales or Customer Operations user opens an Opportunity and initiates the Create New Quote flow, selecting 'Amendment' as the Quote Type and providing the Amendment Reason.</w:t>
      </w:r>
    </w:p>
    <w:p>
      <w:pPr>
        <w:pStyle w:val="ListParagraph"/>
        <w:numPr>
          <w:ilvl w:val="0"/>
          <w:numId w:val="3"/>
        </w:numPr>
        <w:spacing w:after="120"/>
      </w:pPr>
      <w:r>
        <w:rPr>
          <w:rFonts w:ascii="Arial" w:cs="Arial" w:eastAsia="Arial" w:hAnsi="Arial"/>
          <w:sz w:val="22"/>
          <w:szCs w:val="22"/>
        </w:rPr>
        <w:t xml:space="preserve">2. The flow validates that a PriceBook is assigned, a Renewal Contract is linked (required for Amendment quotes), and partner data is complete. If validation fails, actionable error screens guide the user.</w:t>
      </w:r>
    </w:p>
    <w:p>
      <w:pPr>
        <w:pStyle w:val="ListParagraph"/>
        <w:numPr>
          <w:ilvl w:val="0"/>
          <w:numId w:val="3"/>
        </w:numPr>
        <w:spacing w:after="120"/>
      </w:pPr>
      <w:r>
        <w:rPr>
          <w:rFonts w:ascii="Arial" w:cs="Arial" w:eastAsia="Arial" w:hAnsi="Arial"/>
          <w:b/>
          <w:bCs/>
          <w:sz w:val="22"/>
          <w:szCs w:val="22"/>
        </w:rPr>
        <w:t xml:space="preserve">3. Upon successful quote creation, the Amendment Quote page layout displays with three conditional sections:</w:t>
      </w:r>
      <w:r>
        <w:rPr>
          <w:rFonts w:ascii="Arial" w:cs="Arial" w:eastAsia="Arial" w:hAnsi="Arial"/>
          <w:sz w:val="22"/>
          <w:szCs w:val="22"/>
        </w:rPr>
        <w:t xml:space="preserve"> Amendment Details (showing reason, request date, effective date, contract link), Related Contract Information (displaying original ARR and days until renewal), and Financial Impact (capturing ARR impact, pro-ration, credits).</w:t>
      </w:r>
    </w:p>
    <w:p>
      <w:pPr>
        <w:pStyle w:val="ListParagraph"/>
        <w:numPr>
          <w:ilvl w:val="0"/>
          <w:numId w:val="3"/>
        </w:numPr>
        <w:spacing w:after="120"/>
      </w:pPr>
      <w:r>
        <w:rPr>
          <w:rFonts w:ascii="Arial" w:cs="Arial" w:eastAsia="Arial" w:hAnsi="Arial"/>
          <w:b/>
          <w:bCs/>
          <w:sz w:val="22"/>
          <w:szCs w:val="22"/>
        </w:rPr>
        <w:t xml:space="preserve">4. Validation rules fire on record save:</w:t>
      </w:r>
      <w:r>
        <w:rPr>
          <w:rFonts w:ascii="Arial" w:cs="Arial" w:eastAsia="Arial" w:hAnsi="Arial"/>
          <w:sz w:val="22"/>
          <w:szCs w:val="22"/>
        </w:rPr>
        <w:t xml:space="preserve"> Require_Amendment_Reason ensures the amendment reason is populated; Amendment_Requires_Contract ensures the contract is linked; Sales_Cannot_Create_Downsell prevents Sales users from selecting Downsell or Full Cancellation; Enforce_Amendment_Sales_Restriction enforces the 120-day renewal window policy.</w:t>
      </w:r>
    </w:p>
    <w:p>
      <w:pPr>
        <w:pStyle w:val="ListParagraph"/>
        <w:numPr>
          <w:ilvl w:val="0"/>
          <w:numId w:val="3"/>
        </w:numPr>
        <w:spacing w:after="120"/>
      </w:pPr>
      <w:r>
        <w:rPr>
          <w:rFonts w:ascii="Arial" w:cs="Arial" w:eastAsia="Arial" w:hAnsi="Arial"/>
          <w:b/>
          <w:bCs/>
          <w:sz w:val="22"/>
          <w:szCs w:val="22"/>
        </w:rPr>
        <w:t xml:space="preserve">5. Formula fields automatically calculate:</w:t>
      </w:r>
      <w:r>
        <w:rPr>
          <w:rFonts w:ascii="Arial" w:cs="Arial" w:eastAsia="Arial" w:hAnsi="Arial"/>
          <w:sz w:val="22"/>
          <w:szCs w:val="22"/>
        </w:rPr>
        <w:t xml:space="preserve"> Original_Contract_ARR__c pulls the ARR from the linked contract, Days_Until_Renewal__c computes remaining days to contract end, Within_Renewal_Window__c flags contracts within 120 days, and Net_Contract_Change__c computes the net financial impact (ARR Impact minus Credits).</w:t>
      </w:r>
    </w:p>
    <w:p>
      <w:pPr>
        <w:pStyle w:val="ListParagraph"/>
        <w:numPr>
          <w:ilvl w:val="0"/>
          <w:numId w:val="3"/>
        </w:numPr>
        <w:spacing w:after="360"/>
      </w:pPr>
      <w:r>
        <w:rPr>
          <w:rFonts w:ascii="Arial" w:cs="Arial" w:eastAsia="Arial" w:hAnsi="Arial"/>
          <w:sz w:val="22"/>
          <w:szCs w:val="22"/>
        </w:rPr>
        <w:t xml:space="preserve">6. When the amendment quote converts to an order and then to a contract amendment, the co-termination flows on the Contract object auto-populate the amendment end date from the parent contract and track any manual overrides.</w:t>
      </w:r>
    </w:p>
    <w:p>
      <w:pPr>
        <w:pStyle w:val="Heading2"/>
        <w:spacing w:before="240" w:after="240"/>
      </w:pPr>
      <w:r>
        <w:rPr>
          <w:rFonts w:ascii="Arial" w:cs="Arial" w:eastAsia="Arial" w:hAnsi="Arial"/>
          <w:b/>
          <w:bCs/>
          <w:color w:val="2E75B6"/>
          <w:sz w:val="26"/>
          <w:szCs w:val="26"/>
        </w:rPr>
        <w:t xml:space="preserve">2.2 Solution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Height w:val="370" w:hRule="exact"/>
        </w:trPr>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Component</w:t>
            </w:r>
          </w:p>
        </w:tc>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Type</w:t>
            </w:r>
          </w:p>
        </w:tc>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Description</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Amendment_Reason__c</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Custom Field (Picklist)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Restricted picklist on Quote with 10 values (Upsell, Cross-sell, Downsell, Full Cancellation, Withholding Tax, Billing Correction, Partner Change, Currency Change, Billing Entity Change, Other) categorizing the amendment type. History tracking enabled.</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Amendment_Request_Date__c</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Custom Field (Date)</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Date when the amendment was requested by the customer or internal team. History tracking enabled.</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Amendment_Effective_Date__c</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Custom Field (Date)</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Date when the amendment takes effect. Used for billing adjustment calculations based on remaining contract term. History tracking enabled.</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Amendment_ARR_Impact__c</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Custom Field (Currency)</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Captures the Annual Recurring Revenue change from the amendment. Positive values indicate upsells, negative values indicate downsells. Precision 18, Scale 2. History tracking enabled.</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Pro_Ration_Method__c</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Custom Field (Picklist)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Method for calculating pro-rated charges: Daily, Monthly (default), Full Period, or No Pro-ration. Determines partial period billing calculations.</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Pro_Rated_Amount__c</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Custom Field (Currency)</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Calculated pro-rated charge or credit based on effective date and remaining contract term.</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Credit_Amount__c</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Custom Field (Currency)</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Credit amount for downgrades or cancellations, calculated based on remaining contract term and pro-ration method.</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Original_Contract_ARR__c</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Formula Field (Currency)</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Auto-calculated formula pulling Expected_Ren_Amount__c from the linked Renewal Contract to display original contract ARR.</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Days_Until_Renewal__c</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Formula Field (Number)</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Formula calculating Renewal_Contract__r.EndDate minus TODAY() to show remaining days until contract end.</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Within_Renewal_Window__c</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Formula Field (Checkbox)</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Returns TRUE when the linked contract is within 120 days of its end date and Renewal_Contract__c is not blank, triggering the renewal window Sales restriction.</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Net_Contract_Change__c</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Formula Field (Currency)</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Calculates Amendment_ARR_Impact__c minus Credit_Amount__c to show the net financial impact of the amendment.</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Require_Amendment_Reason</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Validation Rule</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Fires when Quote_Type__c is Amendment and Amendment_Reason__c is blank. Error: 'Amendment Reason is required for all amendment quotes.'</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Amendment_Requires_Contract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Validation Rule</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Fires when Quote_Type__c is Amendment and Renewal_Contract__c is blank. Error: 'Amendment quotes must be linked to the original Contract being amended.'</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Sales_Cannot_Create_Downsell</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Validation Rule</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Prevents Sales users (roles without Customer Ops or Operations) from selecting Downsell or Full Cancellation. Customer Operations bypasses this rule.</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Enforce_Amendment_Sales_Restriction</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Validation Rule</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Prevents Sales users from creating non-Upsell/Cross-sell amendments within 120 days of contract renewal. Uses Within_Renewal_Window__c formula for date calculation.</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Enforce_Discount_Cap</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Validation Rule</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Enforces 30% discount cap on quotes when status is Presented, unless DiscountApprovalStatus is Approved. Applies across all quote types.</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Amendment Quote Layout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Page Layout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Dedicated page layout with Amendment Details, Related Contract Information, Financial Impact, Quote Information, Place Information, Totals, and Approval sections.</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Quote_Record_Page_With_Amendments</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FlexiPage</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Lightning Record Page for Quotes with Dynamic Forms visibility rules showing amendment-specific sections only when Quote_Type__c equals Amendment.</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3. Requirements</w:t>
      </w:r>
    </w:p>
    <w:p>
      <w:pPr>
        <w:pStyle w:val="Heading2"/>
        <w:spacing w:before="240" w:after="240"/>
      </w:pPr>
      <w:r>
        <w:rPr>
          <w:rFonts w:ascii="Arial" w:cs="Arial" w:eastAsia="Arial" w:hAnsi="Arial"/>
          <w:b/>
          <w:bCs/>
          <w:color w:val="2E75B6"/>
          <w:sz w:val="26"/>
          <w:szCs w:val="26"/>
        </w:rPr>
        <w:t xml:space="preserve">3.1 Business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60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Requirement</w:t>
            </w:r>
          </w:p>
        </w:tc>
        <w:tc>
          <w:tcPr>
            <w:tcW w:type="dxa" w:w="1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Priority</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BR-001</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Sales users must be restricted from creating downsell or cancellation amendments at any time; only Customer Operations can process these amendment types.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BR-002</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Sales users must be further restricted to only Upsell and Cross-sell amendments when the contract is within 120 days of its renewal date (Within Renewal Window).</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BR-003</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All amendment quotes must have an Amendment Reason selected from the 10 defined categories to enable proper routing, reporting, and analytics.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BR-004</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Amendment quotes must always reference the original contract being amended via the Renewal_Contract__c lookup field.</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BR-005</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Financial impact of amendments must be tracked with ARR Impact (positive or negative), pro-rated amounts, and credit amounts, with automatic Net Contract Change calculation.</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BR-006</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Four pro-ration methods must be supported: Daily, Monthly (default), Full Period, and No Pro-ration, to accommodate different billing scenarios.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BR-007</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Amendment-specific sections on the Quote record must only be visible when the Quote Type is Amendment, providing a clean interface for non-amendment quotes.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BR-008</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Amendment contracts must co-terminate with the parent contract by default, with the ability to override end dates tracked for audit purposes.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BR-009</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Discount caps of 30% must be enforced on all quotes unless approved through the Deal Desk or CFO approval workflow.</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bl>
    <w:p>
      <w:pPr>
        <w:spacing w:after="320"/>
      </w:pPr>
    </w:p>
    <w:p>
      <w:pPr>
        <w:pStyle w:val="Heading2"/>
        <w:spacing w:before="240" w:after="240"/>
      </w:pPr>
      <w:r>
        <w:rPr>
          <w:rFonts w:ascii="Arial" w:cs="Arial" w:eastAsia="Arial" w:hAnsi="Arial"/>
          <w:b/>
          <w:bCs/>
          <w:color w:val="2E75B6"/>
          <w:sz w:val="26"/>
          <w:szCs w:val="26"/>
        </w:rPr>
        <w:t xml:space="preserve">3.2 Technical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60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Requirement</w:t>
            </w:r>
          </w:p>
        </w:tc>
        <w:tc>
          <w:tcPr>
            <w:tcW w:type="dxa" w:w="1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Priority</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TR-001</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Create 11 custom fields on the Quote object: 4 formula fields (Original_Contract_ARR__c, Days_Until_Renewal__c, Within_Renewal_Window__c, Net_Contract_Change__c), 2 picklist fields (Amendment_Reason__c, Pro_Ration_Method__c), 3 currency fields (Amendment_ARR_Impact__c, Pro_Rated_Amount__c, Credit_Amount__c), and 2 date fields (Amendment_Request_Date__c, Amendment_Effective_Date__c).</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TR-002</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Create 5 validation rules on the Quote object: Require_Amendment_Reason, Amendment_Requires_Contract, Sales_Cannot_Create_Downsell, Enforce_Amendment_Sales_Restriction, and Enforce_Discount_Cap.</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TR-003</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Configure Lightning Dynamic Forms visibility rules on the Quote Record Page to conditionally show Amendment Details, Related Contract Information, and Financial Impact sections when Quote_Type__c equals Amendment.</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TR-004</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Validation rules must use CONTAINS($UserRole.Name, 'Customer Ops') and CONTAINS($UserRole.Name, 'Operations') for role-based bypass, supporting flexible role naming.</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TR-005</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Formula fields must use formulaTreatBlanksAs BlankAsZero to prevent null reference errors in calculations.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TR-006</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Enable history tracking on Amendment_Reason__c, Amendment_Request_Date__c, Amendment_Effective_Date__c, Amendment_ARR_Impact__c, Pro_Ration_Method__c, Pro_Rated_Amount__c, and Credit_Amount__c for audit compliance.</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TR-007</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Deploy using Metadata API v59.0 with package.xml including CustomField, Layout, FlexiPage, and ValidationRule component types.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Low</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4. Assumptions</w:t>
      </w:r>
    </w:p>
    <w:p>
      <w:pPr>
        <w:spacing w:after="200"/>
      </w:pPr>
      <w:r>
        <w:rPr>
          <w:rFonts w:ascii="Arial" w:cs="Arial" w:eastAsia="Arial" w:hAnsi="Arial"/>
          <w:sz w:val="22"/>
          <w:szCs w:val="22"/>
        </w:rPr>
        <w:t xml:space="preserve">The following assumptions have been made during the design of this solution: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7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Assumption</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A-001</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The Quote_Type__c picklist field already exists on the Quote object with an 'Amendment' value available for selection.</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A-002</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The Renewal_Contract__c lookup field already exists on the Quote object and references the Contract being amended.</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A-003</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User roles in the target org include role names containing 'Customer Ops' or 'Operations' for Customer Operations team members.</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A-004</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The Contract object has an Expected_Ren_Amount__c field that stores the expected renewal amount (ARR) used by the Original_Contract_ARR__c formula.</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A-005</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The target org has Lightning Dynamic Forms enabled, allowing conditional visibility rules on record page field sections.</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A-006</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Revenue Cloud Advanced (RCA) is enabled in the target org with Quote-to-Order conversion capabilities.</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A-007</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The 120-day renewal window is the standard business policy for restricting Sales amendment activity; this value is hardcoded in the formula and validation rules.</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A-008</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Multi-currency is enabled in the target org, as evidenced by CurrencyIsoCode fields on the Quote layout.</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5. Dependencies</w:t>
      </w:r>
    </w:p>
    <w:p>
      <w:pPr>
        <w:spacing w:after="200"/>
      </w:pPr>
      <w:r>
        <w:rPr>
          <w:rFonts w:ascii="Arial" w:cs="Arial" w:eastAsia="Arial" w:hAnsi="Arial"/>
          <w:sz w:val="22"/>
          <w:szCs w:val="22"/>
        </w:rPr>
        <w:t xml:space="preserve">The following dependencies exist for this solution:</w:t>
      </w:r>
    </w:p>
    <w:p>
      <w:pPr>
        <w:pStyle w:val="Heading2"/>
        <w:spacing w:before="240" w:after="240"/>
      </w:pPr>
      <w:r>
        <w:rPr>
          <w:rFonts w:ascii="Arial" w:cs="Arial" w:eastAsia="Arial" w:hAnsi="Arial"/>
          <w:b/>
          <w:bCs/>
          <w:color w:val="2E75B6"/>
          <w:sz w:val="26"/>
          <w:szCs w:val="26"/>
        </w:rPr>
        <w:t xml:space="preserve">5.1 Internal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Dependency</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Status</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D-001</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Quote_Type__c picklist field must exist with 'Amendment' value on the Quote object.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Deployed</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D-002</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Renewal_Contract__c lookup field on Quote must reference the Contract object with Expected_Ren_Amount__c and EndDate fields accessible.</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Deployed</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D-003</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Create New Quote Flow (Fortra_Opportunity_Create_New_Quote_From_Opportunity_Flow) must support Amendment as a Quote Type selection with Amendment Reason field.</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Deployed</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D-004</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Contract Amendment Co-Termination flows (Contract_Amendment_CoTermination, Contract_Amendment_CoTerm_Override_Detection) must be active for downstream co-termination behavior.</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Deployed</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D-005</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Contract Amendment_Reason__c field and role-based validation rules (FORTRA-CONTRACT-007) must be deployed for contract-level amendment tracking.</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Deployed</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D-006</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Discount Approval workflow must exist with DiscountApprovalStatus__c field for the Enforce_Discount_Cap validation rule.</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Deployed</w:t>
            </w:r>
          </w:p>
        </w:tc>
      </w:tr>
    </w:tbl>
    <w:p>
      <w:pPr>
        <w:spacing w:after="320"/>
      </w:pPr>
    </w:p>
    <w:p>
      <w:pPr>
        <w:pStyle w:val="Heading2"/>
        <w:spacing w:before="240" w:after="240"/>
      </w:pPr>
      <w:r>
        <w:rPr>
          <w:rFonts w:ascii="Arial" w:cs="Arial" w:eastAsia="Arial" w:hAnsi="Arial"/>
          <w:b/>
          <w:bCs/>
          <w:color w:val="2E75B6"/>
          <w:sz w:val="26"/>
          <w:szCs w:val="26"/>
        </w:rPr>
        <w:t xml:space="preserve">5.2 External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Dependency</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Owner</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E-001</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Salesforce Revenue Cloud Advanced (RCA) platform must be licensed and configured in the target org.</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Salesforce Platform Team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E-002</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User Role hierarchy must include roles with 'Customer Ops' or 'Operations' in the name for validation rule bypass logic.</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Salesforce Admin</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E-003</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Lightning Dynamic Forms must be enabled for the Quote object to support conditional field section visibility.</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Salesforce Platform Team</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6. Technical Design</w:t>
      </w:r>
    </w:p>
    <w:p>
      <w:pPr>
        <w:pStyle w:val="Heading2"/>
        <w:spacing w:before="240" w:after="240"/>
      </w:pPr>
      <w:r>
        <w:rPr>
          <w:rFonts w:ascii="Arial" w:cs="Arial" w:eastAsia="Arial" w:hAnsi="Arial"/>
          <w:b/>
          <w:bCs/>
          <w:color w:val="2E75B6"/>
          <w:sz w:val="26"/>
          <w:szCs w:val="26"/>
        </w:rPr>
        <w:t xml:space="preserve">6.1 Architecture Overview</w:t>
      </w:r>
    </w:p>
    <w:p>
      <w:pPr>
        <w:pStyle w:val="ListParagraph"/>
        <w:numPr>
          <w:ilvl w:val="0"/>
          <w:numId w:val="2"/>
        </w:numPr>
        <w:spacing w:after="120"/>
      </w:pPr>
      <w:r>
        <w:rPr>
          <w:rFonts w:ascii="Arial" w:cs="Arial" w:eastAsia="Arial" w:hAnsi="Arial"/>
          <w:sz w:val="22"/>
          <w:szCs w:val="22"/>
        </w:rPr>
        <w:t xml:space="preserve">The Amendment Quote solution follows a metadata-driven architecture using declarative Salesforce components. Custom fields, validation rules, page layouts, and FlexiPages work together to create a role-aware amendment management experience without custom Apex code.</w:t>
      </w:r>
    </w:p>
    <w:p>
      <w:pPr>
        <w:pStyle w:val="ListParagraph"/>
        <w:numPr>
          <w:ilvl w:val="0"/>
          <w:numId w:val="2"/>
        </w:numPr>
        <w:spacing w:after="120"/>
      </w:pPr>
      <w:r>
        <w:rPr>
          <w:rFonts w:ascii="Arial" w:cs="Arial" w:eastAsia="Arial" w:hAnsi="Arial"/>
          <w:b/>
          <w:bCs/>
          <w:sz w:val="22"/>
          <w:szCs w:val="22"/>
        </w:rPr>
        <w:t xml:space="preserve">The data model extends the standard Quote object with 11 custom fields organized into three functional groups:</w:t>
      </w:r>
      <w:r>
        <w:rPr>
          <w:rFonts w:ascii="Arial" w:cs="Arial" w:eastAsia="Arial" w:hAnsi="Arial"/>
          <w:sz w:val="22"/>
          <w:szCs w:val="22"/>
        </w:rPr>
        <w:t xml:space="preserve"> amendment context (reason, dates, contract reference), financial tracking (ARR impact, pro-ration, credits), and calculated metrics (original ARR, renewal window status, net change).</w:t>
      </w:r>
    </w:p>
    <w:p>
      <w:pPr>
        <w:pStyle w:val="ListParagraph"/>
        <w:numPr>
          <w:ilvl w:val="0"/>
          <w:numId w:val="2"/>
        </w:numPr>
        <w:spacing w:after="120"/>
      </w:pPr>
      <w:r>
        <w:rPr>
          <w:rFonts w:ascii="Arial" w:cs="Arial" w:eastAsia="Arial" w:hAnsi="Arial"/>
          <w:b/>
          <w:bCs/>
          <w:sz w:val="22"/>
          <w:szCs w:val="22"/>
        </w:rPr>
        <w:t xml:space="preserve">Formula fields create a real-time calculation chain:</w:t>
      </w:r>
      <w:r>
        <w:rPr>
          <w:rFonts w:ascii="Arial" w:cs="Arial" w:eastAsia="Arial" w:hAnsi="Arial"/>
          <w:sz w:val="22"/>
          <w:szCs w:val="22"/>
        </w:rPr>
        <w:t xml:space="preserve"> Renewal_Contract__c feeds Original_Contract_ARR__c and Days_Until_Renewal__c, which feeds Within_Renewal_Window__c, which in turn drives the Enforce_Amendment_Sales_Restriction validation rule. This chain ensures calculations are always current without batch processing.</w:t>
      </w:r>
    </w:p>
    <w:p>
      <w:pPr>
        <w:pStyle w:val="ListParagraph"/>
        <w:numPr>
          <w:ilvl w:val="0"/>
          <w:numId w:val="2"/>
        </w:numPr>
        <w:spacing w:after="120"/>
      </w:pPr>
      <w:r>
        <w:rPr>
          <w:rFonts w:ascii="Arial" w:cs="Arial" w:eastAsia="Arial" w:hAnsi="Arial"/>
          <w:b/>
          <w:bCs/>
          <w:sz w:val="22"/>
          <w:szCs w:val="22"/>
        </w:rPr>
        <w:t xml:space="preserve">The validation layer implements a defense-in-depth approach with four independent rules:</w:t>
      </w:r>
      <w:r>
        <w:rPr>
          <w:rFonts w:ascii="Arial" w:cs="Arial" w:eastAsia="Arial" w:hAnsi="Arial"/>
          <w:sz w:val="22"/>
          <w:szCs w:val="22"/>
        </w:rPr>
        <w:t xml:space="preserve"> data completeness (reason required, contract required), role-based restrictions (downsell/cancellation blocked for Sales), and temporal restrictions (renewal window enforcement). Each rule operates independently to avoid complex compound conditions.</w:t>
      </w:r>
    </w:p>
    <w:p>
      <w:pPr>
        <w:pStyle w:val="ListParagraph"/>
        <w:numPr>
          <w:ilvl w:val="0"/>
          <w:numId w:val="2"/>
        </w:numPr>
        <w:spacing w:after="120"/>
      </w:pPr>
      <w:r>
        <w:rPr>
          <w:rFonts w:ascii="Arial" w:cs="Arial" w:eastAsia="Arial" w:hAnsi="Arial"/>
          <w:sz w:val="22"/>
          <w:szCs w:val="22"/>
        </w:rPr>
        <w:t xml:space="preserve">The UI layer uses a dedicated Amendment Quote Layout with Lightning Dynamic Forms on the FlexiPage. Three amendment-specific sections (Amendment Details, Related Contract Information, Financial Impact) are conditionally visible only when Quote_Type__c equals Amendment, keeping the interface clean for other quote types.</w:t>
      </w:r>
    </w:p>
    <w:p>
      <w:pPr>
        <w:pStyle w:val="ListParagraph"/>
        <w:numPr>
          <w:ilvl w:val="0"/>
          <w:numId w:val="2"/>
        </w:numPr>
        <w:spacing w:after="360"/>
      </w:pPr>
      <w:r>
        <w:rPr>
          <w:rFonts w:ascii="Arial" w:cs="Arial" w:eastAsia="Arial" w:hAnsi="Arial"/>
          <w:sz w:val="22"/>
          <w:szCs w:val="22"/>
        </w:rPr>
        <w:t xml:space="preserve">Co-termination integration extends to the Contract object through two record-triggered flows that auto-populate amendment end dates and track manual overrides, ensuring consistent behavior from quote through contract lifecycle.</w:t>
      </w:r>
    </w:p>
    <w:p>
      <w:pPr>
        <w:pStyle w:val="Heading2"/>
        <w:spacing w:before="240" w:after="240"/>
      </w:pPr>
      <w:r>
        <w:rPr>
          <w:rFonts w:ascii="Arial" w:cs="Arial" w:eastAsia="Arial" w:hAnsi="Arial"/>
          <w:b/>
          <w:bCs/>
          <w:color w:val="2E75B6"/>
          <w:sz w:val="26"/>
          <w:szCs w:val="26"/>
        </w:rPr>
        <w:t xml:space="preserve">6.2 Data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180"/>
        <w:gridCol w:w="3680"/>
      </w:tblGrid>
      <w:tr>
        <w:trPr>
          <w:tblHeader/>
          <w:trHeight w:val="370" w:hRule="exact"/>
        </w:trPr>
        <w:tc>
          <w:tcPr>
            <w:tcW w:type="dxa" w:w="2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Object</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Field</w:t>
            </w:r>
          </w:p>
        </w:tc>
        <w:tc>
          <w:tcPr>
            <w:tcW w:type="dxa" w:w="3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Description</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Amendment_Reason__c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Restricted picklist with 10 values: Upsell, Cross-sell, Downsell, Full Cancellation, Withholding Tax, Billing Correction, Partner Change, Currency Change, Billing Entity Change, Other</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Amendment_Request_Date__c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Date field tracking when the amendment was originally requested</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Amendment_Effective_Date__c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Date field for when the amendment takes effect, used in billing calculations</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Amendment_ARR_Impact__c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Currency field (18,2) for ARR change amount; positive = upsell, negative = downsell</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Pro_Ration_Method__c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Restricted picklist: Daily, Monthly (default), Full Period, No Pro-ration</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Pro_Rated_Amount__c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Currency field (18,2) for calculated pro-rated charge/credit based on effective date</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Credit_Amount__c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Currency field (18,2) for credits issued on downgrades/cancellations</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Original_Contract_ARR__c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Formula: Renewal_Contract__r.Expected_Ren_Amount__c (read-only currency display)</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Days_Until_Renewal__c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Formula: Renewal_Contract__r.EndDate - TODAY() (number of days remaining)</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Within_Renewal_Window__c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Formula: TRUE when contract linked, Days_Until_Renewal between 0 and 120 inclusive</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Net_Contract_Change__c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Formula: Amendment_ARR_Impact__c - Credit_Amount__c (net financial impact)</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Contract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Parent_Contract_End_Date__c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Formula: AmendedContract.EndDate (displays parent contract end date for co-termination reference)</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Contract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Co_Term_Overridden__c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Checkbox tracking manual override of co-termination end date</w:t>
            </w:r>
          </w:p>
        </w:tc>
      </w:tr>
    </w:tbl>
    <w:p>
      <w:pPr>
        <w:spacing w:after="320"/>
      </w:pPr>
    </w:p>
    <w:p>
      <w:pPr>
        <w:pStyle w:val="Heading3"/>
        <w:spacing w:before="200" w:after="160"/>
      </w:pPr>
      <w:r>
        <w:rPr>
          <w:rFonts w:ascii="Arial" w:cs="Arial" w:eastAsia="Arial" w:hAnsi="Arial"/>
          <w:b/>
          <w:bCs/>
          <w:color w:val="404040"/>
          <w:sz w:val="24"/>
          <w:szCs w:val="24"/>
        </w:rPr>
        <w:t xml:space="preserve">6.2.1 Field Mappings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Height w:val="370" w:hRule="exact"/>
        </w:trPr>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Source Field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Target Field</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Contract.Expected_Ren_Amount__c (via Renewal_Contract__c)</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Quote.Original_Contract_ARR__c (formula)</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Contract.EndDate (via Renewal_Contract__c)</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Quote.Days_Until_Renewal__c (formula calculation)</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Quote.Amendment_ARR_Impact__c - Quote.Credit_Amount__c</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Quote.Net_Contract_Change__c (formula)</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Quote.Days_Until_Renewal__c (0-120 range check)</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Quote.Within_Renewal_Window__c (formula)</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Parent Contract.EndDate (via AmendedContractId)</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Amendment Contract.EndDate (flow auto-populate)</w:t>
            </w:r>
          </w:p>
        </w:tc>
      </w:tr>
    </w:tbl>
    <w:p>
      <w:pPr>
        <w:spacing w:after="320"/>
      </w:pPr>
    </w:p>
    <w:p>
      <w:pPr>
        <w:pStyle w:val="Heading2"/>
        <w:spacing w:before="240" w:after="240"/>
      </w:pPr>
      <w:r>
        <w:rPr>
          <w:rFonts w:ascii="Arial" w:cs="Arial" w:eastAsia="Arial" w:hAnsi="Arial"/>
          <w:b/>
          <w:bCs/>
          <w:color w:val="2E75B6"/>
          <w:sz w:val="26"/>
          <w:szCs w:val="26"/>
        </w:rPr>
        <w:t xml:space="preserve">6.3 Business Logic</w:t>
      </w:r>
    </w:p>
    <w:p>
      <w:pPr>
        <w:pStyle w:val="ListParagraph"/>
        <w:numPr>
          <w:ilvl w:val="0"/>
          <w:numId w:val="2"/>
        </w:numPr>
        <w:spacing w:after="120"/>
      </w:pPr>
      <w:r>
        <w:rPr>
          <w:rFonts w:ascii="Arial" w:cs="Arial" w:eastAsia="Arial" w:hAnsi="Arial"/>
          <w:b/>
          <w:bCs/>
          <w:sz w:val="22"/>
          <w:szCs w:val="22"/>
        </w:rPr>
        <w:t xml:space="preserve">Require_Amendment_Reason:</w:t>
      </w:r>
      <w:r>
        <w:rPr>
          <w:rFonts w:ascii="Arial" w:cs="Arial" w:eastAsia="Arial" w:hAnsi="Arial"/>
          <w:sz w:val="22"/>
          <w:szCs w:val="22"/>
        </w:rPr>
        <w:t xml:space="preserve"> When Quote_Type__c = 'Amendment' AND Amendment_Reason__c is blank, block save with error 'Amendment Reason is required for all amendment quotes.'</w:t>
      </w:r>
    </w:p>
    <w:p>
      <w:pPr>
        <w:pStyle w:val="ListParagraph"/>
        <w:numPr>
          <w:ilvl w:val="0"/>
          <w:numId w:val="2"/>
        </w:numPr>
        <w:spacing w:after="120"/>
      </w:pPr>
      <w:r>
        <w:rPr>
          <w:rFonts w:ascii="Arial" w:cs="Arial" w:eastAsia="Arial" w:hAnsi="Arial"/>
          <w:b/>
          <w:bCs/>
          <w:sz w:val="22"/>
          <w:szCs w:val="22"/>
        </w:rPr>
        <w:t xml:space="preserve">Amendment_Requires_Contract:</w:t>
      </w:r>
      <w:r>
        <w:rPr>
          <w:rFonts w:ascii="Arial" w:cs="Arial" w:eastAsia="Arial" w:hAnsi="Arial"/>
          <w:sz w:val="22"/>
          <w:szCs w:val="22"/>
        </w:rPr>
        <w:t xml:space="preserve"> When Quote_Type__c = 'Amendment' AND Renewal_Contract__c is blank, block save with error 'Amendment quotes must be linked to the original Contract being amended.'</w:t>
      </w:r>
    </w:p>
    <w:p>
      <w:pPr>
        <w:pStyle w:val="ListParagraph"/>
        <w:numPr>
          <w:ilvl w:val="0"/>
          <w:numId w:val="2"/>
        </w:numPr>
        <w:spacing w:after="120"/>
      </w:pPr>
      <w:r>
        <w:rPr>
          <w:rFonts w:ascii="Arial" w:cs="Arial" w:eastAsia="Arial" w:hAnsi="Arial"/>
          <w:b/>
          <w:bCs/>
          <w:sz w:val="22"/>
          <w:szCs w:val="22"/>
        </w:rPr>
        <w:t xml:space="preserve">Sales_Cannot_Create_Downsell:</w:t>
      </w:r>
      <w:r>
        <w:rPr>
          <w:rFonts w:ascii="Arial" w:cs="Arial" w:eastAsia="Arial" w:hAnsi="Arial"/>
          <w:sz w:val="22"/>
          <w:szCs w:val="22"/>
        </w:rPr>
        <w:t xml:space="preserve"> When Quote_Type__c = 'Amendment' AND Amendment_Reason__c IN (Downsell, Full Cancellation) AND UserRole does NOT contain 'Customer Ops' or 'Operations', block save with message directing user to Customer Operations.</w:t>
      </w:r>
    </w:p>
    <w:p>
      <w:pPr>
        <w:pStyle w:val="ListParagraph"/>
        <w:numPr>
          <w:ilvl w:val="0"/>
          <w:numId w:val="2"/>
        </w:numPr>
        <w:spacing w:after="120"/>
      </w:pPr>
      <w:r>
        <w:rPr>
          <w:rFonts w:ascii="Arial" w:cs="Arial" w:eastAsia="Arial" w:hAnsi="Arial"/>
          <w:b/>
          <w:bCs/>
          <w:sz w:val="22"/>
          <w:szCs w:val="22"/>
        </w:rPr>
        <w:t xml:space="preserve">Enforce_Amendment_Sales_Restriction:</w:t>
      </w:r>
      <w:r>
        <w:rPr>
          <w:rFonts w:ascii="Arial" w:cs="Arial" w:eastAsia="Arial" w:hAnsi="Arial"/>
          <w:sz w:val="22"/>
          <w:szCs w:val="22"/>
        </w:rPr>
        <w:t xml:space="preserve"> When Quote_Type__c = 'Amendment' AND Within_Renewal_Window__c = TRUE AND Amendment_Reason__c NOT IN (Upsell, Cross-sell) AND UserRole does NOT contain 'Customer Ops' or 'Operations', block save during the 120-day renewal protection window.</w:t>
      </w:r>
    </w:p>
    <w:p>
      <w:pPr>
        <w:pStyle w:val="ListParagraph"/>
        <w:numPr>
          <w:ilvl w:val="0"/>
          <w:numId w:val="2"/>
        </w:numPr>
        <w:spacing w:after="120"/>
      </w:pPr>
      <w:r>
        <w:rPr>
          <w:rFonts w:ascii="Arial" w:cs="Arial" w:eastAsia="Arial" w:hAnsi="Arial"/>
          <w:b/>
          <w:bCs/>
          <w:sz w:val="22"/>
          <w:szCs w:val="22"/>
        </w:rPr>
        <w:t xml:space="preserve">Enforce_Discount_Cap:</w:t>
      </w:r>
      <w:r>
        <w:rPr>
          <w:rFonts w:ascii="Arial" w:cs="Arial" w:eastAsia="Arial" w:hAnsi="Arial"/>
          <w:sz w:val="22"/>
          <w:szCs w:val="22"/>
        </w:rPr>
        <w:t xml:space="preserve"> When TotalDiscount__c exceeds 30% AND DiscountApprovalStatus__c is not 'Approved' AND Status = 'Presented', block save requiring Deal Desk or CFO approval.</w:t>
      </w:r>
    </w:p>
    <w:p>
      <w:pPr>
        <w:pStyle w:val="ListParagraph"/>
        <w:numPr>
          <w:ilvl w:val="0"/>
          <w:numId w:val="2"/>
        </w:numPr>
        <w:spacing w:after="120"/>
      </w:pPr>
      <w:r>
        <w:rPr>
          <w:rFonts w:ascii="Arial" w:cs="Arial" w:eastAsia="Arial" w:hAnsi="Arial"/>
          <w:b/>
          <w:bCs/>
          <w:sz w:val="22"/>
          <w:szCs w:val="22"/>
        </w:rPr>
        <w:t xml:space="preserve">Co-termination Auto-populate:</w:t>
      </w:r>
      <w:r>
        <w:rPr>
          <w:rFonts w:ascii="Arial" w:cs="Arial" w:eastAsia="Arial" w:hAnsi="Arial"/>
          <w:sz w:val="22"/>
          <w:szCs w:val="22"/>
        </w:rPr>
        <w:t xml:space="preserve"> On Contract creation where AmendedContractId is not null, auto-set EndDate to parent contract EndDate and Co_Term_Overridden__c to FALSE.</w:t>
      </w:r>
    </w:p>
    <w:p>
      <w:pPr>
        <w:pStyle w:val="ListParagraph"/>
        <w:numPr>
          <w:ilvl w:val="0"/>
          <w:numId w:val="2"/>
        </w:numPr>
        <w:spacing w:after="360"/>
      </w:pPr>
      <w:r>
        <w:rPr>
          <w:rFonts w:ascii="Arial" w:cs="Arial" w:eastAsia="Arial" w:hAnsi="Arial"/>
          <w:b/>
          <w:bCs/>
          <w:sz w:val="22"/>
          <w:szCs w:val="22"/>
        </w:rPr>
        <w:t xml:space="preserve">Co-termination Override Detection:</w:t>
      </w:r>
      <w:r>
        <w:rPr>
          <w:rFonts w:ascii="Arial" w:cs="Arial" w:eastAsia="Arial" w:hAnsi="Arial"/>
          <w:sz w:val="22"/>
          <w:szCs w:val="22"/>
        </w:rPr>
        <w:t xml:space="preserve"> On Contract update where AmendedContractId is not null and EndDate changed, compare to parent EndDate; set Co_Term_Overridden__c to TRUE if different, FALSE if matching.</w:t>
      </w:r>
    </w:p>
    <w:p>
      <w:pPr>
        <w:pStyle w:val="Heading2"/>
        <w:spacing w:before="240" w:after="240"/>
      </w:pPr>
      <w:r>
        <w:rPr>
          <w:rFonts w:ascii="Arial" w:cs="Arial" w:eastAsia="Arial" w:hAnsi="Arial"/>
          <w:b/>
          <w:bCs/>
          <w:color w:val="2E75B6"/>
          <w:sz w:val="26"/>
          <w:szCs w:val="26"/>
        </w:rPr>
        <w:t xml:space="preserve">6.4 Integration Points</w:t>
      </w:r>
    </w:p>
    <w:p>
      <w:pPr>
        <w:pStyle w:val="ListParagraph"/>
        <w:numPr>
          <w:ilvl w:val="0"/>
          <w:numId w:val="2"/>
        </w:numPr>
        <w:spacing w:after="120"/>
      </w:pPr>
      <w:r>
        <w:rPr>
          <w:rFonts w:ascii="Arial" w:cs="Arial" w:eastAsia="Arial" w:hAnsi="Arial"/>
          <w:b/>
          <w:bCs/>
          <w:sz w:val="22"/>
          <w:szCs w:val="22"/>
        </w:rPr>
        <w:t xml:space="preserve">Create New Quote Flow:</w:t>
      </w:r>
      <w:r>
        <w:rPr>
          <w:rFonts w:ascii="Arial" w:cs="Arial" w:eastAsia="Arial" w:hAnsi="Arial"/>
          <w:sz w:val="22"/>
          <w:szCs w:val="22"/>
        </w:rPr>
        <w:t xml:space="preserve"> The Fortra_Opportunity_Create_New_Quote_From_Opportunity_Flow supports Amendment as a Quote Type with conditional Amendment Reason selection. The flow maps Amendment_Reason__c and Renewal_Contract__c from user selection and Opportunity fields.</w:t>
      </w:r>
    </w:p>
    <w:p>
      <w:pPr>
        <w:pStyle w:val="ListParagraph"/>
        <w:numPr>
          <w:ilvl w:val="0"/>
          <w:numId w:val="2"/>
        </w:numPr>
        <w:spacing w:after="120"/>
      </w:pPr>
      <w:r>
        <w:rPr>
          <w:rFonts w:ascii="Arial" w:cs="Arial" w:eastAsia="Arial" w:hAnsi="Arial"/>
          <w:b/>
          <w:bCs/>
          <w:sz w:val="22"/>
          <w:szCs w:val="22"/>
        </w:rPr>
        <w:t xml:space="preserve">Quote-to-Order Conversion:</w:t>
      </w:r>
      <w:r>
        <w:rPr>
          <w:rFonts w:ascii="Arial" w:cs="Arial" w:eastAsia="Arial" w:hAnsi="Arial"/>
          <w:sz w:val="22"/>
          <w:szCs w:val="22"/>
        </w:rPr>
        <w:t xml:space="preserve"> Amendment quotes follow the standard Q2O pipeline (Fortra_Quote_to_Order_Conversion), with amendment-specific fields carrying through to the Order for downstream processing.</w:t>
      </w:r>
    </w:p>
    <w:p>
      <w:pPr>
        <w:pStyle w:val="ListParagraph"/>
        <w:numPr>
          <w:ilvl w:val="0"/>
          <w:numId w:val="2"/>
        </w:numPr>
        <w:spacing w:after="120"/>
      </w:pPr>
      <w:r>
        <w:rPr>
          <w:rFonts w:ascii="Arial" w:cs="Arial" w:eastAsia="Arial" w:hAnsi="Arial"/>
          <w:b/>
          <w:bCs/>
          <w:sz w:val="22"/>
          <w:szCs w:val="22"/>
        </w:rPr>
        <w:t xml:space="preserve">Contract Co-termination Flows:</w:t>
      </w:r>
      <w:r>
        <w:rPr>
          <w:rFonts w:ascii="Arial" w:cs="Arial" w:eastAsia="Arial" w:hAnsi="Arial"/>
          <w:sz w:val="22"/>
          <w:szCs w:val="22"/>
        </w:rPr>
        <w:t xml:space="preserve"> Two record-triggered flows (Contract_Amendment_CoTermination, Contract_Amendment_CoTerm_Override_Detection) automatically manage amendment end dates on the Contract object.</w:t>
      </w:r>
    </w:p>
    <w:p>
      <w:pPr>
        <w:pStyle w:val="ListParagraph"/>
        <w:numPr>
          <w:ilvl w:val="0"/>
          <w:numId w:val="2"/>
        </w:numPr>
        <w:spacing w:after="120"/>
      </w:pPr>
      <w:r>
        <w:rPr>
          <w:rFonts w:ascii="Arial" w:cs="Arial" w:eastAsia="Arial" w:hAnsi="Arial"/>
          <w:b/>
          <w:bCs/>
          <w:sz w:val="22"/>
          <w:szCs w:val="22"/>
        </w:rPr>
        <w:t xml:space="preserve">Approval Workflow:</w:t>
      </w:r>
      <w:r>
        <w:rPr>
          <w:rFonts w:ascii="Arial" w:cs="Arial" w:eastAsia="Arial" w:hAnsi="Arial"/>
          <w:sz w:val="22"/>
          <w:szCs w:val="22"/>
        </w:rPr>
        <w:t xml:space="preserve"> The Enforce_Discount_Cap validation rule integrates with the existing discount approval process via DiscountApprovalStatus__c field.</w:t>
      </w:r>
    </w:p>
    <w:p>
      <w:pPr>
        <w:pStyle w:val="ListParagraph"/>
        <w:numPr>
          <w:ilvl w:val="0"/>
          <w:numId w:val="2"/>
        </w:numPr>
        <w:spacing w:after="360"/>
      </w:pPr>
      <w:r>
        <w:rPr>
          <w:rFonts w:ascii="Arial" w:cs="Arial" w:eastAsia="Arial" w:hAnsi="Arial"/>
          <w:b/>
          <w:bCs/>
          <w:sz w:val="22"/>
          <w:szCs w:val="22"/>
        </w:rPr>
        <w:t xml:space="preserve">Metadata API v59.0:</w:t>
      </w:r>
      <w:r>
        <w:rPr>
          <w:rFonts w:ascii="Arial" w:cs="Arial" w:eastAsia="Arial" w:hAnsi="Arial"/>
          <w:sz w:val="22"/>
          <w:szCs w:val="22"/>
        </w:rPr>
        <w:t xml:space="preserve"> The solution deploys via package.xml containing 11 CustomField, 1 Layout, 1 FlexiPage, and 4 ValidationRule components.</w:t>
      </w:r>
    </w:p>
    <w:sectPr>
      <w:headerReference w:type="default" r:id="rId6"/>
      <w:footerReference w:type="default" r:id="rId7"/>
      <w:pgSz w:w="11906" w:h="16838" w:orient="portrait"/>
      <w:pgMar w:top="1440" w:right="1440" w:bottom="1440" w:left="1440" w:header="48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08080"/>
        <w:sz w:val="18"/>
        <w:szCs w:val="18"/>
      </w:rPr>
      <w:t xml:space="preserve">Quotes Amendments - Solution Design</w:t>
    </w:r>
    <w:r>
      <w:tab/>
    </w:r>
    <w:r>
      <w:rPr>
        <w:rFonts w:ascii="Arial" w:cs="Arial" w:eastAsia="Arial" w:hAnsi="Arial"/>
        <w:color w:val="808080"/>
        <w:sz w:val="18"/>
        <w:szCs w:val="18"/>
      </w:rPr>
      <w:t xml:space="preserve">Page </w:t>
    </w:r>
    <w:r>
      <w:rPr>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877"/>
      <w:tblBorders>
        <w:top w:val="single" w:color="auto" w:sz="4"/>
        <w:left w:val="single" w:color="auto" w:sz="4"/>
        <w:bottom w:val="single" w:color="auto" w:sz="4"/>
        <w:right w:val="single" w:color="auto" w:sz="4"/>
        <w:insideH w:val="single" w:color="auto" w:sz="4"/>
        <w:insideV w:val="single" w:color="auto" w:sz="4"/>
      </w:tblBorders>
    </w:tblPr>
    <w:tblGrid>
      <w:gridCol w:w="2525"/>
      <w:gridCol w:w="6352"/>
    </w:tblGrid>
    <w:tr>
      <w:tc>
        <w:tcPr>
          <w:tcW w:type="dxa" w:w="2525"/>
          <w:tcBorders>
            <w:top w:val="none" w:color="FFFFFF" w:sz="0"/>
            <w:left w:val="none" w:color="FFFFFF" w:sz="0"/>
            <w:bottom w:val="none" w:color="FFFFFF" w:sz="0"/>
            <w:right w:val="single" w:color="auto" w:sz="4"/>
          </w:tcBorders>
          <w:vAlign w:val="center"/>
        </w:tcPr>
        <w:p>
          <w:pPr>
            <w:ind w:right="-490"/>
          </w:pPr>
          <w:r>
            <w:drawing>
              <wp:inline distT="0" distB="0" distL="0" distR="0">
                <wp:extent cx="14287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257175"/>
                        </a:xfrm>
                        <a:prstGeom prst="rect">
                          <a:avLst/>
                        </a:prstGeom>
                      </pic:spPr>
                    </pic:pic>
                  </a:graphicData>
                </a:graphic>
              </wp:inline>
            </w:drawing>
          </w:r>
        </w:p>
      </w:tc>
      <w:tc>
        <w:tcPr>
          <w:tcW w:type="dxa" w:w="6352"/>
          <w:tcBorders>
            <w:top w:val="none" w:color="FFFFFF" w:sz="0"/>
            <w:left w:val="single" w:color="auto" w:sz="4"/>
            <w:bottom w:val="none" w:color="FFFFFF" w:sz="0"/>
            <w:right w:val="none" w:color="FFFFFF" w:sz="0"/>
          </w:tcBorders>
          <w:tcMar>
            <w:left w:type="dxa" w:w="86"/>
          </w:tcMar>
          <w:vAlign w:val="center"/>
        </w:tcPr>
        <w:p>
          <w:pPr>
            <w:ind w:left="181"/>
          </w:pPr>
          <w:r>
            <w:drawing>
              <wp:inline distT="0" distB="0" distL="0" distR="0">
                <wp:extent cx="142875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428750" cy="371475"/>
                        </a:xfrm>
                        <a:prstGeom prst="rect">
                          <a:avLst/>
                        </a:prstGeom>
                      </pic:spPr>
                    </pic:pic>
                  </a:graphicData>
                </a:graphic>
              </wp:inline>
            </w:drawing>
          </w:r>
        </w:p>
      </w:tc>
    </w:tr>
  </w:tbl>
  <w:p>
    <w:pPr>
      <w:spacing w:after="7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E4D78"/>
      <w:sz w:val="56"/>
      <w:szCs w:val="56"/>
    </w:rPr>
  </w:style>
  <w:style w:type="paragraph" w:styleId="Heading1">
    <w:name w:val="Heading 1"/>
    <w:basedOn w:val="Normal"/>
    <w:next w:val="Normal"/>
    <w:qFormat/>
    <w:pPr>
      <w:spacing w:before="320" w:after="360"/>
      <w:outlineLvl w:val="0"/>
    </w:pPr>
    <w:rPr>
      <w:rFonts w:ascii="Arial" w:cs="Arial" w:eastAsia="Arial" w:hAnsi="Arial"/>
      <w:b/>
      <w:bCs/>
      <w:color w:val="1E4D78"/>
      <w:sz w:val="32"/>
      <w:szCs w:val="32"/>
    </w:rPr>
  </w:style>
  <w:style w:type="paragraph" w:styleId="Heading2">
    <w:name w:val="Heading 2"/>
    <w:basedOn w:val="Normal"/>
    <w:next w:val="Normal"/>
    <w:qFormat/>
    <w:pPr>
      <w:spacing w:before="240" w:after="2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ee5d470aa1bc780698c60019f64f5cca3c657de.undefined"/><Relationship Id="rId1" Type="http://schemas.openxmlformats.org/officeDocument/2006/relationships/image" Target="media/16c83372ab012fc47e0c92e5423931bc9e0543a3.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2026-02-18T17:14:10.708Z</dcterms:created>
  <dcterms:modified xsi:type="dcterms:W3CDTF">2026-02-18T17:14:10.708Z</dcterms:modified>
</cp:coreProperties>
</file>

<file path=docProps/custom.xml><?xml version="1.0" encoding="utf-8"?>
<Properties xmlns="http://schemas.openxmlformats.org/officeDocument/2006/custom-properties" xmlns:vt="http://schemas.openxmlformats.org/officeDocument/2006/docPropsVTypes"/>
</file>