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7AF8" w14:textId="77777777" w:rsidR="00CD2E96" w:rsidRDefault="00CD2E96">
      <w:pPr>
        <w:spacing w:before="2400"/>
      </w:pPr>
    </w:p>
    <w:p w14:paraId="4CC45063" w14:textId="77777777" w:rsidR="00CD2E96" w:rsidRDefault="00000000">
      <w:pPr>
        <w:pStyle w:val="Title"/>
      </w:pPr>
      <w:r>
        <w:t>Opportunity Legal Entity Change</w:t>
      </w:r>
    </w:p>
    <w:p w14:paraId="224CCD11" w14:textId="77777777" w:rsidR="00CD2E96" w:rsidRDefault="00000000">
      <w:pPr>
        <w:spacing w:after="200"/>
        <w:jc w:val="center"/>
      </w:pPr>
      <w:r>
        <w:rPr>
          <w:color w:val="404040"/>
          <w:sz w:val="36"/>
          <w:szCs w:val="36"/>
        </w:rPr>
        <w:t>Solution Design Document</w:t>
      </w:r>
    </w:p>
    <w:p w14:paraId="7763DC9D" w14:textId="77777777" w:rsidR="00CD2E96" w:rsidRDefault="00000000">
      <w:pPr>
        <w:spacing w:after="600"/>
        <w:jc w:val="center"/>
      </w:pPr>
      <w:r>
        <w:rPr>
          <w:color w:val="808080"/>
          <w:sz w:val="28"/>
          <w:szCs w:val="28"/>
        </w:rPr>
        <w:t xml:space="preserve">Prepared for </w:t>
      </w:r>
      <w:proofErr w:type="spellStart"/>
      <w:r>
        <w:rPr>
          <w:color w:val="808080"/>
          <w:sz w:val="28"/>
          <w:szCs w:val="28"/>
        </w:rPr>
        <w:t>Fortra</w:t>
      </w:r>
      <w:proofErr w:type="spellEnd"/>
    </w:p>
    <w:p w14:paraId="4D137243" w14:textId="77777777" w:rsidR="00CD2E96" w:rsidRDefault="00000000">
      <w:r>
        <w:br w:type="page"/>
      </w:r>
    </w:p>
    <w:p w14:paraId="7E135E83" w14:textId="77777777" w:rsidR="00CD2E96" w:rsidRDefault="00000000">
      <w:pPr>
        <w:pStyle w:val="Heading1"/>
      </w:pPr>
      <w:bookmarkStart w:id="0" w:name="_Toc222309497"/>
      <w:r>
        <w:lastRenderedPageBreak/>
        <w:t>Table of Contents</w:t>
      </w:r>
      <w:bookmarkEnd w:id="0"/>
    </w:p>
    <w:sdt>
      <w:sdtPr>
        <w:alias w:val="Table of Contents"/>
        <w:id w:val="-426273239"/>
      </w:sdtPr>
      <w:sdtContent>
        <w:p w14:paraId="481DB031" w14:textId="77777777" w:rsidR="002242ED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309497" w:history="1">
            <w:r w:rsidR="002242ED" w:rsidRPr="00C3558F">
              <w:rPr>
                <w:rStyle w:val="Hyperlink"/>
                <w:noProof/>
              </w:rPr>
              <w:t>Table of Contents</w:t>
            </w:r>
            <w:r w:rsidR="002242ED">
              <w:rPr>
                <w:noProof/>
              </w:rPr>
              <w:tab/>
            </w:r>
            <w:r w:rsidR="002242ED">
              <w:rPr>
                <w:noProof/>
              </w:rPr>
              <w:fldChar w:fldCharType="begin"/>
            </w:r>
            <w:r w:rsidR="002242ED">
              <w:rPr>
                <w:noProof/>
              </w:rPr>
              <w:instrText xml:space="preserve"> PAGEREF _Toc222309497 \h </w:instrText>
            </w:r>
            <w:r w:rsidR="002242ED">
              <w:rPr>
                <w:noProof/>
              </w:rPr>
            </w:r>
            <w:r w:rsidR="002242ED">
              <w:rPr>
                <w:noProof/>
              </w:rPr>
              <w:fldChar w:fldCharType="separate"/>
            </w:r>
            <w:r w:rsidR="002242ED">
              <w:rPr>
                <w:noProof/>
              </w:rPr>
              <w:t>2</w:t>
            </w:r>
            <w:r w:rsidR="002242ED">
              <w:rPr>
                <w:noProof/>
              </w:rPr>
              <w:fldChar w:fldCharType="end"/>
            </w:r>
          </w:hyperlink>
        </w:p>
        <w:p w14:paraId="35FD1128" w14:textId="77777777" w:rsidR="002242ED" w:rsidRDefault="002242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9498" w:history="1">
            <w:r w:rsidRPr="00C3558F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87FEB4" w14:textId="77777777" w:rsidR="002242ED" w:rsidRDefault="002242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09499" w:history="1">
            <w:r w:rsidRPr="00C3558F">
              <w:rPr>
                <w:rStyle w:val="Hyperlink"/>
                <w:noProof/>
              </w:rPr>
              <w:t>1.1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430AB2" w14:textId="77777777" w:rsidR="002242ED" w:rsidRDefault="002242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9500" w:history="1">
            <w:r w:rsidRPr="00C3558F">
              <w:rPr>
                <w:rStyle w:val="Hyperlink"/>
                <w:noProof/>
              </w:rPr>
              <w:t>2. Solution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FE1732" w14:textId="77777777" w:rsidR="002242ED" w:rsidRDefault="002242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09501" w:history="1">
            <w:r w:rsidRPr="00C3558F">
              <w:rPr>
                <w:rStyle w:val="Hyperlink"/>
                <w:noProof/>
              </w:rPr>
              <w:t>2.1 Process Flow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CCAC69" w14:textId="77777777" w:rsidR="002242ED" w:rsidRDefault="002242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09502" w:history="1">
            <w:r w:rsidRPr="00C3558F">
              <w:rPr>
                <w:rStyle w:val="Hyperlink"/>
                <w:noProof/>
              </w:rPr>
              <w:t>2.2 Solution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FF0A6B" w14:textId="77777777" w:rsidR="002242ED" w:rsidRDefault="002242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9503" w:history="1">
            <w:r w:rsidRPr="00C3558F">
              <w:rPr>
                <w:rStyle w:val="Hyperlink"/>
                <w:noProof/>
              </w:rPr>
              <w:t>3.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3F6F49" w14:textId="77777777" w:rsidR="002242ED" w:rsidRDefault="002242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09504" w:history="1">
            <w:r w:rsidRPr="00C3558F">
              <w:rPr>
                <w:rStyle w:val="Hyperlink"/>
                <w:noProof/>
              </w:rPr>
              <w:t>3.1 Business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9CF0C6" w14:textId="77777777" w:rsidR="002242ED" w:rsidRDefault="002242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09505" w:history="1">
            <w:r w:rsidRPr="00C3558F">
              <w:rPr>
                <w:rStyle w:val="Hyperlink"/>
                <w:noProof/>
              </w:rPr>
              <w:t>3.2 Technical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CDD10C" w14:textId="77777777" w:rsidR="002242ED" w:rsidRDefault="002242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9506" w:history="1">
            <w:r w:rsidRPr="00C3558F">
              <w:rPr>
                <w:rStyle w:val="Hyperlink"/>
                <w:noProof/>
              </w:rPr>
              <w:t>4.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D974A1" w14:textId="77777777" w:rsidR="002242ED" w:rsidRDefault="002242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9507" w:history="1">
            <w:r w:rsidRPr="00C3558F">
              <w:rPr>
                <w:rStyle w:val="Hyperlink"/>
                <w:noProof/>
              </w:rPr>
              <w:t>5.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5C11F7" w14:textId="77777777" w:rsidR="002242ED" w:rsidRDefault="002242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09508" w:history="1">
            <w:r w:rsidRPr="00C3558F">
              <w:rPr>
                <w:rStyle w:val="Hyperlink"/>
                <w:noProof/>
              </w:rPr>
              <w:t>5.1 Internal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2A0387" w14:textId="77777777" w:rsidR="002242ED" w:rsidRDefault="002242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09509" w:history="1">
            <w:r w:rsidRPr="00C3558F">
              <w:rPr>
                <w:rStyle w:val="Hyperlink"/>
                <w:noProof/>
              </w:rPr>
              <w:t>5.2 External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D620DE" w14:textId="77777777" w:rsidR="002242ED" w:rsidRDefault="002242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09510" w:history="1">
            <w:r w:rsidRPr="00C3558F">
              <w:rPr>
                <w:rStyle w:val="Hyperlink"/>
                <w:noProof/>
              </w:rPr>
              <w:t>6. Technical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B7C1C9" w14:textId="77777777" w:rsidR="002242ED" w:rsidRDefault="002242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09511" w:history="1">
            <w:r w:rsidRPr="00C3558F">
              <w:rPr>
                <w:rStyle w:val="Hyperlink"/>
                <w:noProof/>
              </w:rPr>
              <w:t>6.1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920D65" w14:textId="77777777" w:rsidR="002242ED" w:rsidRDefault="002242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09512" w:history="1">
            <w:r w:rsidRPr="00C3558F">
              <w:rPr>
                <w:rStyle w:val="Hyperlink"/>
                <w:noProof/>
              </w:rPr>
              <w:t>6.2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189935" w14:textId="77777777" w:rsidR="002242ED" w:rsidRDefault="002242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09513" w:history="1">
            <w:r w:rsidRPr="00C3558F">
              <w:rPr>
                <w:rStyle w:val="Hyperlink"/>
                <w:noProof/>
              </w:rPr>
              <w:t>6.2.1 Field Mappings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BA64F7" w14:textId="77777777" w:rsidR="002242ED" w:rsidRDefault="002242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09514" w:history="1">
            <w:r w:rsidRPr="00C3558F">
              <w:rPr>
                <w:rStyle w:val="Hyperlink"/>
                <w:noProof/>
              </w:rPr>
              <w:t>6.3 Business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C021FD" w14:textId="77777777" w:rsidR="002242ED" w:rsidRDefault="002242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09515" w:history="1">
            <w:r w:rsidRPr="00C3558F">
              <w:rPr>
                <w:rStyle w:val="Hyperlink"/>
                <w:noProof/>
              </w:rPr>
              <w:t>6.4 Integration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_Toc222309515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E49A9D" w14:textId="77777777" w:rsidR="00CD2E96" w:rsidRDefault="00000000">
          <w:r>
            <w:fldChar w:fldCharType="end"/>
          </w:r>
        </w:p>
      </w:sdtContent>
    </w:sdt>
    <w:p w14:paraId="440C3940" w14:textId="77777777" w:rsidR="00CD2E96" w:rsidRDefault="00000000">
      <w:r>
        <w:br w:type="page"/>
      </w:r>
    </w:p>
    <w:p w14:paraId="23FD1947" w14:textId="77777777" w:rsidR="00CD2E96" w:rsidRDefault="00000000">
      <w:pPr>
        <w:pStyle w:val="Heading1"/>
      </w:pPr>
      <w:bookmarkStart w:id="1" w:name="_Toc222309498"/>
      <w:r>
        <w:lastRenderedPageBreak/>
        <w:t>1. Executive Summary</w:t>
      </w:r>
      <w:bookmarkEnd w:id="1"/>
    </w:p>
    <w:p w14:paraId="3FBF8824" w14:textId="77777777" w:rsidR="00CD2E96" w:rsidRDefault="00000000">
      <w:pPr>
        <w:spacing w:after="200"/>
      </w:pPr>
      <w:r>
        <w:t xml:space="preserve">This document describes the Opportunity Legal Entity Change solution implemented for </w:t>
      </w:r>
      <w:proofErr w:type="spellStart"/>
      <w:r>
        <w:t>Fortra</w:t>
      </w:r>
      <w:proofErr w:type="spellEnd"/>
      <w:r>
        <w:t xml:space="preserve"> as part of the Revenue Cloud Advanced (RCA) migration. The solution provides a guided workflow for changing the Legal Entity on an Opportunity while enforcing data integrity rules around multi-currency Quote management.</w:t>
      </w:r>
    </w:p>
    <w:p w14:paraId="31D6B4A1" w14:textId="77777777" w:rsidR="00CD2E96" w:rsidRDefault="00000000">
      <w:pPr>
        <w:spacing w:after="200"/>
      </w:pPr>
      <w:r>
        <w:t>In Salesforce Revenue Cloud, each Legal Entity is associated with a specific currency (</w:t>
      </w:r>
      <w:proofErr w:type="spellStart"/>
      <w:r>
        <w:t>CurrencyIsoCode</w:t>
      </w:r>
      <w:proofErr w:type="spellEnd"/>
      <w:r>
        <w:t>). When a user changes the Legal Entity on an Opportunity, the system must handle currency alignment. If the new Legal Entity uses a different currency than the current Opportunity currency and Quotes already exist, Salesforce does not allow a direct currency change on the Opportunity. This solution addresses that constraint with a screen flow launched via a Quick Action that guides users through the necessary steps.</w:t>
      </w:r>
    </w:p>
    <w:p w14:paraId="14DC5F61" w14:textId="77777777" w:rsidR="00CD2E96" w:rsidRDefault="00000000">
      <w:pPr>
        <w:spacing w:after="200"/>
      </w:pPr>
      <w:r>
        <w:t>The solution consists of 6 components deployed across 4 phases: a screen flow for the guided workflow, two record-triggered flows for maintaining a denormalized Quote Count, a custom field for the count, a validation rule to enforce the Quick Action workflow, and the Quick Action itself. The approach balances user experience with data integrity by offering clear options when conflicts arise.</w:t>
      </w:r>
    </w:p>
    <w:p w14:paraId="6543CC60" w14:textId="77777777" w:rsidR="00CD2E96" w:rsidRDefault="00000000">
      <w:pPr>
        <w:pStyle w:val="Heading2"/>
      </w:pPr>
      <w:bookmarkStart w:id="2" w:name="_Toc222309499"/>
      <w:r>
        <w:t>1.1 Key Features</w:t>
      </w:r>
      <w:bookmarkEnd w:id="2"/>
    </w:p>
    <w:p w14:paraId="75046B4B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t>Guided screen flow (Quick Action) that walks users through Legal Entity changes with context-aware decision branching based on currency match and existing Quote count</w:t>
      </w:r>
    </w:p>
    <w:p w14:paraId="45951614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Automatic currency alignment:</w:t>
      </w:r>
      <w:r>
        <w:t xml:space="preserve"> when the new Legal Entity uses the same currency, the flow updates only the Legal Entity field; when currencies differ and no Quotes exist, both Legal Entity and Currency are updated automatically</w:t>
      </w:r>
    </w:p>
    <w:p w14:paraId="037CE472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Quote deletion workflow:</w:t>
      </w:r>
      <w:r>
        <w:t xml:space="preserve"> when currencies differ and Quotes exist, the flow presents a clear warning explaining the impact and offers the user a choice to delete all Quotes and proceed or cancel the operation</w:t>
      </w:r>
    </w:p>
    <w:p w14:paraId="6954A175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t>Denormalized Quote Count field (</w:t>
      </w:r>
      <w:proofErr w:type="spellStart"/>
      <w:r>
        <w:t>Quote_Count__c</w:t>
      </w:r>
      <w:proofErr w:type="spellEnd"/>
      <w:r>
        <w:t>) maintained by paired record-triggered flows on Quote create and delete events for real-time accuracy</w:t>
      </w:r>
    </w:p>
    <w:p w14:paraId="6EC3009C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t>Validation rule (</w:t>
      </w:r>
      <w:proofErr w:type="spellStart"/>
      <w:r>
        <w:t>Legal_Entity_Requires_Action</w:t>
      </w:r>
      <w:proofErr w:type="spellEnd"/>
      <w:r>
        <w:t>) that prevents direct Legal Entity changes via inline edit when Quotes exist and currency mismatch is detected, directing users to the Quick Action instead</w:t>
      </w:r>
    </w:p>
    <w:p w14:paraId="49FB4B38" w14:textId="77777777" w:rsidR="00CD2E96" w:rsidRDefault="00000000">
      <w:pPr>
        <w:pStyle w:val="ListParagraph"/>
        <w:numPr>
          <w:ilvl w:val="0"/>
          <w:numId w:val="2"/>
        </w:numPr>
        <w:spacing w:after="360"/>
      </w:pPr>
      <w:r>
        <w:t>Comprehensive error handling with fault connectors on all DML operations and user-friendly error display screens</w:t>
      </w:r>
    </w:p>
    <w:p w14:paraId="4881886C" w14:textId="77777777" w:rsidR="00CD2E96" w:rsidRDefault="00000000">
      <w:r>
        <w:br w:type="page"/>
      </w:r>
    </w:p>
    <w:p w14:paraId="2C5B7259" w14:textId="77777777" w:rsidR="00CD2E96" w:rsidRDefault="00000000">
      <w:pPr>
        <w:pStyle w:val="Heading1"/>
      </w:pPr>
      <w:bookmarkStart w:id="3" w:name="_Toc222309500"/>
      <w:r>
        <w:lastRenderedPageBreak/>
        <w:t>2. Solution Overview</w:t>
      </w:r>
      <w:bookmarkEnd w:id="3"/>
    </w:p>
    <w:p w14:paraId="4B3E9560" w14:textId="77777777" w:rsidR="00CD2E96" w:rsidRDefault="00000000">
      <w:pPr>
        <w:pStyle w:val="Heading2"/>
      </w:pPr>
      <w:bookmarkStart w:id="4" w:name="_Toc222309501"/>
      <w:r>
        <w:t>2.1 Process Flow Summary</w:t>
      </w:r>
      <w:bookmarkEnd w:id="4"/>
    </w:p>
    <w:p w14:paraId="3AF563EF" w14:textId="77777777" w:rsidR="00CD2E96" w:rsidRDefault="00000000">
      <w:pPr>
        <w:spacing w:after="200"/>
      </w:pPr>
      <w:r>
        <w:t>The Opportunity Legal Entity Change solution follows this sequence:</w:t>
      </w:r>
    </w:p>
    <w:p w14:paraId="73079C6A" w14:textId="77777777" w:rsidR="00CD2E96" w:rsidRDefault="00000000">
      <w:pPr>
        <w:pStyle w:val="ListParagraph"/>
        <w:numPr>
          <w:ilvl w:val="0"/>
          <w:numId w:val="3"/>
        </w:numPr>
        <w:spacing w:after="120"/>
      </w:pPr>
      <w:r>
        <w:t>User clicks the 'Change Legal Entity' Quick Action button on the Opportunity record page action bar</w:t>
      </w:r>
    </w:p>
    <w:p w14:paraId="0608917C" w14:textId="77777777" w:rsidR="00CD2E96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The screen flow loads and queries the current Opportunity including </w:t>
      </w:r>
      <w:proofErr w:type="spellStart"/>
      <w:r>
        <w:t>Legal_Entity__c</w:t>
      </w:r>
      <w:proofErr w:type="spellEnd"/>
      <w:r>
        <w:t xml:space="preserve">, </w:t>
      </w:r>
      <w:proofErr w:type="spellStart"/>
      <w:r>
        <w:t>CurrencyIsoCode</w:t>
      </w:r>
      <w:proofErr w:type="spellEnd"/>
      <w:r>
        <w:t xml:space="preserve">, and </w:t>
      </w:r>
      <w:proofErr w:type="spellStart"/>
      <w:r>
        <w:t>Quote_Count__c</w:t>
      </w:r>
      <w:proofErr w:type="spellEnd"/>
      <w:r>
        <w:t>, then displays the current Legal Entity and currency to the user</w:t>
      </w:r>
    </w:p>
    <w:p w14:paraId="11C20902" w14:textId="77777777" w:rsidR="00CD2E96" w:rsidRDefault="00000000">
      <w:pPr>
        <w:pStyle w:val="ListParagraph"/>
        <w:numPr>
          <w:ilvl w:val="0"/>
          <w:numId w:val="3"/>
        </w:numPr>
        <w:spacing w:after="120"/>
      </w:pPr>
      <w:r>
        <w:t>User selects a new Legal Entity from a lookup field pre-populated with the current Legal Entity value</w:t>
      </w:r>
    </w:p>
    <w:p w14:paraId="5BE045BA" w14:textId="77777777" w:rsidR="00CD2E96" w:rsidRDefault="00000000">
      <w:pPr>
        <w:pStyle w:val="ListParagraph"/>
        <w:numPr>
          <w:ilvl w:val="0"/>
          <w:numId w:val="3"/>
        </w:numPr>
        <w:spacing w:after="120"/>
      </w:pPr>
      <w:r>
        <w:t xml:space="preserve">The flow queries the selected </w:t>
      </w:r>
      <w:proofErr w:type="spellStart"/>
      <w:r>
        <w:t>LegalEntity</w:t>
      </w:r>
      <w:proofErr w:type="spellEnd"/>
      <w:r>
        <w:t xml:space="preserve"> record to retrieve its </w:t>
      </w:r>
      <w:proofErr w:type="spellStart"/>
      <w:r>
        <w:t>CurrencyIsoCode</w:t>
      </w:r>
      <w:proofErr w:type="spellEnd"/>
      <w:r>
        <w:t xml:space="preserve"> and checks if the same Legal Entity was selected (no change needed)</w:t>
      </w:r>
    </w:p>
    <w:p w14:paraId="45DFCCA8" w14:textId="77777777" w:rsidR="00CD2E96" w:rsidRDefault="00000000">
      <w:pPr>
        <w:pStyle w:val="ListParagraph"/>
        <w:numPr>
          <w:ilvl w:val="0"/>
          <w:numId w:val="3"/>
        </w:numPr>
        <w:spacing w:after="120"/>
      </w:pPr>
      <w:r>
        <w:t xml:space="preserve">If the selected Legal Entity uses the same currency as the Opportunity, the flow updates only the </w:t>
      </w:r>
      <w:proofErr w:type="spellStart"/>
      <w:r>
        <w:t>Legal_Entity__c</w:t>
      </w:r>
      <w:proofErr w:type="spellEnd"/>
      <w:r>
        <w:t xml:space="preserve"> field and shows a success screen</w:t>
      </w:r>
    </w:p>
    <w:p w14:paraId="35BB2BF0" w14:textId="77777777" w:rsidR="00CD2E96" w:rsidRDefault="00000000">
      <w:pPr>
        <w:pStyle w:val="ListParagraph"/>
        <w:numPr>
          <w:ilvl w:val="0"/>
          <w:numId w:val="3"/>
        </w:numPr>
        <w:spacing w:after="120"/>
      </w:pPr>
      <w:r>
        <w:t xml:space="preserve">If currencies differ and </w:t>
      </w:r>
      <w:proofErr w:type="spellStart"/>
      <w:r>
        <w:t>Quote_Count__c</w:t>
      </w:r>
      <w:proofErr w:type="spellEnd"/>
      <w:r>
        <w:t xml:space="preserve"> equals 0, the flow updates both </w:t>
      </w:r>
      <w:proofErr w:type="spellStart"/>
      <w:r>
        <w:t>Legal_Entity__c</w:t>
      </w:r>
      <w:proofErr w:type="spellEnd"/>
      <w:r>
        <w:t xml:space="preserve"> and </w:t>
      </w:r>
      <w:proofErr w:type="spellStart"/>
      <w:r>
        <w:t>CurrencyIsoCode</w:t>
      </w:r>
      <w:proofErr w:type="spellEnd"/>
      <w:r>
        <w:t xml:space="preserve"> on the Opportunity and shows a success screen</w:t>
      </w:r>
    </w:p>
    <w:p w14:paraId="68916708" w14:textId="77777777" w:rsidR="00CD2E96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If currencies differ and Quotes exist, the flow displays a warning screen explaining the currency conflict, the number of Quotes affected, and presents radio button options:</w:t>
      </w:r>
      <w:r>
        <w:t xml:space="preserve"> Delete all Quotes and proceed, or Cancel</w:t>
      </w:r>
    </w:p>
    <w:p w14:paraId="2D2A9DBC" w14:textId="77777777" w:rsidR="00CD2E96" w:rsidRDefault="00000000">
      <w:pPr>
        <w:pStyle w:val="ListParagraph"/>
        <w:numPr>
          <w:ilvl w:val="0"/>
          <w:numId w:val="3"/>
        </w:numPr>
        <w:spacing w:after="360"/>
      </w:pPr>
      <w:r>
        <w:t xml:space="preserve">If the user chooses to delete, the flow deletes all Quotes for the Opportunity, then updates </w:t>
      </w:r>
      <w:proofErr w:type="spellStart"/>
      <w:r>
        <w:t>Legal_Entity__c</w:t>
      </w:r>
      <w:proofErr w:type="spellEnd"/>
      <w:r>
        <w:t xml:space="preserve">, </w:t>
      </w:r>
      <w:proofErr w:type="spellStart"/>
      <w:r>
        <w:t>CurrencyIsoCode</w:t>
      </w:r>
      <w:proofErr w:type="spellEnd"/>
      <w:r>
        <w:t xml:space="preserve">, and resets </w:t>
      </w:r>
      <w:proofErr w:type="spellStart"/>
      <w:r>
        <w:t>Quote_Count__c</w:t>
      </w:r>
      <w:proofErr w:type="spellEnd"/>
      <w:r>
        <w:t xml:space="preserve"> to 0. The Quote Count maintenance flows also fire to ensure consistency.</w:t>
      </w:r>
    </w:p>
    <w:p w14:paraId="56F20A7D" w14:textId="77777777" w:rsidR="00CD2E96" w:rsidRDefault="00000000">
      <w:pPr>
        <w:pStyle w:val="Heading2"/>
      </w:pPr>
      <w:bookmarkStart w:id="5" w:name="_Toc222309502"/>
      <w:r>
        <w:t>2.2 Solution Components</w:t>
      </w:r>
      <w:bookmarkEnd w:id="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0"/>
        <w:gridCol w:w="1143"/>
        <w:gridCol w:w="3793"/>
      </w:tblGrid>
      <w:tr w:rsidR="00CD2E96" w14:paraId="22F59665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3120" w:type="dxa"/>
            <w:shd w:val="clear" w:color="auto" w:fill="1E4D78"/>
            <w:tcMar>
              <w:left w:w="80" w:type="dxa"/>
            </w:tcMar>
            <w:vAlign w:val="center"/>
          </w:tcPr>
          <w:p w14:paraId="1E894B68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shd w:val="clear" w:color="auto" w:fill="1E4D78"/>
            <w:tcMar>
              <w:left w:w="80" w:type="dxa"/>
            </w:tcMar>
            <w:vAlign w:val="center"/>
          </w:tcPr>
          <w:p w14:paraId="141EA123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shd w:val="clear" w:color="auto" w:fill="1E4D78"/>
            <w:tcMar>
              <w:left w:w="80" w:type="dxa"/>
            </w:tcMar>
            <w:vAlign w:val="center"/>
          </w:tcPr>
          <w:p w14:paraId="761872B6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D2E96" w14:paraId="76037A2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3120" w:type="dxa"/>
            <w:tcMar>
              <w:left w:w="80" w:type="dxa"/>
            </w:tcMar>
            <w:vAlign w:val="center"/>
          </w:tcPr>
          <w:p w14:paraId="42977848" w14:textId="77777777" w:rsidR="00CD2E96" w:rsidRDefault="00000000">
            <w:pPr>
              <w:spacing w:before="120"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Fortra_Opportunity_Change_Legal_Entity</w:t>
            </w:r>
            <w:proofErr w:type="spellEnd"/>
          </w:p>
        </w:tc>
        <w:tc>
          <w:tcPr>
            <w:tcW w:w="3120" w:type="dxa"/>
            <w:tcMar>
              <w:left w:w="80" w:type="dxa"/>
            </w:tcMar>
            <w:vAlign w:val="center"/>
          </w:tcPr>
          <w:p w14:paraId="47EE48F5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Screen Flow</w:t>
            </w:r>
          </w:p>
        </w:tc>
        <w:tc>
          <w:tcPr>
            <w:tcW w:w="3120" w:type="dxa"/>
            <w:tcMar>
              <w:left w:w="80" w:type="dxa"/>
            </w:tcMar>
            <w:vAlign w:val="center"/>
          </w:tcPr>
          <w:p w14:paraId="1B71C0F0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Main guided workflow launched via Quick Action. Contains 4 decisions (Same LE check, Currency match, Has Quotes, User decision), 3 update operations with different field combinations, 1 delete operation, and 6 screens (Select LE, No Change, Confirm Delete, Success, Cancelled, Error).</w:t>
            </w:r>
          </w:p>
        </w:tc>
      </w:tr>
      <w:tr w:rsidR="00CD2E96" w14:paraId="3DA038A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3120" w:type="dxa"/>
            <w:shd w:val="clear" w:color="auto" w:fill="F5F5F5"/>
            <w:tcMar>
              <w:left w:w="80" w:type="dxa"/>
            </w:tcMar>
            <w:vAlign w:val="center"/>
          </w:tcPr>
          <w:p w14:paraId="7E72D2A8" w14:textId="77777777" w:rsidR="00CD2E96" w:rsidRDefault="00000000">
            <w:pPr>
              <w:spacing w:before="120"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Fortra_Quote_Count_Maintenance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left w:w="80" w:type="dxa"/>
            </w:tcMar>
            <w:vAlign w:val="center"/>
          </w:tcPr>
          <w:p w14:paraId="16086DCC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Record-Triggered Flow (Quote - After Create)</w:t>
            </w:r>
          </w:p>
        </w:tc>
        <w:tc>
          <w:tcPr>
            <w:tcW w:w="3120" w:type="dxa"/>
            <w:shd w:val="clear" w:color="auto" w:fill="F5F5F5"/>
            <w:tcMar>
              <w:left w:w="80" w:type="dxa"/>
            </w:tcMar>
            <w:vAlign w:val="center"/>
          </w:tcPr>
          <w:p w14:paraId="5C68DAD6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AutoLaunched</w:t>
            </w:r>
            <w:proofErr w:type="spellEnd"/>
            <w:r>
              <w:rPr>
                <w:sz w:val="20"/>
                <w:szCs w:val="20"/>
              </w:rPr>
              <w:t xml:space="preserve"> flow that fires after a Quote is created. Counts all Quotes for the parent Opportunity using Get Records + </w:t>
            </w:r>
            <w:proofErr w:type="spellStart"/>
            <w:r>
              <w:rPr>
                <w:sz w:val="20"/>
                <w:szCs w:val="20"/>
              </w:rPr>
              <w:t>AssignCount</w:t>
            </w:r>
            <w:proofErr w:type="spellEnd"/>
            <w:r>
              <w:rPr>
                <w:sz w:val="20"/>
                <w:szCs w:val="20"/>
              </w:rPr>
              <w:t xml:space="preserve"> and updates </w:t>
            </w:r>
            <w:proofErr w:type="spellStart"/>
            <w:r>
              <w:rPr>
                <w:sz w:val="20"/>
                <w:szCs w:val="20"/>
              </w:rPr>
              <w:t>Opportunity.Quote_Count__c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D2E96" w14:paraId="29E31CA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3120" w:type="dxa"/>
            <w:tcMar>
              <w:left w:w="80" w:type="dxa"/>
            </w:tcMar>
            <w:vAlign w:val="center"/>
          </w:tcPr>
          <w:p w14:paraId="46A9601D" w14:textId="77777777" w:rsidR="00CD2E96" w:rsidRDefault="00000000">
            <w:pPr>
              <w:spacing w:before="120"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Fortra_Quote_Count_Maintenance_Delete</w:t>
            </w:r>
            <w:proofErr w:type="spellEnd"/>
          </w:p>
        </w:tc>
        <w:tc>
          <w:tcPr>
            <w:tcW w:w="3120" w:type="dxa"/>
            <w:tcMar>
              <w:left w:w="80" w:type="dxa"/>
            </w:tcMar>
            <w:vAlign w:val="center"/>
          </w:tcPr>
          <w:p w14:paraId="6AD91A64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Record-Triggered </w:t>
            </w:r>
            <w:r>
              <w:rPr>
                <w:sz w:val="20"/>
                <w:szCs w:val="20"/>
              </w:rPr>
              <w:lastRenderedPageBreak/>
              <w:t>Flow (Quote - Before Delete)</w:t>
            </w:r>
          </w:p>
        </w:tc>
        <w:tc>
          <w:tcPr>
            <w:tcW w:w="3120" w:type="dxa"/>
            <w:tcMar>
              <w:left w:w="80" w:type="dxa"/>
            </w:tcMar>
            <w:vAlign w:val="center"/>
          </w:tcPr>
          <w:p w14:paraId="25D650B6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lastRenderedPageBreak/>
              <w:t>AutoLaunched</w:t>
            </w:r>
            <w:proofErr w:type="spellEnd"/>
            <w:r>
              <w:rPr>
                <w:sz w:val="20"/>
                <w:szCs w:val="20"/>
              </w:rPr>
              <w:t xml:space="preserve"> flow that fires before a Quote is deleted. Counts all Quotes for </w:t>
            </w:r>
            <w:r>
              <w:rPr>
                <w:sz w:val="20"/>
                <w:szCs w:val="20"/>
              </w:rPr>
              <w:lastRenderedPageBreak/>
              <w:t xml:space="preserve">the parent Opportunity (including the one being deleted), subtracts 1, and updates </w:t>
            </w:r>
            <w:proofErr w:type="spellStart"/>
            <w:r>
              <w:rPr>
                <w:sz w:val="20"/>
                <w:szCs w:val="20"/>
              </w:rPr>
              <w:t>Opportunity.Quote_Count__c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D2E96" w14:paraId="7E20FB8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3120" w:type="dxa"/>
            <w:shd w:val="clear" w:color="auto" w:fill="F5F5F5"/>
            <w:tcMar>
              <w:left w:w="80" w:type="dxa"/>
            </w:tcMar>
            <w:vAlign w:val="center"/>
          </w:tcPr>
          <w:p w14:paraId="08CDFD0C" w14:textId="77777777" w:rsidR="00CD2E96" w:rsidRDefault="00000000">
            <w:pPr>
              <w:spacing w:before="120"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Opportunity.Quote_Count__c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left w:w="80" w:type="dxa"/>
            </w:tcMar>
            <w:vAlign w:val="center"/>
          </w:tcPr>
          <w:p w14:paraId="61715D72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Custom Field (Number)</w:t>
            </w:r>
          </w:p>
        </w:tc>
        <w:tc>
          <w:tcPr>
            <w:tcW w:w="3120" w:type="dxa"/>
            <w:shd w:val="clear" w:color="auto" w:fill="F5F5F5"/>
            <w:tcMar>
              <w:left w:w="80" w:type="dxa"/>
            </w:tcMar>
            <w:vAlign w:val="center"/>
          </w:tcPr>
          <w:p w14:paraId="551ABF12" w14:textId="77777777" w:rsidR="00CD2E96" w:rsidRDefault="00000000">
            <w:pPr>
              <w:spacing w:before="120" w:after="120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18,0) field with default value 0. Stores the denormalized count of Quotes on the Opportunity. Maintained by the paired create/delete flows. Used by the validation rule and the Change Legal Entity flow.</w:t>
            </w:r>
          </w:p>
        </w:tc>
      </w:tr>
      <w:tr w:rsidR="00CD2E96" w14:paraId="3FF00DA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3120" w:type="dxa"/>
            <w:tcMar>
              <w:left w:w="80" w:type="dxa"/>
            </w:tcMar>
            <w:vAlign w:val="center"/>
          </w:tcPr>
          <w:p w14:paraId="525DD8F5" w14:textId="77777777" w:rsidR="00CD2E96" w:rsidRDefault="00000000">
            <w:pPr>
              <w:spacing w:before="120"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Legal_Entity_Requires_Action</w:t>
            </w:r>
            <w:proofErr w:type="spellEnd"/>
          </w:p>
        </w:tc>
        <w:tc>
          <w:tcPr>
            <w:tcW w:w="3120" w:type="dxa"/>
            <w:tcMar>
              <w:left w:w="80" w:type="dxa"/>
            </w:tcMar>
            <w:vAlign w:val="center"/>
          </w:tcPr>
          <w:p w14:paraId="75591F52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Validation Rule</w:t>
            </w:r>
          </w:p>
        </w:tc>
        <w:tc>
          <w:tcPr>
            <w:tcW w:w="3120" w:type="dxa"/>
            <w:tcMar>
              <w:left w:w="80" w:type="dxa"/>
            </w:tcMar>
            <w:vAlign w:val="center"/>
          </w:tcPr>
          <w:p w14:paraId="77137157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Active validation rule that fires when </w:t>
            </w:r>
            <w:proofErr w:type="spellStart"/>
            <w:r>
              <w:rPr>
                <w:sz w:val="20"/>
                <w:szCs w:val="20"/>
              </w:rPr>
              <w:t>Legal_Entity__c</w:t>
            </w:r>
            <w:proofErr w:type="spellEnd"/>
            <w:r>
              <w:rPr>
                <w:sz w:val="20"/>
                <w:szCs w:val="20"/>
              </w:rPr>
              <w:t xml:space="preserve"> is changed, is not blank, </w:t>
            </w:r>
            <w:proofErr w:type="spellStart"/>
            <w:r>
              <w:rPr>
                <w:sz w:val="20"/>
                <w:szCs w:val="20"/>
              </w:rPr>
              <w:t>Quote_Count__c</w:t>
            </w:r>
            <w:proofErr w:type="spellEnd"/>
            <w:r>
              <w:rPr>
                <w:sz w:val="20"/>
                <w:szCs w:val="20"/>
              </w:rPr>
              <w:t xml:space="preserve"> &gt; 0, and the new Legal Entity's </w:t>
            </w:r>
            <w:proofErr w:type="spellStart"/>
            <w:r>
              <w:rPr>
                <w:sz w:val="20"/>
                <w:szCs w:val="20"/>
              </w:rPr>
              <w:t>CurrencyIsoCode</w:t>
            </w:r>
            <w:proofErr w:type="spellEnd"/>
            <w:r>
              <w:rPr>
                <w:sz w:val="20"/>
                <w:szCs w:val="20"/>
              </w:rPr>
              <w:t xml:space="preserve"> differs from the Opportunity </w:t>
            </w:r>
            <w:proofErr w:type="spellStart"/>
            <w:r>
              <w:rPr>
                <w:sz w:val="20"/>
                <w:szCs w:val="20"/>
              </w:rPr>
              <w:t>CurrencyIsoCode</w:t>
            </w:r>
            <w:proofErr w:type="spellEnd"/>
            <w:r>
              <w:rPr>
                <w:sz w:val="20"/>
                <w:szCs w:val="20"/>
              </w:rPr>
              <w:t xml:space="preserve">. Error displays on </w:t>
            </w:r>
            <w:proofErr w:type="spellStart"/>
            <w:r>
              <w:rPr>
                <w:sz w:val="20"/>
                <w:szCs w:val="20"/>
              </w:rPr>
              <w:t>Legal_Entity__c</w:t>
            </w:r>
            <w:proofErr w:type="spellEnd"/>
            <w:r>
              <w:rPr>
                <w:sz w:val="20"/>
                <w:szCs w:val="20"/>
              </w:rPr>
              <w:t xml:space="preserve"> field.</w:t>
            </w:r>
          </w:p>
        </w:tc>
      </w:tr>
      <w:tr w:rsidR="00CD2E96" w14:paraId="7089E3E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3120" w:type="dxa"/>
            <w:shd w:val="clear" w:color="auto" w:fill="F5F5F5"/>
            <w:tcMar>
              <w:left w:w="80" w:type="dxa"/>
            </w:tcMar>
            <w:vAlign w:val="center"/>
          </w:tcPr>
          <w:p w14:paraId="774924B8" w14:textId="77777777" w:rsidR="00CD2E96" w:rsidRDefault="00000000">
            <w:pPr>
              <w:spacing w:before="120"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Opportunity.Change_Legal_Entity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left w:w="80" w:type="dxa"/>
            </w:tcMar>
            <w:vAlign w:val="center"/>
          </w:tcPr>
          <w:p w14:paraId="4C12B19C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Quick Action (Flow)</w:t>
            </w:r>
          </w:p>
        </w:tc>
        <w:tc>
          <w:tcPr>
            <w:tcW w:w="3120" w:type="dxa"/>
            <w:shd w:val="clear" w:color="auto" w:fill="F5F5F5"/>
            <w:tcMar>
              <w:left w:w="80" w:type="dxa"/>
            </w:tcMar>
            <w:vAlign w:val="center"/>
          </w:tcPr>
          <w:p w14:paraId="043496CD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Quick Action of type Flow that launches the </w:t>
            </w:r>
            <w:proofErr w:type="spellStart"/>
            <w:r>
              <w:rPr>
                <w:sz w:val="20"/>
                <w:szCs w:val="20"/>
              </w:rPr>
              <w:t>Fortra_Opportunity_Change_Legal_Entity</w:t>
            </w:r>
            <w:proofErr w:type="spellEnd"/>
            <w:r>
              <w:rPr>
                <w:sz w:val="20"/>
                <w:szCs w:val="20"/>
              </w:rPr>
              <w:t xml:space="preserve"> screen flow. Configured on the Opportunity Record Page action bar.</w:t>
            </w:r>
          </w:p>
        </w:tc>
      </w:tr>
    </w:tbl>
    <w:p w14:paraId="74F80B6C" w14:textId="77777777" w:rsidR="00CD2E96" w:rsidRDefault="00CD2E96">
      <w:pPr>
        <w:spacing w:after="320"/>
      </w:pPr>
    </w:p>
    <w:p w14:paraId="6ADB2299" w14:textId="77777777" w:rsidR="00CD2E96" w:rsidRDefault="00000000">
      <w:r>
        <w:br w:type="page"/>
      </w:r>
    </w:p>
    <w:p w14:paraId="73CB24DD" w14:textId="77777777" w:rsidR="00CD2E96" w:rsidRDefault="00000000">
      <w:pPr>
        <w:pStyle w:val="Heading1"/>
      </w:pPr>
      <w:bookmarkStart w:id="6" w:name="_Toc222309503"/>
      <w:r>
        <w:lastRenderedPageBreak/>
        <w:t>3. Requirements</w:t>
      </w:r>
      <w:bookmarkEnd w:id="6"/>
    </w:p>
    <w:p w14:paraId="53523808" w14:textId="77777777" w:rsidR="00CD2E96" w:rsidRDefault="00000000">
      <w:pPr>
        <w:pStyle w:val="Heading2"/>
      </w:pPr>
      <w:bookmarkStart w:id="7" w:name="_Toc222309504"/>
      <w:r>
        <w:t>3.1 Business Requirements</w:t>
      </w:r>
      <w:bookmarkEnd w:id="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7"/>
        <w:gridCol w:w="5763"/>
        <w:gridCol w:w="1806"/>
      </w:tblGrid>
      <w:tr w:rsidR="00CD2E96" w14:paraId="6CAA6354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500" w:type="dxa"/>
            <w:shd w:val="clear" w:color="auto" w:fill="1E4D78"/>
            <w:tcMar>
              <w:left w:w="80" w:type="dxa"/>
            </w:tcMar>
            <w:vAlign w:val="center"/>
          </w:tcPr>
          <w:p w14:paraId="143C6D97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auto" w:fill="1E4D78"/>
            <w:tcMar>
              <w:left w:w="80" w:type="dxa"/>
            </w:tcMar>
            <w:vAlign w:val="center"/>
          </w:tcPr>
          <w:p w14:paraId="6D44F5CC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60" w:type="dxa"/>
            <w:shd w:val="clear" w:color="auto" w:fill="1E4D78"/>
            <w:tcMar>
              <w:left w:w="80" w:type="dxa"/>
            </w:tcMar>
            <w:vAlign w:val="center"/>
          </w:tcPr>
          <w:p w14:paraId="099678F1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D2E96" w14:paraId="3C55EE5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5FB18D0B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BR-001</w:t>
            </w:r>
          </w:p>
        </w:tc>
        <w:tc>
          <w:tcPr>
            <w:tcW w:w="6000" w:type="dxa"/>
            <w:tcMar>
              <w:left w:w="80" w:type="dxa"/>
            </w:tcMar>
            <w:vAlign w:val="center"/>
          </w:tcPr>
          <w:p w14:paraId="397CBEAE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Users must be able to change the Legal Entity on an Opportunity through a guided workflow that explains the impact of the change and handles currency alignment automatically</w:t>
            </w:r>
          </w:p>
        </w:tc>
        <w:tc>
          <w:tcPr>
            <w:tcW w:w="1860" w:type="dxa"/>
            <w:tcMar>
              <w:left w:w="80" w:type="dxa"/>
            </w:tcMar>
            <w:vAlign w:val="center"/>
          </w:tcPr>
          <w:p w14:paraId="01ABF155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CD2E96" w14:paraId="6D207D9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shd w:val="clear" w:color="auto" w:fill="F5F5F5"/>
            <w:tcMar>
              <w:left w:w="80" w:type="dxa"/>
            </w:tcMar>
            <w:vAlign w:val="center"/>
          </w:tcPr>
          <w:p w14:paraId="47A67799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BR-002</w:t>
            </w:r>
          </w:p>
        </w:tc>
        <w:tc>
          <w:tcPr>
            <w:tcW w:w="6000" w:type="dxa"/>
            <w:shd w:val="clear" w:color="auto" w:fill="F5F5F5"/>
            <w:tcMar>
              <w:left w:w="80" w:type="dxa"/>
            </w:tcMar>
            <w:vAlign w:val="center"/>
          </w:tcPr>
          <w:p w14:paraId="58470531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When the new Legal Entity uses the same currency as the Opportunity, the change should be seamless with no additional user action required beyond selecting the new entity</w:t>
            </w:r>
          </w:p>
        </w:tc>
        <w:tc>
          <w:tcPr>
            <w:tcW w:w="1860" w:type="dxa"/>
            <w:shd w:val="clear" w:color="auto" w:fill="F5F5F5"/>
            <w:tcMar>
              <w:left w:w="80" w:type="dxa"/>
            </w:tcMar>
            <w:vAlign w:val="center"/>
          </w:tcPr>
          <w:p w14:paraId="379F161F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CD2E96" w14:paraId="071C346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12803F37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BR-003</w:t>
            </w:r>
          </w:p>
        </w:tc>
        <w:tc>
          <w:tcPr>
            <w:tcW w:w="6000" w:type="dxa"/>
            <w:tcMar>
              <w:left w:w="80" w:type="dxa"/>
            </w:tcMar>
            <w:vAlign w:val="center"/>
          </w:tcPr>
          <w:p w14:paraId="5D05DD99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When the new Legal Entity uses a different currency and Quotes exist, users must be clearly warned that all existing Quotes will be deleted and must explicitly confirm before proceeding</w:t>
            </w:r>
          </w:p>
        </w:tc>
        <w:tc>
          <w:tcPr>
            <w:tcW w:w="1860" w:type="dxa"/>
            <w:tcMar>
              <w:left w:w="80" w:type="dxa"/>
            </w:tcMar>
            <w:vAlign w:val="center"/>
          </w:tcPr>
          <w:p w14:paraId="45130E66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CD2E96" w14:paraId="42B06A8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shd w:val="clear" w:color="auto" w:fill="F5F5F5"/>
            <w:tcMar>
              <w:left w:w="80" w:type="dxa"/>
            </w:tcMar>
            <w:vAlign w:val="center"/>
          </w:tcPr>
          <w:p w14:paraId="6013029F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BR-004</w:t>
            </w:r>
          </w:p>
        </w:tc>
        <w:tc>
          <w:tcPr>
            <w:tcW w:w="6000" w:type="dxa"/>
            <w:shd w:val="clear" w:color="auto" w:fill="F5F5F5"/>
            <w:tcMar>
              <w:left w:w="80" w:type="dxa"/>
            </w:tcMar>
            <w:vAlign w:val="center"/>
          </w:tcPr>
          <w:p w14:paraId="5458783C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Users must not be able to change the Legal Entity via inline edit when the change would create a currency mismatch with existing Quotes, as this would orphan Quotes in the wrong currency</w:t>
            </w:r>
          </w:p>
        </w:tc>
        <w:tc>
          <w:tcPr>
            <w:tcW w:w="1860" w:type="dxa"/>
            <w:shd w:val="clear" w:color="auto" w:fill="F5F5F5"/>
            <w:tcMar>
              <w:left w:w="80" w:type="dxa"/>
            </w:tcMar>
            <w:vAlign w:val="center"/>
          </w:tcPr>
          <w:p w14:paraId="610973E8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CD2E96" w14:paraId="03A2E89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04F31EA0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BR-005</w:t>
            </w:r>
          </w:p>
        </w:tc>
        <w:tc>
          <w:tcPr>
            <w:tcW w:w="6000" w:type="dxa"/>
            <w:tcMar>
              <w:left w:w="80" w:type="dxa"/>
            </w:tcMar>
            <w:vAlign w:val="center"/>
          </w:tcPr>
          <w:p w14:paraId="7DEA9D57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The system must maintain an accurate count of Quotes on each Opportunity in real-time to support the validation rule and flow decision logic</w:t>
            </w:r>
          </w:p>
        </w:tc>
        <w:tc>
          <w:tcPr>
            <w:tcW w:w="1860" w:type="dxa"/>
            <w:tcMar>
              <w:left w:w="80" w:type="dxa"/>
            </w:tcMar>
            <w:vAlign w:val="center"/>
          </w:tcPr>
          <w:p w14:paraId="2CA2FBCE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CD2E96" w14:paraId="7734265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shd w:val="clear" w:color="auto" w:fill="F5F5F5"/>
            <w:tcMar>
              <w:left w:w="80" w:type="dxa"/>
            </w:tcMar>
            <w:vAlign w:val="center"/>
          </w:tcPr>
          <w:p w14:paraId="1BC127F8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BR-006</w:t>
            </w:r>
          </w:p>
        </w:tc>
        <w:tc>
          <w:tcPr>
            <w:tcW w:w="6000" w:type="dxa"/>
            <w:shd w:val="clear" w:color="auto" w:fill="F5F5F5"/>
            <w:tcMar>
              <w:left w:w="80" w:type="dxa"/>
            </w:tcMar>
            <w:vAlign w:val="center"/>
          </w:tcPr>
          <w:p w14:paraId="5C272364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After a successful Legal Entity change with Quote deletion, the user must be informed to create new Quotes in the new currency</w:t>
            </w:r>
          </w:p>
        </w:tc>
        <w:tc>
          <w:tcPr>
            <w:tcW w:w="1860" w:type="dxa"/>
            <w:shd w:val="clear" w:color="auto" w:fill="F5F5F5"/>
            <w:tcMar>
              <w:left w:w="80" w:type="dxa"/>
            </w:tcMar>
            <w:vAlign w:val="center"/>
          </w:tcPr>
          <w:p w14:paraId="6485AC69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Low</w:t>
            </w:r>
          </w:p>
        </w:tc>
      </w:tr>
    </w:tbl>
    <w:p w14:paraId="26B09F0B" w14:textId="77777777" w:rsidR="00CD2E96" w:rsidRDefault="00CD2E96">
      <w:pPr>
        <w:spacing w:after="320"/>
      </w:pPr>
    </w:p>
    <w:p w14:paraId="60D239FE" w14:textId="77777777" w:rsidR="00CD2E96" w:rsidRDefault="00000000">
      <w:pPr>
        <w:pStyle w:val="Heading2"/>
      </w:pPr>
      <w:bookmarkStart w:id="8" w:name="_Toc222309505"/>
      <w:r>
        <w:t>3.2 Technical Requirements</w:t>
      </w:r>
      <w:bookmarkEnd w:id="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6"/>
        <w:gridCol w:w="5823"/>
        <w:gridCol w:w="1777"/>
      </w:tblGrid>
      <w:tr w:rsidR="00CD2E96" w14:paraId="0C8093BE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500" w:type="dxa"/>
            <w:shd w:val="clear" w:color="auto" w:fill="1E4D78"/>
            <w:tcMar>
              <w:left w:w="80" w:type="dxa"/>
            </w:tcMar>
            <w:vAlign w:val="center"/>
          </w:tcPr>
          <w:p w14:paraId="7C07ACAC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auto" w:fill="1E4D78"/>
            <w:tcMar>
              <w:left w:w="80" w:type="dxa"/>
            </w:tcMar>
            <w:vAlign w:val="center"/>
          </w:tcPr>
          <w:p w14:paraId="4D7835CC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60" w:type="dxa"/>
            <w:shd w:val="clear" w:color="auto" w:fill="1E4D78"/>
            <w:tcMar>
              <w:left w:w="80" w:type="dxa"/>
            </w:tcMar>
            <w:vAlign w:val="center"/>
          </w:tcPr>
          <w:p w14:paraId="17B4C1EE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D2E96" w14:paraId="6EA5B3D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3BB0900E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TR-001</w:t>
            </w:r>
          </w:p>
        </w:tc>
        <w:tc>
          <w:tcPr>
            <w:tcW w:w="6000" w:type="dxa"/>
            <w:tcMar>
              <w:left w:w="80" w:type="dxa"/>
            </w:tcMar>
            <w:vAlign w:val="center"/>
          </w:tcPr>
          <w:p w14:paraId="7F932D1E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The screen flow must use the </w:t>
            </w:r>
            <w:proofErr w:type="spellStart"/>
            <w:proofErr w:type="gramStart"/>
            <w:r>
              <w:rPr>
                <w:sz w:val="20"/>
                <w:szCs w:val="20"/>
              </w:rPr>
              <w:t>flowruntime:lookup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component for Legal Entity selection to provide proper lookup functionality with the </w:t>
            </w:r>
            <w:proofErr w:type="spellStart"/>
            <w:r>
              <w:rPr>
                <w:sz w:val="20"/>
                <w:szCs w:val="20"/>
              </w:rPr>
              <w:t>Legal_Entity__c</w:t>
            </w:r>
            <w:proofErr w:type="spellEnd"/>
            <w:r>
              <w:rPr>
                <w:sz w:val="20"/>
                <w:szCs w:val="20"/>
              </w:rPr>
              <w:t xml:space="preserve"> field relationship</w:t>
            </w:r>
          </w:p>
        </w:tc>
        <w:tc>
          <w:tcPr>
            <w:tcW w:w="1860" w:type="dxa"/>
            <w:tcMar>
              <w:left w:w="80" w:type="dxa"/>
            </w:tcMar>
            <w:vAlign w:val="center"/>
          </w:tcPr>
          <w:p w14:paraId="4C36D567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CD2E96" w14:paraId="06C08BD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shd w:val="clear" w:color="auto" w:fill="F5F5F5"/>
            <w:tcMar>
              <w:left w:w="80" w:type="dxa"/>
            </w:tcMar>
            <w:vAlign w:val="center"/>
          </w:tcPr>
          <w:p w14:paraId="65F16718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TR-002</w:t>
            </w:r>
          </w:p>
        </w:tc>
        <w:tc>
          <w:tcPr>
            <w:tcW w:w="6000" w:type="dxa"/>
            <w:shd w:val="clear" w:color="auto" w:fill="F5F5F5"/>
            <w:tcMar>
              <w:left w:w="80" w:type="dxa"/>
            </w:tcMar>
            <w:vAlign w:val="center"/>
          </w:tcPr>
          <w:p w14:paraId="790CE6B2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Quote Count maintenance flows must handle both create (After Save) and delete (Before Delete) trigger contexts. The delete flow must subtract 1 from the count because Before Delete context includes the record being deleted in query results.</w:t>
            </w:r>
          </w:p>
        </w:tc>
        <w:tc>
          <w:tcPr>
            <w:tcW w:w="1860" w:type="dxa"/>
            <w:shd w:val="clear" w:color="auto" w:fill="F5F5F5"/>
            <w:tcMar>
              <w:left w:w="80" w:type="dxa"/>
            </w:tcMar>
            <w:vAlign w:val="center"/>
          </w:tcPr>
          <w:p w14:paraId="7EFB38D7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CD2E96" w14:paraId="2C93BE4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23C08035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TR-003</w:t>
            </w:r>
          </w:p>
        </w:tc>
        <w:tc>
          <w:tcPr>
            <w:tcW w:w="6000" w:type="dxa"/>
            <w:tcMar>
              <w:left w:w="80" w:type="dxa"/>
            </w:tcMar>
            <w:vAlign w:val="center"/>
          </w:tcPr>
          <w:p w14:paraId="2B033C55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The validation rule must compare Legal Entity currency using TEXT(Legal_Entity__</w:t>
            </w:r>
            <w:proofErr w:type="spellStart"/>
            <w:proofErr w:type="gramStart"/>
            <w:r>
              <w:rPr>
                <w:sz w:val="20"/>
                <w:szCs w:val="20"/>
              </w:rPr>
              <w:t>r.CurrencyIsoCode</w:t>
            </w:r>
            <w:proofErr w:type="spellEnd"/>
            <w:proofErr w:type="gramEnd"/>
            <w:r>
              <w:rPr>
                <w:sz w:val="20"/>
                <w:szCs w:val="20"/>
              </w:rPr>
              <w:t>) &lt;&gt; TEXT(</w:t>
            </w:r>
            <w:proofErr w:type="spellStart"/>
            <w:r>
              <w:rPr>
                <w:sz w:val="20"/>
                <w:szCs w:val="20"/>
              </w:rPr>
              <w:t>CurrencyIsoCode</w:t>
            </w:r>
            <w:proofErr w:type="spellEnd"/>
            <w:r>
              <w:rPr>
                <w:sz w:val="20"/>
                <w:szCs w:val="20"/>
              </w:rPr>
              <w:t>) to handle cross-object currency comparison</w:t>
            </w:r>
          </w:p>
        </w:tc>
        <w:tc>
          <w:tcPr>
            <w:tcW w:w="1860" w:type="dxa"/>
            <w:tcMar>
              <w:left w:w="80" w:type="dxa"/>
            </w:tcMar>
            <w:vAlign w:val="center"/>
          </w:tcPr>
          <w:p w14:paraId="362E62DE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CD2E96" w14:paraId="78A8FF2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shd w:val="clear" w:color="auto" w:fill="F5F5F5"/>
            <w:tcMar>
              <w:left w:w="80" w:type="dxa"/>
            </w:tcMar>
            <w:vAlign w:val="center"/>
          </w:tcPr>
          <w:p w14:paraId="3AF6BB20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TR-004</w:t>
            </w:r>
          </w:p>
        </w:tc>
        <w:tc>
          <w:tcPr>
            <w:tcW w:w="6000" w:type="dxa"/>
            <w:shd w:val="clear" w:color="auto" w:fill="F5F5F5"/>
            <w:tcMar>
              <w:left w:w="80" w:type="dxa"/>
            </w:tcMar>
            <w:vAlign w:val="center"/>
          </w:tcPr>
          <w:p w14:paraId="2675899A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All DML operations in the screen flow (Quote deletion, Opportunity updates) must have fault connectors routing to an </w:t>
            </w:r>
            <w:r>
              <w:rPr>
                <w:sz w:val="20"/>
                <w:szCs w:val="20"/>
              </w:rPr>
              <w:lastRenderedPageBreak/>
              <w:t>error screen displaying $</w:t>
            </w:r>
            <w:proofErr w:type="spellStart"/>
            <w:r>
              <w:rPr>
                <w:sz w:val="20"/>
                <w:szCs w:val="20"/>
              </w:rPr>
              <w:t>Flow.FaultMessage</w:t>
            </w:r>
            <w:proofErr w:type="spellEnd"/>
            <w:r>
              <w:rPr>
                <w:sz w:val="20"/>
                <w:szCs w:val="20"/>
              </w:rPr>
              <w:t xml:space="preserve"> for user-friendly error handling</w:t>
            </w:r>
          </w:p>
        </w:tc>
        <w:tc>
          <w:tcPr>
            <w:tcW w:w="1860" w:type="dxa"/>
            <w:shd w:val="clear" w:color="auto" w:fill="F5F5F5"/>
            <w:tcMar>
              <w:left w:w="80" w:type="dxa"/>
            </w:tcMar>
            <w:vAlign w:val="center"/>
          </w:tcPr>
          <w:p w14:paraId="062C9DA9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lastRenderedPageBreak/>
              <w:t>Medium</w:t>
            </w:r>
          </w:p>
        </w:tc>
      </w:tr>
      <w:tr w:rsidR="00CD2E96" w14:paraId="2347CB5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0651AC87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TR-005</w:t>
            </w:r>
          </w:p>
        </w:tc>
        <w:tc>
          <w:tcPr>
            <w:tcW w:w="6000" w:type="dxa"/>
            <w:tcMar>
              <w:left w:w="80" w:type="dxa"/>
            </w:tcMar>
            <w:vAlign w:val="center"/>
          </w:tcPr>
          <w:p w14:paraId="0654686D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The flow must handle three distinct Opportunity update scenarios: Legal Entity only (currency match), Legal Entity + Currency (no quotes), and Legal Entity + Currency + Quote Count reset (after quote deletion)</w:t>
            </w:r>
          </w:p>
        </w:tc>
        <w:tc>
          <w:tcPr>
            <w:tcW w:w="1860" w:type="dxa"/>
            <w:tcMar>
              <w:left w:w="80" w:type="dxa"/>
            </w:tcMar>
            <w:vAlign w:val="center"/>
          </w:tcPr>
          <w:p w14:paraId="6F36C59B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Medium</w:t>
            </w:r>
          </w:p>
        </w:tc>
      </w:tr>
    </w:tbl>
    <w:p w14:paraId="14517299" w14:textId="77777777" w:rsidR="00CD2E96" w:rsidRDefault="00CD2E96">
      <w:pPr>
        <w:spacing w:after="320"/>
      </w:pPr>
    </w:p>
    <w:p w14:paraId="13A619D2" w14:textId="77777777" w:rsidR="00CD2E96" w:rsidRDefault="00000000">
      <w:r>
        <w:br w:type="page"/>
      </w:r>
    </w:p>
    <w:p w14:paraId="663956A4" w14:textId="77777777" w:rsidR="00CD2E96" w:rsidRDefault="00000000">
      <w:pPr>
        <w:pStyle w:val="Heading1"/>
      </w:pPr>
      <w:bookmarkStart w:id="9" w:name="_Toc222309506"/>
      <w:r>
        <w:lastRenderedPageBreak/>
        <w:t>4. Assumptions</w:t>
      </w:r>
      <w:bookmarkEnd w:id="9"/>
    </w:p>
    <w:p w14:paraId="40BDCB1D" w14:textId="77777777" w:rsidR="00CD2E96" w:rsidRDefault="00000000">
      <w:pPr>
        <w:spacing w:after="200"/>
      </w:pPr>
      <w:r>
        <w:t>The following assumptions have been made during the design of this solution: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9"/>
        <w:gridCol w:w="7587"/>
      </w:tblGrid>
      <w:tr w:rsidR="00CD2E96" w14:paraId="0816B277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500" w:type="dxa"/>
            <w:shd w:val="clear" w:color="auto" w:fill="1E4D78"/>
            <w:tcMar>
              <w:left w:w="80" w:type="dxa"/>
            </w:tcMar>
            <w:vAlign w:val="center"/>
          </w:tcPr>
          <w:p w14:paraId="4C25E2D6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60" w:type="dxa"/>
            <w:shd w:val="clear" w:color="auto" w:fill="1E4D78"/>
            <w:tcMar>
              <w:left w:w="80" w:type="dxa"/>
            </w:tcMar>
            <w:vAlign w:val="center"/>
          </w:tcPr>
          <w:p w14:paraId="647C1AA2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</w:tr>
      <w:tr w:rsidR="00CD2E96" w14:paraId="4B80370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69C92B23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A-001</w:t>
            </w:r>
          </w:p>
        </w:tc>
        <w:tc>
          <w:tcPr>
            <w:tcW w:w="7860" w:type="dxa"/>
            <w:tcMar>
              <w:left w:w="80" w:type="dxa"/>
            </w:tcMar>
            <w:vAlign w:val="center"/>
          </w:tcPr>
          <w:p w14:paraId="6588C87C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The Opportunity object has a </w:t>
            </w:r>
            <w:proofErr w:type="spellStart"/>
            <w:r>
              <w:rPr>
                <w:sz w:val="20"/>
                <w:szCs w:val="20"/>
              </w:rPr>
              <w:t>Legal_Entity__c</w:t>
            </w:r>
            <w:proofErr w:type="spellEnd"/>
            <w:r>
              <w:rPr>
                <w:sz w:val="20"/>
                <w:szCs w:val="20"/>
              </w:rPr>
              <w:t xml:space="preserve"> lookup field to the </w:t>
            </w:r>
            <w:proofErr w:type="spellStart"/>
            <w:r>
              <w:rPr>
                <w:sz w:val="20"/>
                <w:szCs w:val="20"/>
              </w:rPr>
              <w:t>LegalEntity</w:t>
            </w:r>
            <w:proofErr w:type="spellEnd"/>
            <w:r>
              <w:rPr>
                <w:sz w:val="20"/>
                <w:szCs w:val="20"/>
              </w:rPr>
              <w:t xml:space="preserve"> standard object, and </w:t>
            </w:r>
            <w:proofErr w:type="spellStart"/>
            <w:r>
              <w:rPr>
                <w:sz w:val="20"/>
                <w:szCs w:val="20"/>
              </w:rPr>
              <w:t>LegalEntity</w:t>
            </w:r>
            <w:proofErr w:type="spellEnd"/>
            <w:r>
              <w:rPr>
                <w:sz w:val="20"/>
                <w:szCs w:val="20"/>
              </w:rPr>
              <w:t xml:space="preserve"> records have </w:t>
            </w:r>
            <w:proofErr w:type="spellStart"/>
            <w:r>
              <w:rPr>
                <w:sz w:val="20"/>
                <w:szCs w:val="20"/>
              </w:rPr>
              <w:t>CurrencyIsoCode</w:t>
            </w:r>
            <w:proofErr w:type="spellEnd"/>
            <w:r>
              <w:rPr>
                <w:sz w:val="20"/>
                <w:szCs w:val="20"/>
              </w:rPr>
              <w:t xml:space="preserve"> populated.</w:t>
            </w:r>
          </w:p>
        </w:tc>
      </w:tr>
      <w:tr w:rsidR="00CD2E96" w14:paraId="698A6D0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shd w:val="clear" w:color="auto" w:fill="F5F5F5"/>
            <w:tcMar>
              <w:left w:w="80" w:type="dxa"/>
            </w:tcMar>
            <w:vAlign w:val="center"/>
          </w:tcPr>
          <w:p w14:paraId="10CBFCA9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A-002</w:t>
            </w:r>
          </w:p>
        </w:tc>
        <w:tc>
          <w:tcPr>
            <w:tcW w:w="7860" w:type="dxa"/>
            <w:shd w:val="clear" w:color="auto" w:fill="F5F5F5"/>
            <w:tcMar>
              <w:left w:w="80" w:type="dxa"/>
            </w:tcMar>
            <w:vAlign w:val="center"/>
          </w:tcPr>
          <w:p w14:paraId="7CA88F32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Multi-currency is enabled in the Salesforce org, and Salesforce enforces the constraint that Opportunity </w:t>
            </w:r>
            <w:proofErr w:type="spellStart"/>
            <w:r>
              <w:rPr>
                <w:sz w:val="20"/>
                <w:szCs w:val="20"/>
              </w:rPr>
              <w:t>CurrencyIsoCode</w:t>
            </w:r>
            <w:proofErr w:type="spellEnd"/>
            <w:r>
              <w:rPr>
                <w:sz w:val="20"/>
                <w:szCs w:val="20"/>
              </w:rPr>
              <w:t xml:space="preserve"> cannot be changed when related Quotes exist.</w:t>
            </w:r>
          </w:p>
        </w:tc>
      </w:tr>
      <w:tr w:rsidR="00CD2E96" w14:paraId="15E9209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7E853C65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A-003</w:t>
            </w:r>
          </w:p>
        </w:tc>
        <w:tc>
          <w:tcPr>
            <w:tcW w:w="7860" w:type="dxa"/>
            <w:tcMar>
              <w:left w:w="80" w:type="dxa"/>
            </w:tcMar>
            <w:vAlign w:val="center"/>
          </w:tcPr>
          <w:p w14:paraId="586AD7E4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The Quick Action (Change Legal Entity) is added to the Opportunity Record Page action bar, typically on the </w:t>
            </w:r>
            <w:proofErr w:type="spellStart"/>
            <w:r>
              <w:rPr>
                <w:sz w:val="20"/>
                <w:szCs w:val="20"/>
              </w:rPr>
              <w:t>Opportunity_Record_Page_Two_Column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FlexiPage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D2E96" w14:paraId="29FD346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shd w:val="clear" w:color="auto" w:fill="F5F5F5"/>
            <w:tcMar>
              <w:left w:w="80" w:type="dxa"/>
            </w:tcMar>
            <w:vAlign w:val="center"/>
          </w:tcPr>
          <w:p w14:paraId="2B93333E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A-004</w:t>
            </w:r>
          </w:p>
        </w:tc>
        <w:tc>
          <w:tcPr>
            <w:tcW w:w="7860" w:type="dxa"/>
            <w:shd w:val="clear" w:color="auto" w:fill="F5F5F5"/>
            <w:tcMar>
              <w:left w:w="80" w:type="dxa"/>
            </w:tcMar>
            <w:vAlign w:val="center"/>
          </w:tcPr>
          <w:p w14:paraId="49219FD3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Users who need to change Legal Entity have access to run the screen flow and have delete permissions on Quote records when quote deletion is required.</w:t>
            </w:r>
          </w:p>
        </w:tc>
      </w:tr>
      <w:tr w:rsidR="00CD2E96" w14:paraId="362211C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71CF0EBB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A-005</w:t>
            </w:r>
          </w:p>
        </w:tc>
        <w:tc>
          <w:tcPr>
            <w:tcW w:w="7860" w:type="dxa"/>
            <w:tcMar>
              <w:left w:w="80" w:type="dxa"/>
            </w:tcMar>
            <w:vAlign w:val="center"/>
          </w:tcPr>
          <w:p w14:paraId="2F74FD31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Quote_Count__c</w:t>
            </w:r>
            <w:proofErr w:type="spellEnd"/>
            <w:r>
              <w:rPr>
                <w:sz w:val="20"/>
                <w:szCs w:val="20"/>
              </w:rPr>
              <w:t xml:space="preserve"> field starts at 0 for existing Opportunities. A data fix may be needed to backfill the count for Opportunities that already have Quotes when this solution is first deployed.</w:t>
            </w:r>
          </w:p>
        </w:tc>
      </w:tr>
      <w:tr w:rsidR="00CD2E96" w14:paraId="29A6E8E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shd w:val="clear" w:color="auto" w:fill="F5F5F5"/>
            <w:tcMar>
              <w:left w:w="80" w:type="dxa"/>
            </w:tcMar>
            <w:vAlign w:val="center"/>
          </w:tcPr>
          <w:p w14:paraId="5411A682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A-006</w:t>
            </w:r>
          </w:p>
        </w:tc>
        <w:tc>
          <w:tcPr>
            <w:tcW w:w="7860" w:type="dxa"/>
            <w:shd w:val="clear" w:color="auto" w:fill="F5F5F5"/>
            <w:tcMar>
              <w:left w:w="80" w:type="dxa"/>
            </w:tcMar>
            <w:vAlign w:val="center"/>
          </w:tcPr>
          <w:p w14:paraId="442DBC8B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Quote deletion in the flow is a hard delete. Deleted Quotes cannot be recovered from the Recycle Bin if the Salesforce recycle bin retention period expires.</w:t>
            </w:r>
          </w:p>
        </w:tc>
      </w:tr>
      <w:tr w:rsidR="00CD2E96" w14:paraId="7670500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0340C50D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A-007</w:t>
            </w:r>
          </w:p>
        </w:tc>
        <w:tc>
          <w:tcPr>
            <w:tcW w:w="7860" w:type="dxa"/>
            <w:tcMar>
              <w:left w:w="80" w:type="dxa"/>
            </w:tcMar>
            <w:vAlign w:val="center"/>
          </w:tcPr>
          <w:p w14:paraId="66D437DF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The validation rule relies on the denormalized </w:t>
            </w:r>
            <w:proofErr w:type="spellStart"/>
            <w:r>
              <w:rPr>
                <w:sz w:val="20"/>
                <w:szCs w:val="20"/>
              </w:rPr>
              <w:t>Quote_Count__c</w:t>
            </w:r>
            <w:proofErr w:type="spellEnd"/>
            <w:r>
              <w:rPr>
                <w:sz w:val="20"/>
                <w:szCs w:val="20"/>
              </w:rPr>
              <w:t xml:space="preserve"> field rather than a real-time subquery because Salesforce validation rules cannot perform aggregate queries on child records.</w:t>
            </w:r>
          </w:p>
        </w:tc>
      </w:tr>
    </w:tbl>
    <w:p w14:paraId="4DBB5AEF" w14:textId="77777777" w:rsidR="00CD2E96" w:rsidRDefault="00CD2E96">
      <w:pPr>
        <w:spacing w:after="320"/>
      </w:pPr>
    </w:p>
    <w:p w14:paraId="279C71CB" w14:textId="77777777" w:rsidR="00CD2E96" w:rsidRDefault="00000000">
      <w:r>
        <w:br w:type="page"/>
      </w:r>
    </w:p>
    <w:p w14:paraId="37C652F6" w14:textId="77777777" w:rsidR="00CD2E96" w:rsidRDefault="00000000">
      <w:pPr>
        <w:pStyle w:val="Heading1"/>
      </w:pPr>
      <w:bookmarkStart w:id="10" w:name="_Toc222309507"/>
      <w:r>
        <w:lastRenderedPageBreak/>
        <w:t>5. Dependencies</w:t>
      </w:r>
      <w:bookmarkEnd w:id="10"/>
    </w:p>
    <w:p w14:paraId="4E697584" w14:textId="77777777" w:rsidR="00CD2E96" w:rsidRDefault="00000000">
      <w:pPr>
        <w:spacing w:after="200"/>
      </w:pPr>
      <w:r>
        <w:t>The following dependencies exist for this solution:</w:t>
      </w:r>
    </w:p>
    <w:p w14:paraId="3ECE341A" w14:textId="77777777" w:rsidR="00CD2E96" w:rsidRDefault="00000000">
      <w:pPr>
        <w:pStyle w:val="Heading2"/>
      </w:pPr>
      <w:bookmarkStart w:id="11" w:name="_Toc222309508"/>
      <w:r>
        <w:t>5.1 Internal Dependencies</w:t>
      </w:r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4609"/>
        <w:gridCol w:w="2996"/>
      </w:tblGrid>
      <w:tr w:rsidR="00CD2E96" w14:paraId="18A0B9AB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500" w:type="dxa"/>
            <w:shd w:val="clear" w:color="auto" w:fill="1E4D78"/>
            <w:tcMar>
              <w:left w:w="80" w:type="dxa"/>
            </w:tcMar>
            <w:vAlign w:val="center"/>
          </w:tcPr>
          <w:p w14:paraId="07B1998C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80" w:type="dxa"/>
            <w:shd w:val="clear" w:color="auto" w:fill="1E4D78"/>
            <w:tcMar>
              <w:left w:w="80" w:type="dxa"/>
            </w:tcMar>
            <w:vAlign w:val="center"/>
          </w:tcPr>
          <w:p w14:paraId="435C4A01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3180" w:type="dxa"/>
            <w:shd w:val="clear" w:color="auto" w:fill="1E4D78"/>
            <w:tcMar>
              <w:left w:w="80" w:type="dxa"/>
            </w:tcMar>
            <w:vAlign w:val="center"/>
          </w:tcPr>
          <w:p w14:paraId="468FE067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D2E96" w14:paraId="0470496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68FF9E53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D-001</w:t>
            </w:r>
          </w:p>
        </w:tc>
        <w:tc>
          <w:tcPr>
            <w:tcW w:w="4680" w:type="dxa"/>
            <w:tcMar>
              <w:left w:w="80" w:type="dxa"/>
            </w:tcMar>
            <w:vAlign w:val="center"/>
          </w:tcPr>
          <w:p w14:paraId="3169C1C0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Legal_Entity__c</w:t>
            </w:r>
            <w:proofErr w:type="spellEnd"/>
            <w:r>
              <w:rPr>
                <w:sz w:val="20"/>
                <w:szCs w:val="20"/>
              </w:rPr>
              <w:t xml:space="preserve"> lookup field must exist on the Opportunity object, configured as part of the Revenue Cloud setup</w:t>
            </w:r>
          </w:p>
        </w:tc>
        <w:tc>
          <w:tcPr>
            <w:tcW w:w="3180" w:type="dxa"/>
            <w:tcMar>
              <w:left w:w="80" w:type="dxa"/>
            </w:tcMar>
            <w:vAlign w:val="center"/>
          </w:tcPr>
          <w:p w14:paraId="413AB64C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Complete</w:t>
            </w:r>
          </w:p>
        </w:tc>
      </w:tr>
      <w:tr w:rsidR="00CD2E96" w14:paraId="274F7CB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shd w:val="clear" w:color="auto" w:fill="F5F5F5"/>
            <w:tcMar>
              <w:left w:w="80" w:type="dxa"/>
            </w:tcMar>
            <w:vAlign w:val="center"/>
          </w:tcPr>
          <w:p w14:paraId="62BC5B9D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D-002</w:t>
            </w:r>
          </w:p>
        </w:tc>
        <w:tc>
          <w:tcPr>
            <w:tcW w:w="4680" w:type="dxa"/>
            <w:shd w:val="clear" w:color="auto" w:fill="F5F5F5"/>
            <w:tcMar>
              <w:left w:w="80" w:type="dxa"/>
            </w:tcMar>
            <w:vAlign w:val="center"/>
          </w:tcPr>
          <w:p w14:paraId="6F139184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Opportunity Record Page (</w:t>
            </w:r>
            <w:proofErr w:type="spellStart"/>
            <w:r>
              <w:rPr>
                <w:sz w:val="20"/>
                <w:szCs w:val="20"/>
              </w:rPr>
              <w:t>Opportunity_Record_Page_Two_Column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FlexiPage</w:t>
            </w:r>
            <w:proofErr w:type="spellEnd"/>
            <w:r>
              <w:rPr>
                <w:sz w:val="20"/>
                <w:szCs w:val="20"/>
              </w:rPr>
              <w:t>) must include the Change Legal Entity Quick Action in the action bar</w:t>
            </w:r>
          </w:p>
        </w:tc>
        <w:tc>
          <w:tcPr>
            <w:tcW w:w="3180" w:type="dxa"/>
            <w:shd w:val="clear" w:color="auto" w:fill="F5F5F5"/>
            <w:tcMar>
              <w:left w:w="80" w:type="dxa"/>
            </w:tcMar>
            <w:vAlign w:val="center"/>
          </w:tcPr>
          <w:p w14:paraId="5CC25BFA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Complete</w:t>
            </w:r>
          </w:p>
        </w:tc>
      </w:tr>
      <w:tr w:rsidR="00CD2E96" w14:paraId="5504D1D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2F70F5E4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D-003</w:t>
            </w:r>
          </w:p>
        </w:tc>
        <w:tc>
          <w:tcPr>
            <w:tcW w:w="4680" w:type="dxa"/>
            <w:tcMar>
              <w:left w:w="80" w:type="dxa"/>
            </w:tcMar>
            <w:vAlign w:val="center"/>
          </w:tcPr>
          <w:p w14:paraId="1B95EB25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LegalEntity</w:t>
            </w:r>
            <w:proofErr w:type="spellEnd"/>
            <w:r>
              <w:rPr>
                <w:sz w:val="20"/>
                <w:szCs w:val="20"/>
              </w:rPr>
              <w:t xml:space="preserve"> standard object must be configured with </w:t>
            </w:r>
            <w:proofErr w:type="spellStart"/>
            <w:r>
              <w:rPr>
                <w:sz w:val="20"/>
                <w:szCs w:val="20"/>
              </w:rPr>
              <w:t>CurrencyIsoCode</w:t>
            </w:r>
            <w:proofErr w:type="spellEnd"/>
            <w:r>
              <w:rPr>
                <w:sz w:val="20"/>
                <w:szCs w:val="20"/>
              </w:rPr>
              <w:t xml:space="preserve"> populated for each entity used in the org</w:t>
            </w:r>
          </w:p>
        </w:tc>
        <w:tc>
          <w:tcPr>
            <w:tcW w:w="3180" w:type="dxa"/>
            <w:tcMar>
              <w:left w:w="80" w:type="dxa"/>
            </w:tcMar>
            <w:vAlign w:val="center"/>
          </w:tcPr>
          <w:p w14:paraId="616AB093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Complete</w:t>
            </w:r>
          </w:p>
        </w:tc>
      </w:tr>
      <w:tr w:rsidR="00CD2E96" w14:paraId="4539CF4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shd w:val="clear" w:color="auto" w:fill="F5F5F5"/>
            <w:tcMar>
              <w:left w:w="80" w:type="dxa"/>
            </w:tcMar>
            <w:vAlign w:val="center"/>
          </w:tcPr>
          <w:p w14:paraId="34F30829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D-004</w:t>
            </w:r>
          </w:p>
        </w:tc>
        <w:tc>
          <w:tcPr>
            <w:tcW w:w="4680" w:type="dxa"/>
            <w:shd w:val="clear" w:color="auto" w:fill="F5F5F5"/>
            <w:tcMar>
              <w:left w:w="80" w:type="dxa"/>
            </w:tcMar>
            <w:vAlign w:val="center"/>
          </w:tcPr>
          <w:p w14:paraId="6A8CEBAD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Quote_Count__c</w:t>
            </w:r>
            <w:proofErr w:type="spellEnd"/>
            <w:r>
              <w:rPr>
                <w:sz w:val="20"/>
                <w:szCs w:val="20"/>
              </w:rPr>
              <w:t xml:space="preserve"> field deployment (Phase 1) must complete before flows (Phase 2) and validation rule (Phase 4) can reference it</w:t>
            </w:r>
          </w:p>
        </w:tc>
        <w:tc>
          <w:tcPr>
            <w:tcW w:w="3180" w:type="dxa"/>
            <w:shd w:val="clear" w:color="auto" w:fill="F5F5F5"/>
            <w:tcMar>
              <w:left w:w="80" w:type="dxa"/>
            </w:tcMar>
            <w:vAlign w:val="center"/>
          </w:tcPr>
          <w:p w14:paraId="3B3A436F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Complete</w:t>
            </w:r>
          </w:p>
        </w:tc>
      </w:tr>
    </w:tbl>
    <w:p w14:paraId="55D14AA7" w14:textId="77777777" w:rsidR="00CD2E96" w:rsidRDefault="00CD2E96">
      <w:pPr>
        <w:spacing w:after="320"/>
      </w:pPr>
    </w:p>
    <w:p w14:paraId="5929D889" w14:textId="77777777" w:rsidR="00CD2E96" w:rsidRDefault="00000000">
      <w:pPr>
        <w:pStyle w:val="Heading2"/>
      </w:pPr>
      <w:bookmarkStart w:id="12" w:name="_Toc222309509"/>
      <w:r>
        <w:t>5.2 External Dependencies</w:t>
      </w:r>
      <w:bookmarkEnd w:id="1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4507"/>
        <w:gridCol w:w="3071"/>
      </w:tblGrid>
      <w:tr w:rsidR="00CD2E96" w14:paraId="16A5BF51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500" w:type="dxa"/>
            <w:shd w:val="clear" w:color="auto" w:fill="1E4D78"/>
            <w:tcMar>
              <w:left w:w="80" w:type="dxa"/>
            </w:tcMar>
            <w:vAlign w:val="center"/>
          </w:tcPr>
          <w:p w14:paraId="3564E0E1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80" w:type="dxa"/>
            <w:shd w:val="clear" w:color="auto" w:fill="1E4D78"/>
            <w:tcMar>
              <w:left w:w="80" w:type="dxa"/>
            </w:tcMar>
            <w:vAlign w:val="center"/>
          </w:tcPr>
          <w:p w14:paraId="7A13DACC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3180" w:type="dxa"/>
            <w:shd w:val="clear" w:color="auto" w:fill="1E4D78"/>
            <w:tcMar>
              <w:left w:w="80" w:type="dxa"/>
            </w:tcMar>
            <w:vAlign w:val="center"/>
          </w:tcPr>
          <w:p w14:paraId="66BDB3C0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CD2E96" w14:paraId="1550909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6FA955D9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E-001</w:t>
            </w:r>
          </w:p>
        </w:tc>
        <w:tc>
          <w:tcPr>
            <w:tcW w:w="4680" w:type="dxa"/>
            <w:tcMar>
              <w:left w:w="80" w:type="dxa"/>
            </w:tcMar>
            <w:vAlign w:val="center"/>
          </w:tcPr>
          <w:p w14:paraId="4E4F545A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Salesforce </w:t>
            </w:r>
            <w:proofErr w:type="gramStart"/>
            <w:r>
              <w:rPr>
                <w:sz w:val="20"/>
                <w:szCs w:val="20"/>
              </w:rPr>
              <w:t>Multi-Currency</w:t>
            </w:r>
            <w:proofErr w:type="gramEnd"/>
            <w:r>
              <w:rPr>
                <w:sz w:val="20"/>
                <w:szCs w:val="20"/>
              </w:rPr>
              <w:t xml:space="preserve"> must be enabled in the org with appropriate currency records configured for all Legal Entity currencies</w:t>
            </w:r>
          </w:p>
        </w:tc>
        <w:tc>
          <w:tcPr>
            <w:tcW w:w="3180" w:type="dxa"/>
            <w:tcMar>
              <w:left w:w="80" w:type="dxa"/>
            </w:tcMar>
            <w:vAlign w:val="center"/>
          </w:tcPr>
          <w:p w14:paraId="5463D789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Fortra</w:t>
            </w:r>
            <w:proofErr w:type="spellEnd"/>
            <w:r>
              <w:rPr>
                <w:sz w:val="20"/>
                <w:szCs w:val="20"/>
              </w:rPr>
              <w:t xml:space="preserve"> System Administrator</w:t>
            </w:r>
          </w:p>
        </w:tc>
      </w:tr>
      <w:tr w:rsidR="00CD2E96" w14:paraId="546D6D9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shd w:val="clear" w:color="auto" w:fill="F5F5F5"/>
            <w:tcMar>
              <w:left w:w="80" w:type="dxa"/>
            </w:tcMar>
            <w:vAlign w:val="center"/>
          </w:tcPr>
          <w:p w14:paraId="4EC8BBD0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E-002</w:t>
            </w:r>
          </w:p>
        </w:tc>
        <w:tc>
          <w:tcPr>
            <w:tcW w:w="4680" w:type="dxa"/>
            <w:shd w:val="clear" w:color="auto" w:fill="F5F5F5"/>
            <w:tcMar>
              <w:left w:w="80" w:type="dxa"/>
            </w:tcMar>
            <w:vAlign w:val="center"/>
          </w:tcPr>
          <w:p w14:paraId="05DA002B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Salesforce Revenue Cloud Legal Entity setup must be complete with </w:t>
            </w:r>
            <w:proofErr w:type="spellStart"/>
            <w:r>
              <w:rPr>
                <w:sz w:val="20"/>
                <w:szCs w:val="20"/>
              </w:rPr>
              <w:t>LegalEntity</w:t>
            </w:r>
            <w:proofErr w:type="spellEnd"/>
            <w:r>
              <w:rPr>
                <w:sz w:val="20"/>
                <w:szCs w:val="20"/>
              </w:rPr>
              <w:t xml:space="preserve"> records created and associated with correct </w:t>
            </w:r>
            <w:proofErr w:type="spellStart"/>
            <w:r>
              <w:rPr>
                <w:sz w:val="20"/>
                <w:szCs w:val="20"/>
              </w:rPr>
              <w:t>CurrencyIsoCode</w:t>
            </w:r>
            <w:proofErr w:type="spellEnd"/>
            <w:r>
              <w:rPr>
                <w:sz w:val="20"/>
                <w:szCs w:val="20"/>
              </w:rPr>
              <w:t xml:space="preserve"> values</w:t>
            </w:r>
          </w:p>
        </w:tc>
        <w:tc>
          <w:tcPr>
            <w:tcW w:w="3180" w:type="dxa"/>
            <w:shd w:val="clear" w:color="auto" w:fill="F5F5F5"/>
            <w:tcMar>
              <w:left w:w="80" w:type="dxa"/>
            </w:tcMar>
            <w:vAlign w:val="center"/>
          </w:tcPr>
          <w:p w14:paraId="174530CA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Fortra</w:t>
            </w:r>
            <w:proofErr w:type="spellEnd"/>
            <w:r>
              <w:rPr>
                <w:sz w:val="20"/>
                <w:szCs w:val="20"/>
              </w:rPr>
              <w:t xml:space="preserve"> / Salesforce</w:t>
            </w:r>
          </w:p>
        </w:tc>
      </w:tr>
      <w:tr w:rsidR="00CD2E96" w14:paraId="5DEC6E8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dxa"/>
            <w:tcMar>
              <w:left w:w="80" w:type="dxa"/>
            </w:tcMar>
            <w:vAlign w:val="center"/>
          </w:tcPr>
          <w:p w14:paraId="0511A973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E-003</w:t>
            </w:r>
          </w:p>
        </w:tc>
        <w:tc>
          <w:tcPr>
            <w:tcW w:w="4680" w:type="dxa"/>
            <w:tcMar>
              <w:left w:w="80" w:type="dxa"/>
            </w:tcMar>
            <w:vAlign w:val="center"/>
          </w:tcPr>
          <w:p w14:paraId="119E5CB9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User profiles and permission sets must grant access to run the screen flow and delete Quote records for users who need to change Legal Entity with currency mismatch</w:t>
            </w:r>
          </w:p>
        </w:tc>
        <w:tc>
          <w:tcPr>
            <w:tcW w:w="3180" w:type="dxa"/>
            <w:tcMar>
              <w:left w:w="80" w:type="dxa"/>
            </w:tcMar>
            <w:vAlign w:val="center"/>
          </w:tcPr>
          <w:p w14:paraId="0357E4AD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Fortra</w:t>
            </w:r>
            <w:proofErr w:type="spellEnd"/>
            <w:r>
              <w:rPr>
                <w:sz w:val="20"/>
                <w:szCs w:val="20"/>
              </w:rPr>
              <w:t xml:space="preserve"> System Administrator</w:t>
            </w:r>
          </w:p>
        </w:tc>
      </w:tr>
    </w:tbl>
    <w:p w14:paraId="525A0FC8" w14:textId="77777777" w:rsidR="00CD2E96" w:rsidRDefault="00CD2E96">
      <w:pPr>
        <w:spacing w:after="320"/>
      </w:pPr>
    </w:p>
    <w:p w14:paraId="641C4F75" w14:textId="77777777" w:rsidR="00CD2E96" w:rsidRDefault="00000000">
      <w:r>
        <w:br w:type="page"/>
      </w:r>
    </w:p>
    <w:p w14:paraId="2D21399C" w14:textId="77777777" w:rsidR="00CD2E96" w:rsidRDefault="00000000">
      <w:pPr>
        <w:pStyle w:val="Heading1"/>
      </w:pPr>
      <w:bookmarkStart w:id="13" w:name="_Toc222309510"/>
      <w:r>
        <w:lastRenderedPageBreak/>
        <w:t>6. Technical Design</w:t>
      </w:r>
      <w:bookmarkEnd w:id="13"/>
    </w:p>
    <w:p w14:paraId="6EABE40B" w14:textId="77777777" w:rsidR="00CD2E96" w:rsidRDefault="00000000">
      <w:pPr>
        <w:pStyle w:val="Heading2"/>
      </w:pPr>
      <w:bookmarkStart w:id="14" w:name="_Toc222309511"/>
      <w:r>
        <w:t>6.1 Architecture Overview</w:t>
      </w:r>
      <w:bookmarkEnd w:id="14"/>
    </w:p>
    <w:p w14:paraId="53587A0C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t xml:space="preserve">The solution uses a defensive programming pattern with a denormalized counter field to work around Salesforce platform limitations. Since validation rules cannot perform aggregate queries on child records, a </w:t>
      </w:r>
      <w:proofErr w:type="spellStart"/>
      <w:r>
        <w:t>Quote_Count__c</w:t>
      </w:r>
      <w:proofErr w:type="spellEnd"/>
      <w:r>
        <w:t xml:space="preserve"> field on Opportunity is maintained by paired record-triggered flows to provide real-time Quote count data.</w:t>
      </w:r>
    </w:p>
    <w:p w14:paraId="044F0889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The main screen flow (</w:t>
      </w:r>
      <w:proofErr w:type="spellStart"/>
      <w:r>
        <w:rPr>
          <w:b/>
          <w:bCs/>
        </w:rPr>
        <w:t>Fortra_Opportunity_Change_Legal_Entity</w:t>
      </w:r>
      <w:proofErr w:type="spellEnd"/>
      <w:r>
        <w:rPr>
          <w:b/>
          <w:bCs/>
        </w:rPr>
        <w:t>) implements a multi-branch decision tree:</w:t>
      </w:r>
      <w:r>
        <w:t xml:space="preserve"> it first checks if the same Legal Entity was selected (no-op), then checks currency match (simple update), then checks for existing Quotes (with or without deletion). Each branch has its own update operation with the appropriate field combination.</w:t>
      </w:r>
    </w:p>
    <w:p w14:paraId="67073201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The Quick Action + Validation Rule pattern ensures data integrity:</w:t>
      </w:r>
      <w:r>
        <w:t xml:space="preserve"> the validation rule blocks direct inline edits that would create currency orphaning, while the Quick Action provides the guided workflow to handle the complex scenario. This dual-control approach prevents data corruption while maintaining usability.</w:t>
      </w:r>
    </w:p>
    <w:p w14:paraId="1A164016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t>Error handling uses fault connectors on every DML operation (3 update operations and 1 delete operation) that route to a common error screen displaying $</w:t>
      </w:r>
      <w:proofErr w:type="spellStart"/>
      <w:r>
        <w:t>Flow.FaultMessage</w:t>
      </w:r>
      <w:proofErr w:type="spellEnd"/>
      <w:r>
        <w:t>. This ensures users always see meaningful error information.</w:t>
      </w:r>
    </w:p>
    <w:p w14:paraId="62A538CC" w14:textId="77777777" w:rsidR="00CD2E96" w:rsidRDefault="00000000"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>The Quote Count maintenance uses two separate flows rather than a single flow because Salesforce requires different trigger contexts:</w:t>
      </w:r>
      <w:r>
        <w:t xml:space="preserve"> After Save for creation (to include the new record in the count) and Before Delete for deletion (because the record still exists in Before Delete context and must be subtracted).</w:t>
      </w:r>
    </w:p>
    <w:p w14:paraId="7780DBC6" w14:textId="77777777" w:rsidR="00CD2E96" w:rsidRDefault="00000000">
      <w:pPr>
        <w:pStyle w:val="Heading2"/>
      </w:pPr>
      <w:bookmarkStart w:id="15" w:name="_Toc222309512"/>
      <w:r>
        <w:t>6.2 Data Model</w:t>
      </w:r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4"/>
        <w:gridCol w:w="3039"/>
        <w:gridCol w:w="3593"/>
      </w:tblGrid>
      <w:tr w:rsidR="00CD2E96" w14:paraId="7AF6946C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2500" w:type="dxa"/>
            <w:shd w:val="clear" w:color="auto" w:fill="1E4D78"/>
            <w:tcMar>
              <w:left w:w="80" w:type="dxa"/>
            </w:tcMar>
            <w:vAlign w:val="center"/>
          </w:tcPr>
          <w:p w14:paraId="257C29D3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</w:p>
        </w:tc>
        <w:tc>
          <w:tcPr>
            <w:tcW w:w="3180" w:type="dxa"/>
            <w:shd w:val="clear" w:color="auto" w:fill="1E4D78"/>
            <w:tcMar>
              <w:left w:w="80" w:type="dxa"/>
            </w:tcMar>
            <w:vAlign w:val="center"/>
          </w:tcPr>
          <w:p w14:paraId="275D56E6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680" w:type="dxa"/>
            <w:shd w:val="clear" w:color="auto" w:fill="1E4D78"/>
            <w:tcMar>
              <w:left w:w="80" w:type="dxa"/>
            </w:tcMar>
            <w:vAlign w:val="center"/>
          </w:tcPr>
          <w:p w14:paraId="42DB87D3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D2E96" w14:paraId="0B3B7BF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0" w:type="dxa"/>
            <w:tcMar>
              <w:left w:w="80" w:type="dxa"/>
            </w:tcMar>
            <w:vAlign w:val="center"/>
          </w:tcPr>
          <w:p w14:paraId="60A8ED37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Opportunity</w:t>
            </w:r>
          </w:p>
        </w:tc>
        <w:tc>
          <w:tcPr>
            <w:tcW w:w="3180" w:type="dxa"/>
            <w:tcMar>
              <w:left w:w="80" w:type="dxa"/>
            </w:tcMar>
            <w:vAlign w:val="center"/>
          </w:tcPr>
          <w:p w14:paraId="4BA14C18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Legal_Entity__c</w:t>
            </w:r>
            <w:proofErr w:type="spellEnd"/>
          </w:p>
        </w:tc>
        <w:tc>
          <w:tcPr>
            <w:tcW w:w="3680" w:type="dxa"/>
            <w:tcMar>
              <w:left w:w="80" w:type="dxa"/>
            </w:tcMar>
            <w:vAlign w:val="center"/>
          </w:tcPr>
          <w:p w14:paraId="05F10AE4" w14:textId="77777777" w:rsidR="00CD2E96" w:rsidRDefault="00000000">
            <w:pPr>
              <w:spacing w:before="120" w:after="120"/>
            </w:pPr>
            <w:proofErr w:type="gramStart"/>
            <w:r>
              <w:rPr>
                <w:sz w:val="20"/>
                <w:szCs w:val="20"/>
              </w:rPr>
              <w:t>Lookup(</w:t>
            </w:r>
            <w:proofErr w:type="spellStart"/>
            <w:proofErr w:type="gramEnd"/>
            <w:r>
              <w:rPr>
                <w:sz w:val="20"/>
                <w:szCs w:val="20"/>
              </w:rPr>
              <w:t>LegalEntity</w:t>
            </w:r>
            <w:proofErr w:type="spellEnd"/>
            <w:r>
              <w:rPr>
                <w:sz w:val="20"/>
                <w:szCs w:val="20"/>
              </w:rPr>
              <w:t>) - The Legal Entity associated with the Opportunity, determining the billing entity and currency context</w:t>
            </w:r>
          </w:p>
        </w:tc>
      </w:tr>
      <w:tr w:rsidR="00CD2E96" w14:paraId="3CD6A4F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0" w:type="dxa"/>
            <w:shd w:val="clear" w:color="auto" w:fill="F5F5F5"/>
            <w:tcMar>
              <w:left w:w="80" w:type="dxa"/>
            </w:tcMar>
            <w:vAlign w:val="center"/>
          </w:tcPr>
          <w:p w14:paraId="040F4983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Opportunity</w:t>
            </w:r>
          </w:p>
        </w:tc>
        <w:tc>
          <w:tcPr>
            <w:tcW w:w="3180" w:type="dxa"/>
            <w:shd w:val="clear" w:color="auto" w:fill="F5F5F5"/>
            <w:tcMar>
              <w:left w:w="80" w:type="dxa"/>
            </w:tcMar>
            <w:vAlign w:val="center"/>
          </w:tcPr>
          <w:p w14:paraId="5983E275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CurrencyIsoCode</w:t>
            </w:r>
            <w:proofErr w:type="spellEnd"/>
          </w:p>
        </w:tc>
        <w:tc>
          <w:tcPr>
            <w:tcW w:w="3680" w:type="dxa"/>
            <w:shd w:val="clear" w:color="auto" w:fill="F5F5F5"/>
            <w:tcMar>
              <w:left w:w="80" w:type="dxa"/>
            </w:tcMar>
            <w:vAlign w:val="center"/>
          </w:tcPr>
          <w:p w14:paraId="3393815D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Standard multi-currency field - Must align with the Legal Entity's currency. Cannot be changed directly when Quotes exist.</w:t>
            </w:r>
          </w:p>
        </w:tc>
      </w:tr>
      <w:tr w:rsidR="00CD2E96" w14:paraId="3ACA353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0" w:type="dxa"/>
            <w:tcMar>
              <w:left w:w="80" w:type="dxa"/>
            </w:tcMar>
            <w:vAlign w:val="center"/>
          </w:tcPr>
          <w:p w14:paraId="1183DCA5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Opportunity</w:t>
            </w:r>
          </w:p>
        </w:tc>
        <w:tc>
          <w:tcPr>
            <w:tcW w:w="3180" w:type="dxa"/>
            <w:tcMar>
              <w:left w:w="80" w:type="dxa"/>
            </w:tcMar>
            <w:vAlign w:val="center"/>
          </w:tcPr>
          <w:p w14:paraId="0AB466E8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Quote_Count__c</w:t>
            </w:r>
            <w:proofErr w:type="spellEnd"/>
          </w:p>
        </w:tc>
        <w:tc>
          <w:tcPr>
            <w:tcW w:w="3680" w:type="dxa"/>
            <w:tcMar>
              <w:left w:w="80" w:type="dxa"/>
            </w:tcMar>
            <w:vAlign w:val="center"/>
          </w:tcPr>
          <w:p w14:paraId="45DC9844" w14:textId="77777777" w:rsidR="00CD2E96" w:rsidRDefault="00000000">
            <w:pPr>
              <w:spacing w:before="120" w:after="120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18,0), default 0 - Denormalized count of related Quotes maintained by record-triggered flows. Used by validation rule and flow decision logic.</w:t>
            </w:r>
          </w:p>
        </w:tc>
      </w:tr>
      <w:tr w:rsidR="00CD2E96" w14:paraId="0347AF5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0" w:type="dxa"/>
            <w:shd w:val="clear" w:color="auto" w:fill="F5F5F5"/>
            <w:tcMar>
              <w:left w:w="80" w:type="dxa"/>
            </w:tcMar>
            <w:vAlign w:val="center"/>
          </w:tcPr>
          <w:p w14:paraId="7A67F72F" w14:textId="77777777" w:rsidR="00CD2E96" w:rsidRDefault="00000000">
            <w:pPr>
              <w:spacing w:before="120"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LegalEntity</w:t>
            </w:r>
            <w:proofErr w:type="spellEnd"/>
          </w:p>
        </w:tc>
        <w:tc>
          <w:tcPr>
            <w:tcW w:w="3180" w:type="dxa"/>
            <w:shd w:val="clear" w:color="auto" w:fill="F5F5F5"/>
            <w:tcMar>
              <w:left w:w="80" w:type="dxa"/>
            </w:tcMar>
            <w:vAlign w:val="center"/>
          </w:tcPr>
          <w:p w14:paraId="0182CA7A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CurrencyIsoCode</w:t>
            </w:r>
            <w:proofErr w:type="spellEnd"/>
          </w:p>
        </w:tc>
        <w:tc>
          <w:tcPr>
            <w:tcW w:w="3680" w:type="dxa"/>
            <w:shd w:val="clear" w:color="auto" w:fill="F5F5F5"/>
            <w:tcMar>
              <w:left w:w="80" w:type="dxa"/>
            </w:tcMar>
            <w:vAlign w:val="center"/>
          </w:tcPr>
          <w:p w14:paraId="119E5C4D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 xml:space="preserve">Standard field - Currency associated with the Legal Entity. Compared against </w:t>
            </w:r>
            <w:proofErr w:type="spellStart"/>
            <w:r>
              <w:rPr>
                <w:sz w:val="20"/>
                <w:szCs w:val="20"/>
              </w:rPr>
              <w:t>Opportunity.CurrencyIsoCode</w:t>
            </w:r>
            <w:proofErr w:type="spellEnd"/>
            <w:r>
              <w:rPr>
                <w:sz w:val="20"/>
                <w:szCs w:val="20"/>
              </w:rPr>
              <w:t xml:space="preserve"> to detect mismatches.</w:t>
            </w:r>
          </w:p>
        </w:tc>
      </w:tr>
      <w:tr w:rsidR="00CD2E96" w14:paraId="1C38803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0" w:type="dxa"/>
            <w:tcMar>
              <w:left w:w="80" w:type="dxa"/>
            </w:tcMar>
            <w:vAlign w:val="center"/>
          </w:tcPr>
          <w:p w14:paraId="701F93BB" w14:textId="77777777" w:rsidR="00CD2E96" w:rsidRDefault="00000000">
            <w:pPr>
              <w:spacing w:before="120"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LegalEntity</w:t>
            </w:r>
            <w:proofErr w:type="spellEnd"/>
          </w:p>
        </w:tc>
        <w:tc>
          <w:tcPr>
            <w:tcW w:w="3180" w:type="dxa"/>
            <w:tcMar>
              <w:left w:w="80" w:type="dxa"/>
            </w:tcMar>
            <w:vAlign w:val="center"/>
          </w:tcPr>
          <w:p w14:paraId="067368AF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680" w:type="dxa"/>
            <w:tcMar>
              <w:left w:w="80" w:type="dxa"/>
            </w:tcMar>
            <w:vAlign w:val="center"/>
          </w:tcPr>
          <w:p w14:paraId="1483B80D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Standard field - Legal Entity name displayed in flow screens for user context and confirmation messages.</w:t>
            </w:r>
          </w:p>
        </w:tc>
      </w:tr>
      <w:tr w:rsidR="00CD2E96" w14:paraId="4010925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0" w:type="dxa"/>
            <w:shd w:val="clear" w:color="auto" w:fill="F5F5F5"/>
            <w:tcMar>
              <w:left w:w="80" w:type="dxa"/>
            </w:tcMar>
            <w:vAlign w:val="center"/>
          </w:tcPr>
          <w:p w14:paraId="3E9BD8B5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Quote</w:t>
            </w:r>
          </w:p>
        </w:tc>
        <w:tc>
          <w:tcPr>
            <w:tcW w:w="3180" w:type="dxa"/>
            <w:shd w:val="clear" w:color="auto" w:fill="F5F5F5"/>
            <w:tcMar>
              <w:left w:w="80" w:type="dxa"/>
            </w:tcMar>
            <w:vAlign w:val="center"/>
          </w:tcPr>
          <w:p w14:paraId="7BD574F6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OpportunityId</w:t>
            </w:r>
            <w:proofErr w:type="spellEnd"/>
          </w:p>
        </w:tc>
        <w:tc>
          <w:tcPr>
            <w:tcW w:w="3680" w:type="dxa"/>
            <w:shd w:val="clear" w:color="auto" w:fill="F5F5F5"/>
            <w:tcMar>
              <w:left w:w="80" w:type="dxa"/>
            </w:tcMar>
            <w:vAlign w:val="center"/>
          </w:tcPr>
          <w:p w14:paraId="46F50012" w14:textId="77777777" w:rsidR="00CD2E96" w:rsidRDefault="00000000">
            <w:pPr>
              <w:spacing w:before="120" w:after="120"/>
            </w:pPr>
            <w:r>
              <w:rPr>
                <w:sz w:val="20"/>
                <w:szCs w:val="20"/>
              </w:rPr>
              <w:t>Standard lookup - Used to query and count Quotes related to the Opportunity, and to delete all Quotes when currency change requires it.</w:t>
            </w:r>
          </w:p>
        </w:tc>
      </w:tr>
    </w:tbl>
    <w:p w14:paraId="56CC2C90" w14:textId="77777777" w:rsidR="00CD2E96" w:rsidRDefault="00CD2E96">
      <w:pPr>
        <w:spacing w:after="320"/>
      </w:pPr>
    </w:p>
    <w:p w14:paraId="71D67949" w14:textId="77777777" w:rsidR="00CD2E96" w:rsidRDefault="00000000">
      <w:pPr>
        <w:pStyle w:val="Heading3"/>
      </w:pPr>
      <w:bookmarkStart w:id="16" w:name="_Toc222309513"/>
      <w:r>
        <w:t>6.2.1 Field Mappings</w:t>
      </w:r>
      <w:bookmarkEnd w:id="1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3"/>
        <w:gridCol w:w="4573"/>
      </w:tblGrid>
      <w:tr w:rsidR="00CD2E96" w14:paraId="7EA80F51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4680" w:type="dxa"/>
            <w:shd w:val="clear" w:color="auto" w:fill="1E4D78"/>
            <w:tcMar>
              <w:left w:w="80" w:type="dxa"/>
            </w:tcMar>
            <w:vAlign w:val="center"/>
          </w:tcPr>
          <w:p w14:paraId="4BF7D1B7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Source Field</w:t>
            </w:r>
          </w:p>
        </w:tc>
        <w:tc>
          <w:tcPr>
            <w:tcW w:w="4680" w:type="dxa"/>
            <w:shd w:val="clear" w:color="auto" w:fill="1E4D78"/>
            <w:tcMar>
              <w:left w:w="80" w:type="dxa"/>
            </w:tcMar>
            <w:vAlign w:val="center"/>
          </w:tcPr>
          <w:p w14:paraId="7D353E68" w14:textId="77777777" w:rsidR="00CD2E9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Target Field</w:t>
            </w:r>
          </w:p>
        </w:tc>
      </w:tr>
      <w:tr w:rsidR="00CD2E96" w14:paraId="58A8952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4680" w:type="dxa"/>
            <w:tcMar>
              <w:left w:w="80" w:type="dxa"/>
            </w:tcMar>
            <w:vAlign w:val="center"/>
          </w:tcPr>
          <w:p w14:paraId="10609A14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 xml:space="preserve">Selected </w:t>
            </w:r>
            <w:proofErr w:type="spellStart"/>
            <w:r>
              <w:rPr>
                <w:b/>
                <w:bCs/>
                <w:sz w:val="20"/>
                <w:szCs w:val="20"/>
              </w:rPr>
              <w:t>LegalEntity.Id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(from flow lookup)</w:t>
            </w:r>
          </w:p>
        </w:tc>
        <w:tc>
          <w:tcPr>
            <w:tcW w:w="4680" w:type="dxa"/>
            <w:tcMar>
              <w:left w:w="80" w:type="dxa"/>
            </w:tcMar>
            <w:vAlign w:val="center"/>
          </w:tcPr>
          <w:p w14:paraId="6503AA49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Opportunity.Legal_Entity__c</w:t>
            </w:r>
            <w:proofErr w:type="spellEnd"/>
          </w:p>
        </w:tc>
      </w:tr>
      <w:tr w:rsidR="00CD2E96" w14:paraId="40D4811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4680" w:type="dxa"/>
            <w:shd w:val="clear" w:color="auto" w:fill="F5F5F5"/>
            <w:tcMar>
              <w:left w:w="80" w:type="dxa"/>
            </w:tcMar>
            <w:vAlign w:val="center"/>
          </w:tcPr>
          <w:p w14:paraId="566DC7F6" w14:textId="77777777" w:rsidR="00CD2E96" w:rsidRDefault="00000000">
            <w:pPr>
              <w:spacing w:before="120"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LegalEntity.CurrencyIsoCode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(queried in flow)</w:t>
            </w:r>
          </w:p>
        </w:tc>
        <w:tc>
          <w:tcPr>
            <w:tcW w:w="4680" w:type="dxa"/>
            <w:shd w:val="clear" w:color="auto" w:fill="F5F5F5"/>
            <w:tcMar>
              <w:left w:w="80" w:type="dxa"/>
            </w:tcMar>
            <w:vAlign w:val="center"/>
          </w:tcPr>
          <w:p w14:paraId="4C9D1251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Opportunity.CurrencyIsoCode</w:t>
            </w:r>
            <w:proofErr w:type="spellEnd"/>
            <w:r>
              <w:rPr>
                <w:sz w:val="20"/>
                <w:szCs w:val="20"/>
              </w:rPr>
              <w:t xml:space="preserve"> (when currency mismatch detected)</w:t>
            </w:r>
          </w:p>
        </w:tc>
      </w:tr>
      <w:tr w:rsidR="00CD2E96" w14:paraId="429B4F4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4680" w:type="dxa"/>
            <w:tcMar>
              <w:left w:w="80" w:type="dxa"/>
            </w:tcMar>
            <w:vAlign w:val="center"/>
          </w:tcPr>
          <w:p w14:paraId="336A57FB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Literal: 0</w:t>
            </w:r>
          </w:p>
        </w:tc>
        <w:tc>
          <w:tcPr>
            <w:tcW w:w="4680" w:type="dxa"/>
            <w:tcMar>
              <w:left w:w="80" w:type="dxa"/>
            </w:tcMar>
            <w:vAlign w:val="center"/>
          </w:tcPr>
          <w:p w14:paraId="11BE0A3C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Opportunity.Quote_Count__c</w:t>
            </w:r>
            <w:proofErr w:type="spellEnd"/>
            <w:r>
              <w:rPr>
                <w:sz w:val="20"/>
                <w:szCs w:val="20"/>
              </w:rPr>
              <w:t xml:space="preserve"> (after Quote deletion in flow)</w:t>
            </w:r>
          </w:p>
        </w:tc>
      </w:tr>
      <w:tr w:rsidR="00CD2E96" w14:paraId="3829F13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4680" w:type="dxa"/>
            <w:shd w:val="clear" w:color="auto" w:fill="F5F5F5"/>
            <w:tcMar>
              <w:left w:w="80" w:type="dxa"/>
            </w:tcMar>
            <w:vAlign w:val="center"/>
          </w:tcPr>
          <w:p w14:paraId="5B3E1CF4" w14:textId="77777777" w:rsidR="00CD2E96" w:rsidRDefault="00000000">
            <w:pPr>
              <w:spacing w:before="120" w:after="120"/>
            </w:pPr>
            <w:proofErr w:type="gramStart"/>
            <w:r>
              <w:rPr>
                <w:b/>
                <w:bCs/>
                <w:sz w:val="20"/>
                <w:szCs w:val="20"/>
              </w:rPr>
              <w:t>COUNT(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Quotes WHERE </w:t>
            </w:r>
            <w:proofErr w:type="spellStart"/>
            <w:r>
              <w:rPr>
                <w:b/>
                <w:bCs/>
                <w:sz w:val="20"/>
                <w:szCs w:val="20"/>
              </w:rPr>
              <w:t>OpportunityId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$</w:t>
            </w:r>
            <w:proofErr w:type="spellStart"/>
            <w:r>
              <w:rPr>
                <w:b/>
                <w:bCs/>
                <w:sz w:val="20"/>
                <w:szCs w:val="20"/>
              </w:rPr>
              <w:t>Record.OpportunityId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shd w:val="clear" w:color="auto" w:fill="F5F5F5"/>
            <w:tcMar>
              <w:left w:w="80" w:type="dxa"/>
            </w:tcMar>
            <w:vAlign w:val="center"/>
          </w:tcPr>
          <w:p w14:paraId="78E9B0A0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Opportunity.Quote_Count__c</w:t>
            </w:r>
            <w:proofErr w:type="spellEnd"/>
            <w:r>
              <w:rPr>
                <w:sz w:val="20"/>
                <w:szCs w:val="20"/>
              </w:rPr>
              <w:t xml:space="preserve"> (via </w:t>
            </w:r>
            <w:proofErr w:type="spellStart"/>
            <w:r>
              <w:rPr>
                <w:sz w:val="20"/>
                <w:szCs w:val="20"/>
              </w:rPr>
              <w:t>Fortra_Quote_Count_Maintenance</w:t>
            </w:r>
            <w:proofErr w:type="spellEnd"/>
            <w:r>
              <w:rPr>
                <w:sz w:val="20"/>
                <w:szCs w:val="20"/>
              </w:rPr>
              <w:t xml:space="preserve"> flow)</w:t>
            </w:r>
          </w:p>
        </w:tc>
      </w:tr>
      <w:tr w:rsidR="00CD2E96" w14:paraId="5EFFABC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4680" w:type="dxa"/>
            <w:tcMar>
              <w:left w:w="80" w:type="dxa"/>
            </w:tcMar>
            <w:vAlign w:val="center"/>
          </w:tcPr>
          <w:p w14:paraId="3C17DE5D" w14:textId="77777777" w:rsidR="00CD2E96" w:rsidRDefault="00000000"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>COUNT(Quotes) - 1 (Before Delete context includes deleted record)</w:t>
            </w:r>
          </w:p>
        </w:tc>
        <w:tc>
          <w:tcPr>
            <w:tcW w:w="4680" w:type="dxa"/>
            <w:tcMar>
              <w:left w:w="80" w:type="dxa"/>
            </w:tcMar>
            <w:vAlign w:val="center"/>
          </w:tcPr>
          <w:p w14:paraId="7ABA7AA3" w14:textId="77777777" w:rsidR="00CD2E96" w:rsidRDefault="00000000">
            <w:pPr>
              <w:spacing w:before="120" w:after="120"/>
            </w:pPr>
            <w:proofErr w:type="spellStart"/>
            <w:r>
              <w:rPr>
                <w:sz w:val="20"/>
                <w:szCs w:val="20"/>
              </w:rPr>
              <w:t>Opportunity.Quote_Count__c</w:t>
            </w:r>
            <w:proofErr w:type="spellEnd"/>
            <w:r>
              <w:rPr>
                <w:sz w:val="20"/>
                <w:szCs w:val="20"/>
              </w:rPr>
              <w:t xml:space="preserve"> (via </w:t>
            </w:r>
            <w:proofErr w:type="spellStart"/>
            <w:r>
              <w:rPr>
                <w:sz w:val="20"/>
                <w:szCs w:val="20"/>
              </w:rPr>
              <w:t>Fortra_Quote_Count_Maintenance_Delete</w:t>
            </w:r>
            <w:proofErr w:type="spellEnd"/>
            <w:r>
              <w:rPr>
                <w:sz w:val="20"/>
                <w:szCs w:val="20"/>
              </w:rPr>
              <w:t xml:space="preserve"> flow)</w:t>
            </w:r>
          </w:p>
        </w:tc>
      </w:tr>
    </w:tbl>
    <w:p w14:paraId="116E1F81" w14:textId="77777777" w:rsidR="00CD2E96" w:rsidRDefault="00CD2E96">
      <w:pPr>
        <w:spacing w:after="320"/>
      </w:pPr>
    </w:p>
    <w:p w14:paraId="48BB5767" w14:textId="77777777" w:rsidR="00CD2E96" w:rsidRDefault="00000000">
      <w:pPr>
        <w:pStyle w:val="Heading2"/>
      </w:pPr>
      <w:bookmarkStart w:id="17" w:name="_Toc222309514"/>
      <w:r>
        <w:t>6.3 Business Logic</w:t>
      </w:r>
      <w:bookmarkEnd w:id="17"/>
    </w:p>
    <w:p w14:paraId="5614E574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Decision:</w:t>
      </w:r>
      <w:r>
        <w:t xml:space="preserve"> Same Legal Entity Selected - If the user selects the same Legal Entity already on the Opportunity, the flow displays a 'No Change Needed' screen and exits. This prevents unnecessary DML operations.</w:t>
      </w:r>
    </w:p>
    <w:p w14:paraId="7AB38793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Decision:</w:t>
      </w:r>
      <w:r>
        <w:t xml:space="preserve"> Currency Match - If the new Legal Entity's </w:t>
      </w:r>
      <w:proofErr w:type="spellStart"/>
      <w:r>
        <w:t>CurrencyIsoCode</w:t>
      </w:r>
      <w:proofErr w:type="spellEnd"/>
      <w:r>
        <w:t xml:space="preserve"> matches the Opportunity's </w:t>
      </w:r>
      <w:proofErr w:type="spellStart"/>
      <w:r>
        <w:t>CurrencyIsoCode</w:t>
      </w:r>
      <w:proofErr w:type="spellEnd"/>
      <w:r>
        <w:t xml:space="preserve">, the flow updates only the </w:t>
      </w:r>
      <w:proofErr w:type="spellStart"/>
      <w:r>
        <w:t>Legal_Entity__c</w:t>
      </w:r>
      <w:proofErr w:type="spellEnd"/>
      <w:r>
        <w:t xml:space="preserve"> field (</w:t>
      </w:r>
      <w:proofErr w:type="spellStart"/>
      <w:r>
        <w:t>Update_Opp_LE_Only</w:t>
      </w:r>
      <w:proofErr w:type="spellEnd"/>
      <w:r>
        <w:t>). No Quote impact occurs because the currency is unchanged.</w:t>
      </w:r>
    </w:p>
    <w:p w14:paraId="54651CF2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Decision:</w:t>
      </w:r>
      <w:r>
        <w:t xml:space="preserve"> No Quotes Exist - If currencies differ but </w:t>
      </w:r>
      <w:proofErr w:type="spellStart"/>
      <w:r>
        <w:t>Quote_Count__c</w:t>
      </w:r>
      <w:proofErr w:type="spellEnd"/>
      <w:r>
        <w:t xml:space="preserve"> equals 0, the flow safely updates both </w:t>
      </w:r>
      <w:proofErr w:type="spellStart"/>
      <w:r>
        <w:t>Legal_Entity__c</w:t>
      </w:r>
      <w:proofErr w:type="spellEnd"/>
      <w:r>
        <w:t xml:space="preserve"> and </w:t>
      </w:r>
      <w:proofErr w:type="spellStart"/>
      <w:r>
        <w:t>CurrencyIsoCode</w:t>
      </w:r>
      <w:proofErr w:type="spellEnd"/>
      <w:r>
        <w:t xml:space="preserve"> on the Opportunity (</w:t>
      </w:r>
      <w:proofErr w:type="spellStart"/>
      <w:r>
        <w:t>Update_Opp_LE_And_Currency</w:t>
      </w:r>
      <w:proofErr w:type="spellEnd"/>
      <w:r>
        <w:t>) since there are no Quotes to be affected.</w:t>
      </w:r>
    </w:p>
    <w:p w14:paraId="46144435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Decision:</w:t>
      </w:r>
      <w:r>
        <w:t xml:space="preserve"> Quotes Exist with Currency Mismatch - The flow displays a warning screen with a dynamically constructed message showing the Quote count, current currency, and new currency. The user must choose between deleting all Quotes to proceed or cancelling the operation.</w:t>
      </w:r>
    </w:p>
    <w:p w14:paraId="12898C5C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 w:rsidRPr="002242ED">
        <w:rPr>
          <w:b/>
          <w:bCs/>
        </w:rPr>
        <w:t>Quote Deletion Path</w:t>
      </w:r>
      <w:r>
        <w:t xml:space="preserve"> - If the user confirms deletion, the flow executes a Record Delete on all Quotes WHERE </w:t>
      </w:r>
      <w:proofErr w:type="spellStart"/>
      <w:r>
        <w:t>OpportunityId</w:t>
      </w:r>
      <w:proofErr w:type="spellEnd"/>
      <w:r>
        <w:t xml:space="preserve"> = </w:t>
      </w:r>
      <w:proofErr w:type="spellStart"/>
      <w:r>
        <w:t>recordId</w:t>
      </w:r>
      <w:proofErr w:type="spellEnd"/>
      <w:r>
        <w:t xml:space="preserve">, then updates </w:t>
      </w:r>
      <w:proofErr w:type="spellStart"/>
      <w:r>
        <w:t>Legal_Entity__c</w:t>
      </w:r>
      <w:proofErr w:type="spellEnd"/>
      <w:r>
        <w:t xml:space="preserve">, </w:t>
      </w:r>
      <w:proofErr w:type="spellStart"/>
      <w:r>
        <w:t>CurrencyIsoCode</w:t>
      </w:r>
      <w:proofErr w:type="spellEnd"/>
      <w:r>
        <w:t xml:space="preserve">, and resets </w:t>
      </w:r>
      <w:proofErr w:type="spellStart"/>
      <w:r>
        <w:t>Quote_Count__c</w:t>
      </w:r>
      <w:proofErr w:type="spellEnd"/>
      <w:r>
        <w:t xml:space="preserve"> to 0 (</w:t>
      </w:r>
      <w:proofErr w:type="spellStart"/>
      <w:r>
        <w:t>Update_Opp_LE_Currency_And_Count</w:t>
      </w:r>
      <w:proofErr w:type="spellEnd"/>
      <w:r>
        <w:t>).</w:t>
      </w:r>
    </w:p>
    <w:p w14:paraId="41DA5680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>Validation Rule:</w:t>
      </w:r>
      <w:r>
        <w:t xml:space="preserve"> </w:t>
      </w:r>
      <w:proofErr w:type="spellStart"/>
      <w:r>
        <w:t>Legal_Entity_Requires_Action</w:t>
      </w:r>
      <w:proofErr w:type="spellEnd"/>
      <w:r>
        <w:t xml:space="preserve"> - Evaluates: ISCHANGED(</w:t>
      </w:r>
      <w:proofErr w:type="spellStart"/>
      <w:r>
        <w:t>Legal_Entity__c</w:t>
      </w:r>
      <w:proofErr w:type="spellEnd"/>
      <w:r>
        <w:t>) AND NOT(ISBLANK(</w:t>
      </w:r>
      <w:proofErr w:type="spellStart"/>
      <w:r>
        <w:t>Legal_Entity__c</w:t>
      </w:r>
      <w:proofErr w:type="spellEnd"/>
      <w:r>
        <w:t xml:space="preserve">)) AND </w:t>
      </w:r>
      <w:proofErr w:type="spellStart"/>
      <w:r>
        <w:t>Quote_Count__c</w:t>
      </w:r>
      <w:proofErr w:type="spellEnd"/>
      <w:r>
        <w:t xml:space="preserve"> &gt; 0 AND TEXT(Legal_Entity__</w:t>
      </w:r>
      <w:proofErr w:type="spellStart"/>
      <w:proofErr w:type="gramStart"/>
      <w:r>
        <w:t>r.CurrencyIsoCode</w:t>
      </w:r>
      <w:proofErr w:type="spellEnd"/>
      <w:proofErr w:type="gramEnd"/>
      <w:r>
        <w:t>) &lt;&gt; TEXT(</w:t>
      </w:r>
      <w:proofErr w:type="spellStart"/>
      <w:r>
        <w:t>CurrencyIsoCode</w:t>
      </w:r>
      <w:proofErr w:type="spellEnd"/>
      <w:r>
        <w:t xml:space="preserve">). Displays error on </w:t>
      </w:r>
      <w:proofErr w:type="spellStart"/>
      <w:r>
        <w:t>Legal_Entity__c</w:t>
      </w:r>
      <w:proofErr w:type="spellEnd"/>
      <w:r>
        <w:t xml:space="preserve"> field directing user to the Quick Action.</w:t>
      </w:r>
    </w:p>
    <w:p w14:paraId="7035455D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 w:rsidRPr="002242ED">
        <w:rPr>
          <w:b/>
          <w:bCs/>
        </w:rPr>
        <w:t>Quote Count Maintenance</w:t>
      </w:r>
      <w:r>
        <w:t xml:space="preserve"> (Create) - After a Quote is created, the flow queries all Quotes for the parent Opportunity, uses </w:t>
      </w:r>
      <w:proofErr w:type="spellStart"/>
      <w:r>
        <w:t>AssignCount</w:t>
      </w:r>
      <w:proofErr w:type="spellEnd"/>
      <w:r>
        <w:t xml:space="preserve"> to count them, and updates </w:t>
      </w:r>
      <w:proofErr w:type="spellStart"/>
      <w:r>
        <w:t>Quote_Count__c</w:t>
      </w:r>
      <w:proofErr w:type="spellEnd"/>
      <w:r>
        <w:t>. This ensures the count reflects the newly created Quote.</w:t>
      </w:r>
    </w:p>
    <w:p w14:paraId="46B2EAF5" w14:textId="77777777" w:rsidR="00CD2E96" w:rsidRDefault="00000000">
      <w:pPr>
        <w:pStyle w:val="ListParagraph"/>
        <w:numPr>
          <w:ilvl w:val="0"/>
          <w:numId w:val="2"/>
        </w:numPr>
        <w:spacing w:after="360"/>
      </w:pPr>
      <w:r w:rsidRPr="002242ED">
        <w:rPr>
          <w:b/>
          <w:bCs/>
        </w:rPr>
        <w:t>Quote Count Maintenance</w:t>
      </w:r>
      <w:r>
        <w:t xml:space="preserve"> (Delete) - Before a Quote is deleted, the flow queries all Quotes for the parent Opportunity (which still includes the record being deleted), uses </w:t>
      </w:r>
      <w:proofErr w:type="spellStart"/>
      <w:r>
        <w:t>AssignCount</w:t>
      </w:r>
      <w:proofErr w:type="spellEnd"/>
      <w:r>
        <w:t xml:space="preserve">, subtracts 1 from the count, and updates </w:t>
      </w:r>
      <w:proofErr w:type="spellStart"/>
      <w:r>
        <w:t>Quote_Count__c</w:t>
      </w:r>
      <w:proofErr w:type="spellEnd"/>
      <w:r>
        <w:t>. The subtraction compensates for the Before Delete context.</w:t>
      </w:r>
    </w:p>
    <w:p w14:paraId="58ECA1AD" w14:textId="77777777" w:rsidR="00CD2E96" w:rsidRDefault="00000000">
      <w:pPr>
        <w:pStyle w:val="Heading2"/>
      </w:pPr>
      <w:bookmarkStart w:id="18" w:name="_Toc222309515"/>
      <w:r>
        <w:t>6.4 Integration Points</w:t>
      </w:r>
      <w:bookmarkEnd w:id="18"/>
    </w:p>
    <w:p w14:paraId="0903608A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Opportunity Record Page:</w:t>
      </w:r>
      <w:r>
        <w:t xml:space="preserve"> The Change Legal Entity Quick Action is placed on the Opportunity Record Page (</w:t>
      </w:r>
      <w:proofErr w:type="spellStart"/>
      <w:r>
        <w:t>Opportunity_Record_Page_Two_Column</w:t>
      </w:r>
      <w:proofErr w:type="spellEnd"/>
      <w:r>
        <w:t xml:space="preserve"> </w:t>
      </w:r>
      <w:proofErr w:type="spellStart"/>
      <w:r>
        <w:t>FlexiPage</w:t>
      </w:r>
      <w:proofErr w:type="spellEnd"/>
      <w:r>
        <w:t>) action bar, making it accessible from the standard Opportunity layout.</w:t>
      </w:r>
    </w:p>
    <w:p w14:paraId="619B36D1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LegalEntity</w:t>
      </w:r>
      <w:proofErr w:type="spellEnd"/>
      <w:r>
        <w:rPr>
          <w:b/>
          <w:bCs/>
        </w:rPr>
        <w:t xml:space="preserve"> Standard Object:</w:t>
      </w:r>
      <w:r>
        <w:t xml:space="preserve"> The flow queries the </w:t>
      </w:r>
      <w:proofErr w:type="spellStart"/>
      <w:r>
        <w:t>LegalEntity</w:t>
      </w:r>
      <w:proofErr w:type="spellEnd"/>
      <w:r>
        <w:t xml:space="preserve"> object to retrieve Name and </w:t>
      </w:r>
      <w:proofErr w:type="spellStart"/>
      <w:r>
        <w:t>CurrencyIsoCode</w:t>
      </w:r>
      <w:proofErr w:type="spellEnd"/>
      <w:r>
        <w:t xml:space="preserve"> for the selected entity. This is a standard Salesforce object introduced with Revenue Cloud.</w:t>
      </w:r>
    </w:p>
    <w:p w14:paraId="1A92E1F8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Quote Object:</w:t>
      </w:r>
      <w:r>
        <w:t xml:space="preserve"> The flow performs Get Records, Delete Records, and count operations on the Quote object filtered by </w:t>
      </w:r>
      <w:proofErr w:type="spellStart"/>
      <w:r>
        <w:t>OpportunityId</w:t>
      </w:r>
      <w:proofErr w:type="spellEnd"/>
      <w:r>
        <w:t xml:space="preserve">. Quote deletion cascades to </w:t>
      </w:r>
      <w:proofErr w:type="spellStart"/>
      <w:r>
        <w:t>QuoteLineItems</w:t>
      </w:r>
      <w:proofErr w:type="spellEnd"/>
      <w:r>
        <w:t xml:space="preserve"> and other child records per standard Salesforce behavior.</w:t>
      </w:r>
    </w:p>
    <w:p w14:paraId="0FF3AC1B" w14:textId="77777777" w:rsidR="00CD2E96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Multi-Currency Framework:</w:t>
      </w:r>
      <w:r>
        <w:t xml:space="preserve"> The solution leverages Salesforce Multi-Currency, specifically the </w:t>
      </w:r>
      <w:proofErr w:type="spellStart"/>
      <w:r>
        <w:t>CurrencyIsoCode</w:t>
      </w:r>
      <w:proofErr w:type="spellEnd"/>
      <w:r>
        <w:t xml:space="preserve"> field on Opportunity and </w:t>
      </w:r>
      <w:proofErr w:type="spellStart"/>
      <w:r>
        <w:t>LegalEntity</w:t>
      </w:r>
      <w:proofErr w:type="spellEnd"/>
      <w:r>
        <w:t xml:space="preserve"> objects. The validation rule uses </w:t>
      </w:r>
      <w:proofErr w:type="gramStart"/>
      <w:r>
        <w:t>TEXT(</w:t>
      </w:r>
      <w:proofErr w:type="gramEnd"/>
      <w:r>
        <w:t>) function to compare currency picklist values.</w:t>
      </w:r>
    </w:p>
    <w:p w14:paraId="121E4674" w14:textId="77777777" w:rsidR="00CD2E96" w:rsidRDefault="00000000"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>Revenue Cloud Quote Pipeline:</w:t>
      </w:r>
      <w:r>
        <w:t xml:space="preserve"> After Legal Entity and currency change, users must create new Quotes in the correct currency. The solution integrates with the broader Quote creation flow (</w:t>
      </w:r>
      <w:proofErr w:type="spellStart"/>
      <w:r>
        <w:t>Fortra_Opportunity_Create_New_Quote_From_Opportunity_Flow</w:t>
      </w:r>
      <w:proofErr w:type="spellEnd"/>
      <w:r>
        <w:t>) which inherits the Opportunity's Legal Entity.</w:t>
      </w:r>
    </w:p>
    <w:sectPr w:rsidR="00CD2E96">
      <w:headerReference w:type="default" r:id="rId7"/>
      <w:footerReference w:type="default" r:id="rId8"/>
      <w:pgSz w:w="11906" w:h="16838"/>
      <w:pgMar w:top="1440" w:right="1440" w:bottom="1440" w:left="1440" w:header="4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627C5" w14:textId="77777777" w:rsidR="00F05C28" w:rsidRDefault="00F05C28">
      <w:r>
        <w:separator/>
      </w:r>
    </w:p>
  </w:endnote>
  <w:endnote w:type="continuationSeparator" w:id="0">
    <w:p w14:paraId="7AAE57AD" w14:textId="77777777" w:rsidR="00F05C28" w:rsidRDefault="00F05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B37F7" w14:textId="77777777" w:rsidR="00CD2E96" w:rsidRDefault="00000000">
    <w:pPr>
      <w:tabs>
        <w:tab w:val="right" w:pos="9360"/>
      </w:tabs>
    </w:pPr>
    <w:r>
      <w:rPr>
        <w:color w:val="808080"/>
        <w:sz w:val="18"/>
        <w:szCs w:val="18"/>
      </w:rPr>
      <w:t>Opportunity Legal Entity Change - Solution Design</w:t>
    </w:r>
    <w:r>
      <w:tab/>
    </w: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242E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2242ED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3AD7" w14:textId="77777777" w:rsidR="00F05C28" w:rsidRDefault="00F05C28">
      <w:r>
        <w:separator/>
      </w:r>
    </w:p>
  </w:footnote>
  <w:footnote w:type="continuationSeparator" w:id="0">
    <w:p w14:paraId="64AF3005" w14:textId="77777777" w:rsidR="00F05C28" w:rsidRDefault="00F05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7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525"/>
      <w:gridCol w:w="6352"/>
    </w:tblGrid>
    <w:tr w:rsidR="00CD2E96" w14:paraId="1118F8F8" w14:textId="77777777">
      <w:tblPrEx>
        <w:tblCellMar>
          <w:top w:w="0" w:type="dxa"/>
          <w:bottom w:w="0" w:type="dxa"/>
        </w:tblCellMar>
      </w:tblPrEx>
      <w:tc>
        <w:tcPr>
          <w:tcW w:w="252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single" w:sz="4" w:space="0" w:color="auto"/>
          </w:tcBorders>
          <w:vAlign w:val="center"/>
        </w:tcPr>
        <w:p w14:paraId="308AB4C5" w14:textId="77777777" w:rsidR="00CD2E96" w:rsidRDefault="00000000">
          <w:pPr>
            <w:ind w:right="-490"/>
          </w:pPr>
          <w:r>
            <w:rPr>
              <w:noProof/>
            </w:rPr>
            <w:drawing>
              <wp:inline distT="0" distB="0" distL="0" distR="0" wp14:anchorId="0B68D3B4" wp14:editId="4F8E645A">
                <wp:extent cx="1428750" cy="257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52" w:type="dxa"/>
          <w:tcBorders>
            <w:top w:val="none" w:sz="0" w:space="0" w:color="FFFFFF"/>
            <w:left w:val="single" w:sz="4" w:space="0" w:color="auto"/>
            <w:bottom w:val="none" w:sz="0" w:space="0" w:color="FFFFFF"/>
            <w:right w:val="none" w:sz="0" w:space="0" w:color="FFFFFF"/>
          </w:tcBorders>
          <w:tcMar>
            <w:left w:w="86" w:type="dxa"/>
          </w:tcMar>
          <w:vAlign w:val="center"/>
        </w:tcPr>
        <w:p w14:paraId="5445B40B" w14:textId="77777777" w:rsidR="00CD2E96" w:rsidRDefault="00000000">
          <w:pPr>
            <w:ind w:left="181"/>
          </w:pPr>
          <w:r>
            <w:rPr>
              <w:noProof/>
            </w:rPr>
            <w:drawing>
              <wp:inline distT="0" distB="0" distL="0" distR="0" wp14:anchorId="24ACA0DF" wp14:editId="0DA44C21">
                <wp:extent cx="1428750" cy="371475"/>
                <wp:effectExtent l="0" t="0" r="0" b="0"/>
                <wp:docPr id="448342677" name="Picture 4483426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613F5F3" w14:textId="77777777" w:rsidR="00CD2E96" w:rsidRDefault="00CD2E96">
    <w:pPr>
      <w:spacing w:after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02F8"/>
    <w:multiLevelType w:val="hybridMultilevel"/>
    <w:tmpl w:val="03EA7E22"/>
    <w:lvl w:ilvl="0" w:tplc="6EA87B2C">
      <w:start w:val="1"/>
      <w:numFmt w:val="decimal"/>
      <w:lvlText w:val="%1."/>
      <w:lvlJc w:val="left"/>
      <w:pPr>
        <w:ind w:left="720" w:hanging="360"/>
      </w:pPr>
    </w:lvl>
    <w:lvl w:ilvl="1" w:tplc="B2D07E2A">
      <w:numFmt w:val="decimal"/>
      <w:lvlText w:val=""/>
      <w:lvlJc w:val="left"/>
    </w:lvl>
    <w:lvl w:ilvl="2" w:tplc="A6A81376">
      <w:numFmt w:val="decimal"/>
      <w:lvlText w:val=""/>
      <w:lvlJc w:val="left"/>
    </w:lvl>
    <w:lvl w:ilvl="3" w:tplc="E5AA4CDA">
      <w:numFmt w:val="decimal"/>
      <w:lvlText w:val=""/>
      <w:lvlJc w:val="left"/>
    </w:lvl>
    <w:lvl w:ilvl="4" w:tplc="B7969496">
      <w:numFmt w:val="decimal"/>
      <w:lvlText w:val=""/>
      <w:lvlJc w:val="left"/>
    </w:lvl>
    <w:lvl w:ilvl="5" w:tplc="A29CE7CC">
      <w:numFmt w:val="decimal"/>
      <w:lvlText w:val=""/>
      <w:lvlJc w:val="left"/>
    </w:lvl>
    <w:lvl w:ilvl="6" w:tplc="2BE09ED8">
      <w:numFmt w:val="decimal"/>
      <w:lvlText w:val=""/>
      <w:lvlJc w:val="left"/>
    </w:lvl>
    <w:lvl w:ilvl="7" w:tplc="3B9426D0">
      <w:numFmt w:val="decimal"/>
      <w:lvlText w:val=""/>
      <w:lvlJc w:val="left"/>
    </w:lvl>
    <w:lvl w:ilvl="8" w:tplc="49EEAE9C">
      <w:numFmt w:val="decimal"/>
      <w:lvlText w:val=""/>
      <w:lvlJc w:val="left"/>
    </w:lvl>
  </w:abstractNum>
  <w:abstractNum w:abstractNumId="1" w15:restartNumberingAfterBreak="0">
    <w:nsid w:val="137F2D32"/>
    <w:multiLevelType w:val="hybridMultilevel"/>
    <w:tmpl w:val="4A6223B6"/>
    <w:lvl w:ilvl="0" w:tplc="40F8B3E2">
      <w:start w:val="1"/>
      <w:numFmt w:val="bullet"/>
      <w:lvlText w:val="●"/>
      <w:lvlJc w:val="left"/>
      <w:pPr>
        <w:ind w:left="720" w:hanging="360"/>
      </w:pPr>
    </w:lvl>
    <w:lvl w:ilvl="1" w:tplc="6B3A1710">
      <w:start w:val="1"/>
      <w:numFmt w:val="bullet"/>
      <w:lvlText w:val="○"/>
      <w:lvlJc w:val="left"/>
      <w:pPr>
        <w:ind w:left="1440" w:hanging="360"/>
      </w:pPr>
    </w:lvl>
    <w:lvl w:ilvl="2" w:tplc="3424BB04">
      <w:start w:val="1"/>
      <w:numFmt w:val="bullet"/>
      <w:lvlText w:val="■"/>
      <w:lvlJc w:val="left"/>
      <w:pPr>
        <w:ind w:left="2160" w:hanging="360"/>
      </w:pPr>
    </w:lvl>
    <w:lvl w:ilvl="3" w:tplc="F95A7F68">
      <w:start w:val="1"/>
      <w:numFmt w:val="bullet"/>
      <w:lvlText w:val="●"/>
      <w:lvlJc w:val="left"/>
      <w:pPr>
        <w:ind w:left="2880" w:hanging="360"/>
      </w:pPr>
    </w:lvl>
    <w:lvl w:ilvl="4" w:tplc="22C2F99E">
      <w:start w:val="1"/>
      <w:numFmt w:val="bullet"/>
      <w:lvlText w:val="○"/>
      <w:lvlJc w:val="left"/>
      <w:pPr>
        <w:ind w:left="3600" w:hanging="360"/>
      </w:pPr>
    </w:lvl>
    <w:lvl w:ilvl="5" w:tplc="CF163BD4">
      <w:start w:val="1"/>
      <w:numFmt w:val="bullet"/>
      <w:lvlText w:val="■"/>
      <w:lvlJc w:val="left"/>
      <w:pPr>
        <w:ind w:left="4320" w:hanging="360"/>
      </w:pPr>
    </w:lvl>
    <w:lvl w:ilvl="6" w:tplc="B2F03412">
      <w:start w:val="1"/>
      <w:numFmt w:val="bullet"/>
      <w:lvlText w:val="●"/>
      <w:lvlJc w:val="left"/>
      <w:pPr>
        <w:ind w:left="5040" w:hanging="360"/>
      </w:pPr>
    </w:lvl>
    <w:lvl w:ilvl="7" w:tplc="118EDBF2">
      <w:start w:val="1"/>
      <w:numFmt w:val="bullet"/>
      <w:lvlText w:val="●"/>
      <w:lvlJc w:val="left"/>
      <w:pPr>
        <w:ind w:left="5760" w:hanging="360"/>
      </w:pPr>
    </w:lvl>
    <w:lvl w:ilvl="8" w:tplc="85AECC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F358DB"/>
    <w:multiLevelType w:val="hybridMultilevel"/>
    <w:tmpl w:val="02B64D22"/>
    <w:lvl w:ilvl="0" w:tplc="94002DA0">
      <w:start w:val="1"/>
      <w:numFmt w:val="decimal"/>
      <w:lvlText w:val="%1."/>
      <w:lvlJc w:val="left"/>
      <w:pPr>
        <w:ind w:left="720" w:hanging="360"/>
      </w:pPr>
    </w:lvl>
    <w:lvl w:ilvl="1" w:tplc="AB7C3DD2">
      <w:numFmt w:val="decimal"/>
      <w:lvlText w:val=""/>
      <w:lvlJc w:val="left"/>
    </w:lvl>
    <w:lvl w:ilvl="2" w:tplc="103EA11A">
      <w:numFmt w:val="decimal"/>
      <w:lvlText w:val=""/>
      <w:lvlJc w:val="left"/>
    </w:lvl>
    <w:lvl w:ilvl="3" w:tplc="E412213A">
      <w:numFmt w:val="decimal"/>
      <w:lvlText w:val=""/>
      <w:lvlJc w:val="left"/>
    </w:lvl>
    <w:lvl w:ilvl="4" w:tplc="EFEE3C64">
      <w:numFmt w:val="decimal"/>
      <w:lvlText w:val=""/>
      <w:lvlJc w:val="left"/>
    </w:lvl>
    <w:lvl w:ilvl="5" w:tplc="31340894">
      <w:numFmt w:val="decimal"/>
      <w:lvlText w:val=""/>
      <w:lvlJc w:val="left"/>
    </w:lvl>
    <w:lvl w:ilvl="6" w:tplc="762A895A">
      <w:numFmt w:val="decimal"/>
      <w:lvlText w:val=""/>
      <w:lvlJc w:val="left"/>
    </w:lvl>
    <w:lvl w:ilvl="7" w:tplc="E1A030EA">
      <w:numFmt w:val="decimal"/>
      <w:lvlText w:val=""/>
      <w:lvlJc w:val="left"/>
    </w:lvl>
    <w:lvl w:ilvl="8" w:tplc="F138B9C0">
      <w:numFmt w:val="decimal"/>
      <w:lvlText w:val=""/>
      <w:lvlJc w:val="left"/>
    </w:lvl>
  </w:abstractNum>
  <w:abstractNum w:abstractNumId="3" w15:restartNumberingAfterBreak="0">
    <w:nsid w:val="37310014"/>
    <w:multiLevelType w:val="hybridMultilevel"/>
    <w:tmpl w:val="4968A934"/>
    <w:lvl w:ilvl="0" w:tplc="CBFACB6A">
      <w:start w:val="1"/>
      <w:numFmt w:val="bullet"/>
      <w:lvlText w:val="•"/>
      <w:lvlJc w:val="left"/>
      <w:pPr>
        <w:ind w:left="720" w:hanging="360"/>
      </w:pPr>
    </w:lvl>
    <w:lvl w:ilvl="1" w:tplc="469AE056">
      <w:numFmt w:val="decimal"/>
      <w:lvlText w:val=""/>
      <w:lvlJc w:val="left"/>
    </w:lvl>
    <w:lvl w:ilvl="2" w:tplc="E222CC00">
      <w:numFmt w:val="decimal"/>
      <w:lvlText w:val=""/>
      <w:lvlJc w:val="left"/>
    </w:lvl>
    <w:lvl w:ilvl="3" w:tplc="AFF03C8E">
      <w:numFmt w:val="decimal"/>
      <w:lvlText w:val=""/>
      <w:lvlJc w:val="left"/>
    </w:lvl>
    <w:lvl w:ilvl="4" w:tplc="A0F67424">
      <w:numFmt w:val="decimal"/>
      <w:lvlText w:val=""/>
      <w:lvlJc w:val="left"/>
    </w:lvl>
    <w:lvl w:ilvl="5" w:tplc="10D4FA0C">
      <w:numFmt w:val="decimal"/>
      <w:lvlText w:val=""/>
      <w:lvlJc w:val="left"/>
    </w:lvl>
    <w:lvl w:ilvl="6" w:tplc="6886410E">
      <w:numFmt w:val="decimal"/>
      <w:lvlText w:val=""/>
      <w:lvlJc w:val="left"/>
    </w:lvl>
    <w:lvl w:ilvl="7" w:tplc="3996A312">
      <w:numFmt w:val="decimal"/>
      <w:lvlText w:val=""/>
      <w:lvlJc w:val="left"/>
    </w:lvl>
    <w:lvl w:ilvl="8" w:tplc="8C842B1A">
      <w:numFmt w:val="decimal"/>
      <w:lvlText w:val=""/>
      <w:lvlJc w:val="left"/>
    </w:lvl>
  </w:abstractNum>
  <w:abstractNum w:abstractNumId="4" w15:restartNumberingAfterBreak="0">
    <w:nsid w:val="50B732A9"/>
    <w:multiLevelType w:val="hybridMultilevel"/>
    <w:tmpl w:val="8FF2DB40"/>
    <w:lvl w:ilvl="0" w:tplc="D506BED2">
      <w:start w:val="1"/>
      <w:numFmt w:val="decimal"/>
      <w:lvlText w:val="%1."/>
      <w:lvlJc w:val="left"/>
      <w:pPr>
        <w:ind w:left="720" w:hanging="360"/>
      </w:pPr>
    </w:lvl>
    <w:lvl w:ilvl="1" w:tplc="F0FA466A">
      <w:numFmt w:val="decimal"/>
      <w:lvlText w:val=""/>
      <w:lvlJc w:val="left"/>
    </w:lvl>
    <w:lvl w:ilvl="2" w:tplc="E81C2792">
      <w:numFmt w:val="decimal"/>
      <w:lvlText w:val=""/>
      <w:lvlJc w:val="left"/>
    </w:lvl>
    <w:lvl w:ilvl="3" w:tplc="55E80902">
      <w:numFmt w:val="decimal"/>
      <w:lvlText w:val=""/>
      <w:lvlJc w:val="left"/>
    </w:lvl>
    <w:lvl w:ilvl="4" w:tplc="E03E4A2E">
      <w:numFmt w:val="decimal"/>
      <w:lvlText w:val=""/>
      <w:lvlJc w:val="left"/>
    </w:lvl>
    <w:lvl w:ilvl="5" w:tplc="36941640">
      <w:numFmt w:val="decimal"/>
      <w:lvlText w:val=""/>
      <w:lvlJc w:val="left"/>
    </w:lvl>
    <w:lvl w:ilvl="6" w:tplc="D6783220">
      <w:numFmt w:val="decimal"/>
      <w:lvlText w:val=""/>
      <w:lvlJc w:val="left"/>
    </w:lvl>
    <w:lvl w:ilvl="7" w:tplc="6758F814">
      <w:numFmt w:val="decimal"/>
      <w:lvlText w:val=""/>
      <w:lvlJc w:val="left"/>
    </w:lvl>
    <w:lvl w:ilvl="8" w:tplc="A6BE3D00">
      <w:numFmt w:val="decimal"/>
      <w:lvlText w:val=""/>
      <w:lvlJc w:val="left"/>
    </w:lvl>
  </w:abstractNum>
  <w:num w:numId="1" w16cid:durableId="50690422">
    <w:abstractNumId w:val="1"/>
    <w:lvlOverride w:ilvl="0">
      <w:startOverride w:val="1"/>
    </w:lvlOverride>
  </w:num>
  <w:num w:numId="2" w16cid:durableId="1821996110">
    <w:abstractNumId w:val="3"/>
    <w:lvlOverride w:ilvl="0">
      <w:startOverride w:val="1"/>
    </w:lvlOverride>
  </w:num>
  <w:num w:numId="3" w16cid:durableId="8302974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E96"/>
    <w:rsid w:val="002242ED"/>
    <w:rsid w:val="009C2856"/>
    <w:rsid w:val="00CD2E96"/>
    <w:rsid w:val="00F0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E2E1E"/>
  <w15:docId w15:val="{5970464D-9D95-8848-B15C-1DD708690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360"/>
      <w:outlineLvl w:val="0"/>
    </w:pPr>
    <w:rPr>
      <w:b/>
      <w:bCs/>
      <w:color w:val="1E4D7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E4D7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42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42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242E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undefined"/><Relationship Id="rId1" Type="http://schemas.openxmlformats.org/officeDocument/2006/relationships/image" Target="media/image1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A16E4BC0E1E4F96A2D76D64BAA3A3" ma:contentTypeVersion="16" ma:contentTypeDescription="Create a new document." ma:contentTypeScope="" ma:versionID="878703752484742733f60b7e85ada9bb">
  <xsd:schema xmlns:xsd="http://www.w3.org/2001/XMLSchema" xmlns:xs="http://www.w3.org/2001/XMLSchema" xmlns:p="http://schemas.microsoft.com/office/2006/metadata/properties" xmlns:ns2="ac5f2afd-3555-4c4c-9bde-d07bb595bcfc" xmlns:ns3="dd11799d-d754-48a9-bfc4-4416081d7735" targetNamespace="http://schemas.microsoft.com/office/2006/metadata/properties" ma:root="true" ma:fieldsID="59143b72b9a71f1ee16e431107fd32de" ns2:_="" ns3:_="">
    <xsd:import namespace="ac5f2afd-3555-4c4c-9bde-d07bb595bcfc"/>
    <xsd:import namespace="dd11799d-d754-48a9-bfc4-4416081d7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tatus" minOccurs="0"/>
                <xsd:element ref="ns2:DueDate" minOccurs="0"/>
                <xsd:element ref="ns2:FinalDueDate" minOccurs="0"/>
                <xsd:element ref="ns2:Notes" minOccurs="0"/>
                <xsd:element ref="ns2:Coun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2afd-3555-4c4c-9bde-d07bb595b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FileStatus" ma:index="19" nillable="true" ma:displayName="File Status" ma:default="Not Started" ma:format="Dropdown" ma:internalName="FileStatus">
      <xsd:simpleType>
        <xsd:restriction base="dms:Choice">
          <xsd:enumeration value="Not Started"/>
          <xsd:enumeration value="Working Version"/>
          <xsd:enumeration value="Informational"/>
          <xsd:enumeration value="On-Hold"/>
          <xsd:enumeration value="Archived"/>
          <xsd:enumeration value="Fortra Needs Review"/>
          <xsd:enumeration value="Final Version"/>
          <xsd:enumeration value="Strada Needs to Review"/>
          <xsd:enumeration value="Fortra Reviewed- No Action Needed"/>
          <xsd:enumeration value="Fortra Review Complete"/>
          <xsd:enumeration value="Nitor Needs to Review"/>
          <xsd:enumeration value="Kainos Needs to Review"/>
          <xsd:enumeration value="Coastal Needs to Review"/>
          <xsd:enumeration value="Certinia Needs to Review"/>
        </xsd:restriction>
      </xsd:simpleType>
    </xsd:element>
    <xsd:element name="DueDate" ma:index="20" nillable="true" ma:displayName="FAS Snapshot Due Date" ma:format="DateOnly" ma:internalName="DueDate">
      <xsd:simpleType>
        <xsd:restriction base="dms:DateTime"/>
      </xsd:simpleType>
    </xsd:element>
    <xsd:element name="FinalDueDate" ma:index="21" nillable="true" ma:displayName="Final Due Date" ma:format="DateOnly" ma:internalName="FinalDueDate">
      <xsd:simpleType>
        <xsd:restriction base="dms:DateTime"/>
      </xsd:simple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untry" ma:index="23" nillable="true" ma:displayName="Country" ma:format="Dropdown" ma:internalName="Country">
      <xsd:simpleType>
        <xsd:restriction base="dms:Choice">
          <xsd:enumeration value="Spain"/>
          <xsd:enumeration value="Germany"/>
          <xsd:enumeration value="Australia"/>
          <xsd:enumeration value="Colombia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1799d-d754-48a9-bfc4-4416081d773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663fe7-2ce0-4894-b382-6a540ecf74f9}" ma:internalName="TaxCatchAll" ma:showField="CatchAllData" ma:web="dd11799d-d754-48a9-bfc4-4416081d7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ueDate xmlns="ac5f2afd-3555-4c4c-9bde-d07bb595bcfc" xsi:nil="true"/>
    <lcf76f155ced4ddcb4097134ff3c332f xmlns="ac5f2afd-3555-4c4c-9bde-d07bb595bcfc">
      <Terms xmlns="http://schemas.microsoft.com/office/infopath/2007/PartnerControls"/>
    </lcf76f155ced4ddcb4097134ff3c332f>
    <TaxCatchAll xmlns="dd11799d-d754-48a9-bfc4-4416081d7735" xsi:nil="true"/>
    <Country xmlns="ac5f2afd-3555-4c4c-9bde-d07bb595bcfc" xsi:nil="true"/>
    <FileStatus xmlns="ac5f2afd-3555-4c4c-9bde-d07bb595bcfc">Not Started</FileStatus>
    <Notes xmlns="ac5f2afd-3555-4c4c-9bde-d07bb595bcfc" xsi:nil="true"/>
    <FinalDueDate xmlns="ac5f2afd-3555-4c4c-9bde-d07bb595bcfc" xsi:nil="true"/>
  </documentManagement>
</p:properties>
</file>

<file path=customXml/itemProps1.xml><?xml version="1.0" encoding="utf-8"?>
<ds:datastoreItem xmlns:ds="http://schemas.openxmlformats.org/officeDocument/2006/customXml" ds:itemID="{B913E8B7-7745-4D01-9D2B-3BCB17E3B29D}"/>
</file>

<file path=customXml/itemProps2.xml><?xml version="1.0" encoding="utf-8"?>
<ds:datastoreItem xmlns:ds="http://schemas.openxmlformats.org/officeDocument/2006/customXml" ds:itemID="{7694F28E-C271-4A04-A6BD-B690577060CD}"/>
</file>

<file path=customXml/itemProps3.xml><?xml version="1.0" encoding="utf-8"?>
<ds:datastoreItem xmlns:ds="http://schemas.openxmlformats.org/officeDocument/2006/customXml" ds:itemID="{EADA2BA1-B11E-41EE-8A19-664E6EB545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2672</Words>
  <Characters>15663</Characters>
  <Application>Microsoft Office Word</Application>
  <DocSecurity>0</DocSecurity>
  <Lines>522</Lines>
  <Paragraphs>436</Paragraphs>
  <ScaleCrop>false</ScaleCrop>
  <Company/>
  <LinksUpToDate>false</LinksUpToDate>
  <CharactersWithSpaces>17899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</cp:revision>
  <dcterms:created xsi:type="dcterms:W3CDTF">2026-02-18T17:12:00Z</dcterms:created>
  <dcterms:modified xsi:type="dcterms:W3CDTF">2026-02-18T17:19:00Z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0x0101005E0A16E4BC0E1E4F96A2D76D64BAA3A3</vt:lpwstr>
  </property>
</Properties>
</file>