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rPr>
          <w:rFonts w:ascii="Arial" w:cs="Arial" w:eastAsia="Arial" w:hAnsi="Arial"/>
          <w:b/>
          <w:bCs/>
          <w:color w:val="1E4D78"/>
          <w:sz w:val="56"/>
          <w:szCs w:val="56"/>
        </w:rPr>
        <w:t xml:space="preserve">Maintenance (Derived) Pricing — New Business &amp; Renewals</w:t>
      </w:r>
    </w:p>
    <w:p>
      <w:pPr>
        <w:spacing w:after="200"/>
        <w:jc w:val="center"/>
      </w:pPr>
      <w:r>
        <w:rPr>
          <w:rFonts w:ascii="Arial" w:cs="Arial" w:eastAsia="Arial" w:hAnsi="Arial"/>
          <w:color w:val="404040"/>
          <w:sz w:val="36"/>
          <w:szCs w:val="36"/>
        </w:rPr>
        <w:t xml:space="preserve">Solution Design Document</w:t>
      </w:r>
    </w:p>
    <w:p>
      <w:pPr>
        <w:spacing w:after="600"/>
        <w:jc w:val="center"/>
      </w:pPr>
      <w:r>
        <w:rPr>
          <w:rFonts w:ascii="Arial" w:cs="Arial" w:eastAsia="Arial" w:hAnsi="Arial"/>
          <w:color w:val="808080"/>
          <w:sz w:val="28"/>
          <w:szCs w:val="28"/>
        </w:rPr>
        <w:t xml:space="preserve">Prepared for Fortra</w:t>
      </w:r>
    </w:p>
    <w:p>
      <w:pPr>
        <w:spacing w:before="1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rHeight w:val="288"/>
        </w:trPr>
        <w:tc>
          <w:tcPr>
            <w:tcW w:type="dxa" w:w="3000"/>
            <w:shd w:fill="F5F5F5" w:color="auto" w:val="clear"/>
            <w:tcMar>
              <w:top w:type="dxa" w:w="72"/>
              <w:left w:type="dxa" w:w="72"/>
              <w:bottom w:type="dxa" w:w="72"/>
              <w:right w:type="dxa" w:w="72"/>
            </w:tcMar>
          </w:tcPr>
          <w:p>
            <w:r>
              <w:rPr>
                <w:rFonts w:ascii="Arial" w:cs="Arial" w:eastAsia="Arial" w:hAnsi="Arial"/>
                <w:b/>
                <w:bCs/>
                <w:sz w:val="20"/>
                <w:szCs w:val="20"/>
              </w:rPr>
              <w:t xml:space="preserve">Client:</w:t>
            </w:r>
          </w:p>
        </w:tc>
        <w:tc>
          <w:tcPr>
            <w:tcW w:type="dxa" w:w="6360"/>
            <w:tcMar>
              <w:top w:type="dxa" w:w="72"/>
              <w:left w:type="dxa" w:w="72"/>
              <w:bottom w:type="dxa" w:w="72"/>
              <w:right w:type="dxa" w:w="72"/>
            </w:tcMar>
          </w:tcPr>
          <w:p>
            <w:r>
              <w:rPr>
                <w:rFonts w:ascii="Arial" w:cs="Arial" w:eastAsia="Arial" w:hAnsi="Arial"/>
                <w:sz w:val="20"/>
                <w:szCs w:val="20"/>
              </w:rPr>
              <w:t xml:space="preserve">Fortra</w:t>
            </w:r>
          </w:p>
        </w:tc>
      </w:tr>
      <w:tr>
        <w:trPr>
          <w:trHeight w:val="288"/>
        </w:trPr>
        <w:tc>
          <w:tcPr>
            <w:tcW w:type="dxa" w:w="3000"/>
            <w:shd w:fill="F5F5F5" w:color="auto" w:val="clear"/>
            <w:tcMar>
              <w:top w:type="dxa" w:w="72"/>
              <w:left w:type="dxa" w:w="72"/>
              <w:bottom w:type="dxa" w:w="72"/>
              <w:right w:type="dxa" w:w="72"/>
            </w:tcMar>
          </w:tcPr>
          <w:p>
            <w:r>
              <w:rPr>
                <w:rFonts w:ascii="Arial" w:cs="Arial" w:eastAsia="Arial" w:hAnsi="Arial"/>
                <w:b/>
                <w:bCs/>
                <w:sz w:val="20"/>
                <w:szCs w:val="20"/>
              </w:rPr>
              <w:t xml:space="preserve">Solution:</w:t>
            </w:r>
          </w:p>
        </w:tc>
        <w:tc>
          <w:tcPr>
            <w:tcW w:type="dxa" w:w="6360"/>
            <w:tcMar>
              <w:top w:type="dxa" w:w="72"/>
              <w:left w:type="dxa" w:w="72"/>
              <w:bottom w:type="dxa" w:w="72"/>
              <w:right w:type="dxa" w:w="72"/>
            </w:tcMar>
          </w:tcPr>
          <w:p>
            <w:r>
              <w:rPr>
                <w:rFonts w:ascii="Arial" w:cs="Arial" w:eastAsia="Arial" w:hAnsi="Arial"/>
                <w:sz w:val="20"/>
                <w:szCs w:val="20"/>
              </w:rPr>
              <w:t xml:space="preserve">Maintenance (Derived) Pricing — New Business &amp; Renewals</w:t>
            </w:r>
          </w:p>
        </w:tc>
      </w:tr>
      <w:tr>
        <w:trPr>
          <w:trHeight w:val="288"/>
        </w:trPr>
        <w:tc>
          <w:tcPr>
            <w:tcW w:type="dxa" w:w="3000"/>
            <w:shd w:fill="F5F5F5" w:color="auto" w:val="clear"/>
            <w:tcMar>
              <w:top w:type="dxa" w:w="72"/>
              <w:left w:type="dxa" w:w="72"/>
              <w:bottom w:type="dxa" w:w="72"/>
              <w:right w:type="dxa" w:w="72"/>
            </w:tcMar>
          </w:tcPr>
          <w:p>
            <w:r>
              <w:rPr>
                <w:rFonts w:ascii="Arial" w:cs="Arial" w:eastAsia="Arial" w:hAnsi="Arial"/>
                <w:b/>
                <w:bCs/>
                <w:sz w:val="20"/>
                <w:szCs w:val="20"/>
              </w:rPr>
              <w:t xml:space="preserve">Consultant:</w:t>
            </w:r>
          </w:p>
        </w:tc>
        <w:tc>
          <w:tcPr>
            <w:tcW w:type="dxa" w:w="6360"/>
            <w:tcMar>
              <w:top w:type="dxa" w:w="72"/>
              <w:left w:type="dxa" w:w="72"/>
              <w:bottom w:type="dxa" w:w="72"/>
              <w:right w:type="dxa" w:w="72"/>
            </w:tcMar>
          </w:tcPr>
          <w:p>
            <w:r>
              <w:rPr>
                <w:rFonts w:ascii="Arial" w:cs="Arial" w:eastAsia="Arial" w:hAnsi="Arial"/>
                <w:sz w:val="20"/>
                <w:szCs w:val="20"/>
              </w:rPr>
              <w:t xml:space="preserve">Coastal</w:t>
            </w:r>
          </w:p>
        </w:tc>
      </w:tr>
      <w:tr>
        <w:trPr>
          <w:trHeight w:val="288"/>
        </w:trPr>
        <w:tc>
          <w:tcPr>
            <w:tcW w:type="dxa" w:w="3000"/>
            <w:shd w:fill="F5F5F5" w:color="auto" w:val="clear"/>
            <w:tcMar>
              <w:top w:type="dxa" w:w="72"/>
              <w:left w:type="dxa" w:w="72"/>
              <w:bottom w:type="dxa" w:w="72"/>
              <w:right w:type="dxa" w:w="72"/>
            </w:tcMar>
          </w:tcPr>
          <w:p>
            <w:r>
              <w:rPr>
                <w:rFonts w:ascii="Arial" w:cs="Arial" w:eastAsia="Arial" w:hAnsi="Arial"/>
                <w:b/>
                <w:bCs/>
                <w:sz w:val="20"/>
                <w:szCs w:val="20"/>
              </w:rPr>
              <w:t xml:space="preserve">Document Version:</w:t>
            </w:r>
          </w:p>
        </w:tc>
        <w:tc>
          <w:tcPr>
            <w:tcW w:type="dxa" w:w="6360"/>
            <w:tcMar>
              <w:top w:type="dxa" w:w="72"/>
              <w:left w:type="dxa" w:w="72"/>
              <w:bottom w:type="dxa" w:w="72"/>
              <w:right w:type="dxa" w:w="72"/>
            </w:tcMar>
          </w:tcPr>
          <w:p>
            <w:r>
              <w:rPr>
                <w:rFonts w:ascii="Arial" w:cs="Arial" w:eastAsia="Arial" w:hAnsi="Arial"/>
                <w:sz w:val="20"/>
                <w:szCs w:val="20"/>
              </w:rPr>
              <w:t xml:space="preserve">1.0</w:t>
            </w:r>
          </w:p>
        </w:tc>
      </w:tr>
      <w:tr>
        <w:trPr>
          <w:trHeight w:val="288"/>
        </w:trPr>
        <w:tc>
          <w:tcPr>
            <w:tcW w:type="dxa" w:w="3000"/>
            <w:shd w:fill="F5F5F5" w:color="auto" w:val="clear"/>
            <w:tcMar>
              <w:top w:type="dxa" w:w="72"/>
              <w:left w:type="dxa" w:w="72"/>
              <w:bottom w:type="dxa" w:w="72"/>
              <w:right w:type="dxa" w:w="72"/>
            </w:tcMar>
          </w:tcPr>
          <w:p>
            <w:r>
              <w:rPr>
                <w:rFonts w:ascii="Arial" w:cs="Arial" w:eastAsia="Arial" w:hAnsi="Arial"/>
                <w:b/>
                <w:bCs/>
                <w:sz w:val="20"/>
                <w:szCs w:val="20"/>
              </w:rPr>
              <w:t xml:space="preserve">Date:</w:t>
            </w:r>
          </w:p>
        </w:tc>
        <w:tc>
          <w:tcPr>
            <w:tcW w:type="dxa" w:w="6360"/>
            <w:tcMar>
              <w:top w:type="dxa" w:w="72"/>
              <w:left w:type="dxa" w:w="72"/>
              <w:bottom w:type="dxa" w:w="72"/>
              <w:right w:type="dxa" w:w="72"/>
            </w:tcMar>
          </w:tcPr>
          <w:p>
            <w:r>
              <w:rPr>
                <w:rFonts w:ascii="Arial" w:cs="Arial" w:eastAsia="Arial" w:hAnsi="Arial"/>
                <w:sz w:val="20"/>
                <w:szCs w:val="20"/>
              </w:rPr>
              <w:t xml:space="preserve">June 9, 2026</w:t>
            </w:r>
          </w:p>
        </w:tc>
      </w:tr>
    </w:tbl>
    <w:p>
      <w:r>
        <w:br w:type="page"/>
      </w:r>
    </w:p>
    <w:p>
      <w:pPr>
        <w:pStyle w:val="Heading1"/>
      </w:pPr>
      <w:r>
        <w:rPr>
          <w:rFonts w:ascii="Arial" w:cs="Arial" w:eastAsia="Arial" w:hAnsi="Arial"/>
          <w:b/>
          <w:bCs/>
          <w:color w:val="1E4D7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20" w:after="220"/>
      </w:pPr>
      <w:r>
        <w:rPr>
          <w:rFonts w:ascii="Arial" w:cs="Arial" w:eastAsia="Arial" w:hAnsi="Arial"/>
          <w:b/>
          <w:bCs/>
          <w:color w:val="1E4D78"/>
          <w:sz w:val="32"/>
          <w:szCs w:val="32"/>
        </w:rPr>
        <w:t xml:space="preserve">1. Executive Summary</w:t>
      </w:r>
    </w:p>
    <w:p>
      <w:pPr>
        <w:spacing w:after="200"/>
      </w:pPr>
      <w:r>
        <w:rPr>
          <w:rFonts w:ascii="Arial" w:cs="Arial" w:eastAsia="Arial" w:hAnsi="Arial"/>
          <w:sz w:val="20"/>
          <w:szCs w:val="20"/>
        </w:rPr>
        <w:t xml:space="preserve">Auto-added maintenance and support lines priced at approximately $0 on Fortra's Revenue Cloud quotes. This document describes the solution that prices these derived lines, using Revenue Cloud configuration plus a single record-triggered Flow with no Apex pricing prehook. As of June 2026 the NEW-BUSINESS branch is built and validated end-to-end on the fortrauat org; the RENEWAL branch is built but not yet validated, and carries one open business question that must be resolved before it is completed (described under Design). This version of the document reflects the state at hand-off of the renewal build to a follow-on engineer.</w:t>
      </w:r>
    </w:p>
    <w:p>
      <w:pPr>
        <w:pStyle w:val="Heading2"/>
        <w:spacing w:before="320" w:after="205"/>
      </w:pPr>
      <w:r>
        <w:rPr>
          <w:rFonts w:ascii="Arial" w:cs="Arial" w:eastAsia="Arial" w:hAnsi="Arial"/>
          <w:b/>
          <w:bCs/>
          <w:color w:val="2E75B6"/>
          <w:sz w:val="26"/>
          <w:szCs w:val="26"/>
        </w:rPr>
        <w:t xml:space="preserve">1.1 Key Features</w:t>
      </w:r>
    </w:p>
    <w:p>
      <w:pPr>
        <w:pStyle w:val="ListParagraph"/>
        <w:numPr>
          <w:ilvl w:val="0"/>
          <w:numId w:val="2"/>
        </w:numPr>
        <w:spacing w:after="120"/>
      </w:pPr>
      <w:r>
        <w:rPr>
          <w:rFonts w:ascii="Arial" w:cs="Arial" w:eastAsia="Arial" w:hAnsi="Arial"/>
          <w:sz w:val="20"/>
          <w:szCs w:val="20"/>
        </w:rPr>
        <w:t xml:space="preserve">New-business maintenance prices from the source license's pre-discount Base Price times the user-selected maintenance tier (Premier 30%, Standard 20%, Professional 20%), validated live (base $468 times 20% equals $93.60), and proven immune to discounts applied to the source license.</w:t>
      </w:r>
    </w:p>
    <w:p>
      <w:pPr>
        <w:pStyle w:val="ListParagraph"/>
        <w:numPr>
          <w:ilvl w:val="0"/>
          <w:numId w:val="2"/>
        </w:numPr>
        <w:spacing w:after="120"/>
      </w:pPr>
      <w:r>
        <w:rPr>
          <w:rFonts w:ascii="Arial" w:cs="Arial" w:eastAsia="Arial" w:hAnsi="Arial"/>
          <w:sz w:val="20"/>
          <w:szCs w:val="20"/>
        </w:rPr>
        <w:t xml:space="preserve">The maintenance line's own partner and discretionary discounts apply after the base-times-tier, via the existing discount logic (validated: a 10% discount produced $84.24).</w:t>
      </w:r>
    </w:p>
    <w:p>
      <w:pPr>
        <w:pStyle w:val="ListParagraph"/>
        <w:numPr>
          <w:ilvl w:val="0"/>
          <w:numId w:val="2"/>
        </w:numPr>
        <w:spacing w:after="120"/>
      </w:pPr>
      <w:r>
        <w:rPr>
          <w:rFonts w:ascii="Arial" w:cs="Arial" w:eastAsia="Arial" w:hAnsi="Arial"/>
          <w:sz w:val="20"/>
          <w:szCs w:val="20"/>
        </w:rPr>
        <w:t xml:space="preserve">A single before-save record-triggered Flow stamps the pricing inputs onto the maintenance line; a quote-type-gated procedure formula computes the price. No Apex pricing prehook.</w:t>
      </w:r>
    </w:p>
    <w:p>
      <w:pPr>
        <w:pStyle w:val="ListParagraph"/>
        <w:numPr>
          <w:ilvl w:val="0"/>
          <w:numId w:val="2"/>
        </w:numPr>
        <w:spacing w:after="120"/>
      </w:pPr>
      <w:r>
        <w:rPr>
          <w:rFonts w:ascii="Arial" w:cs="Arial" w:eastAsia="Arial" w:hAnsi="Arial"/>
          <w:sz w:val="20"/>
          <w:szCs w:val="20"/>
        </w:rPr>
        <w:t xml:space="preserve">Hand-off note: the renewal branch is built (a second gated formula element plus the Flow's renewal branch) but UNVALIDATED, and depends on resolving whether real renewals even produce a separate derived maintenance line.</w:t>
      </w:r>
    </w:p>
    <w:p>
      <w:pPr>
        <w:pStyle w:val="ListParagraph"/>
        <w:numPr>
          <w:ilvl w:val="0"/>
          <w:numId w:val="2"/>
        </w:numPr>
        <w:spacing w:after="360"/>
      </w:pPr>
      <w:r>
        <w:rPr>
          <w:rFonts w:ascii="Arial" w:cs="Arial" w:eastAsia="Arial" w:hAnsi="Arial"/>
          <w:sz w:val="20"/>
          <w:szCs w:val="20"/>
        </w:rPr>
        <w:t xml:space="preserve">Product-data prerequisite: each maintenance product must carry its tier on the correct line attribute with a valid Premier/Standard/Professional value, or the line prices $0.</w:t>
      </w:r>
    </w:p>
    <w:p>
      <w:r>
        <w:br w:type="page"/>
      </w:r>
    </w:p>
    <w:p>
      <w:pPr>
        <w:pStyle w:val="Heading1"/>
        <w:spacing w:before="320" w:after="220"/>
      </w:pPr>
      <w:r>
        <w:rPr>
          <w:rFonts w:ascii="Arial" w:cs="Arial" w:eastAsia="Arial" w:hAnsi="Arial"/>
          <w:b/>
          <w:bCs/>
          <w:color w:val="1E4D78"/>
          <w:sz w:val="32"/>
          <w:szCs w:val="32"/>
        </w:rPr>
        <w:t xml:space="preserve">2. Solution Overview</w:t>
      </w:r>
    </w:p>
    <w:p>
      <w:pPr>
        <w:pStyle w:val="Heading2"/>
        <w:spacing w:before="320" w:after="205"/>
      </w:pPr>
      <w:r>
        <w:rPr>
          <w:rFonts w:ascii="Arial" w:cs="Arial" w:eastAsia="Arial" w:hAnsi="Arial"/>
          <w:b/>
          <w:bCs/>
          <w:color w:val="2E75B6"/>
          <w:sz w:val="26"/>
          <w:szCs w:val="26"/>
        </w:rPr>
        <w:t xml:space="preserve">2.1 Business Process Flow</w:t>
      </w:r>
    </w:p>
    <w:p>
      <w:pPr>
        <w:spacing w:after="200"/>
      </w:pPr>
      <w:r>
        <w:rPr>
          <w:rFonts w:ascii="Arial" w:cs="Arial" w:eastAsia="Arial" w:hAnsi="Arial"/>
          <w:sz w:val="20"/>
          <w:szCs w:val="20"/>
        </w:rPr>
        <w:t xml:space="preserve">From a Fortra sales user's perspective, the solution works as follows:</w:t>
      </w:r>
    </w:p>
    <w:p>
      <w:pPr>
        <w:pStyle w:val="ListParagraph"/>
        <w:numPr>
          <w:ilvl w:val="0"/>
          <w:numId w:val="3"/>
        </w:numPr>
        <w:spacing w:after="120"/>
      </w:pPr>
      <w:r>
        <w:rPr>
          <w:rFonts w:ascii="Arial" w:cs="Arial" w:eastAsia="Arial" w:hAnsi="Arial"/>
          <w:sz w:val="20"/>
          <w:szCs w:val="20"/>
        </w:rPr>
        <w:t xml:space="preserve">The user adds a license product to a new-business quote, or initiates a renewal; Revenue Cloud auto-adds the matching maintenance or support line where applicable.</w:t>
      </w:r>
    </w:p>
    <w:p>
      <w:pPr>
        <w:pStyle w:val="ListParagraph"/>
        <w:numPr>
          <w:ilvl w:val="0"/>
          <w:numId w:val="3"/>
        </w:numPr>
        <w:spacing w:after="120"/>
      </w:pPr>
      <w:r>
        <w:rPr>
          <w:rFonts w:ascii="Arial" w:cs="Arial" w:eastAsia="Arial" w:hAnsi="Arial"/>
          <w:sz w:val="20"/>
          <w:szCs w:val="20"/>
        </w:rPr>
        <w:t xml:space="preserve">On new business, the maintenance line prices to the license's pre-discount Base Price times the maintenance tier, then the maintenance line's own partner and discretionary discounts reduce it.</w:t>
      </w:r>
    </w:p>
    <w:p>
      <w:pPr>
        <w:pStyle w:val="ListParagraph"/>
        <w:numPr>
          <w:ilvl w:val="0"/>
          <w:numId w:val="3"/>
        </w:numPr>
        <w:spacing w:after="120"/>
      </w:pPr>
      <w:r>
        <w:rPr>
          <w:rFonts w:ascii="Arial" w:cs="Arial" w:eastAsia="Arial" w:hAnsi="Arial"/>
          <w:sz w:val="20"/>
          <w:szCs w:val="20"/>
        </w:rPr>
        <w:t xml:space="preserve">Discounting the license itself does not pull the maintenance base down — maintenance always prices from the license's pre-discount Base.</w:t>
      </w:r>
    </w:p>
    <w:p>
      <w:pPr>
        <w:pStyle w:val="ListParagraph"/>
        <w:numPr>
          <w:ilvl w:val="0"/>
          <w:numId w:val="3"/>
        </w:numPr>
        <w:spacing w:after="120"/>
      </w:pPr>
      <w:r>
        <w:rPr>
          <w:rFonts w:ascii="Arial" w:cs="Arial" w:eastAsia="Arial" w:hAnsi="Arial"/>
          <w:sz w:val="20"/>
          <w:szCs w:val="20"/>
        </w:rPr>
        <w:t xml:space="preserve">On a renewal, the intended behavior is for the prior maintenance components to carry forward, each grown by COLA, then netted — pending confirmation that a separate maintenance line exists on real renewals.</w:t>
      </w:r>
    </w:p>
    <w:p>
      <w:pPr>
        <w:pStyle w:val="ListParagraph"/>
        <w:numPr>
          <w:ilvl w:val="0"/>
          <w:numId w:val="3"/>
        </w:numPr>
        <w:spacing w:after="360"/>
      </w:pPr>
      <w:r>
        <w:rPr>
          <w:rFonts w:ascii="Arial" w:cs="Arial" w:eastAsia="Arial" w:hAnsi="Arial"/>
          <w:sz w:val="20"/>
          <w:szCs w:val="20"/>
        </w:rPr>
        <w:t xml:space="preserve">The correct calculation is chosen automatically from the quote type.</w:t>
      </w:r>
    </w:p>
    <w:p>
      <w:pPr>
        <w:pStyle w:val="Heading2"/>
        <w:spacing w:before="320" w:after="205"/>
      </w:pPr>
      <w:r>
        <w:rPr>
          <w:rFonts w:ascii="Arial" w:cs="Arial" w:eastAsia="Arial" w:hAnsi="Arial"/>
          <w:b/>
          <w:bCs/>
          <w:color w:val="2E75B6"/>
          <w:sz w:val="26"/>
          <w:szCs w:val="26"/>
        </w:rPr>
        <w:t xml:space="preserve">2.2 Technical Process Flow</w:t>
      </w:r>
    </w:p>
    <w:p>
      <w:pPr>
        <w:spacing w:after="200"/>
      </w:pPr>
      <w:r>
        <w:rPr>
          <w:rFonts w:ascii="Arial" w:cs="Arial" w:eastAsia="Arial" w:hAnsi="Arial"/>
          <w:sz w:val="20"/>
          <w:szCs w:val="20"/>
        </w:rPr>
        <w:t xml:space="preserve">The Maintenance (Derived) Pricing — New Business &amp; Renewals solution follows this sequence:</w:t>
      </w:r>
    </w:p>
    <w:p>
      <w:pPr>
        <w:pStyle w:val="ListParagraph"/>
        <w:numPr>
          <w:ilvl w:val="0"/>
          <w:numId w:val="4"/>
        </w:numPr>
        <w:spacing w:after="120"/>
      </w:pPr>
      <w:r>
        <w:rPr>
          <w:rFonts w:ascii="Arial" w:cs="Arial" w:eastAsia="Arial" w:hAnsi="Arial"/>
          <w:sz w:val="20"/>
          <w:szCs w:val="20"/>
        </w:rPr>
        <w:t xml:space="preserve">The pricing procedure reads the quote-type field and routes the derived maintenance line to one of two gated formula elements in the derived container.</w:t>
      </w:r>
    </w:p>
    <w:p>
      <w:pPr>
        <w:pStyle w:val="ListParagraph"/>
        <w:numPr>
          <w:ilvl w:val="0"/>
          <w:numId w:val="4"/>
        </w:numPr>
        <w:spacing w:after="120"/>
      </w:pPr>
      <w:r>
        <w:rPr>
          <w:rFonts w:ascii="Arial" w:cs="Arial" w:eastAsia="Arial" w:hAnsi="Arial"/>
          <w:sz w:val="20"/>
          <w:szCs w:val="20"/>
        </w:rPr>
        <w:t xml:space="preserve">New business: a before-save Flow stamps the source license line's Unit Price (the pre-discount Base) onto the maintenance line; the new-business formula multiplies it by the tier and writes NetUnitPrice, overriding the native derived value.</w:t>
      </w:r>
    </w:p>
    <w:p>
      <w:pPr>
        <w:pStyle w:val="ListParagraph"/>
        <w:numPr>
          <w:ilvl w:val="0"/>
          <w:numId w:val="4"/>
        </w:numPr>
        <w:spacing w:after="120"/>
      </w:pPr>
      <w:r>
        <w:rPr>
          <w:rFonts w:ascii="Arial" w:cs="Arial" w:eastAsia="Arial" w:hAnsi="Arial"/>
          <w:sz w:val="20"/>
          <w:szCs w:val="20"/>
        </w:rPr>
        <w:t xml:space="preserve">The maintenance line's own partner and discretionary discounts are applied afterward by the existing discount logic.</w:t>
      </w:r>
    </w:p>
    <w:p>
      <w:pPr>
        <w:pStyle w:val="ListParagraph"/>
        <w:numPr>
          <w:ilvl w:val="0"/>
          <w:numId w:val="4"/>
        </w:numPr>
        <w:spacing w:after="120"/>
      </w:pPr>
      <w:r>
        <w:rPr>
          <w:rFonts w:ascii="Arial" w:cs="Arial" w:eastAsia="Arial" w:hAnsi="Arial"/>
          <w:sz w:val="20"/>
          <w:szCs w:val="20"/>
        </w:rPr>
        <w:t xml:space="preserve">Renewal: the Flow stamps the prior maintenance order line's Base, partner, and discretionary dollar amounts plus the resolved COLA rate; the renewal formula grows each by COLA and nets them.</w:t>
      </w:r>
    </w:p>
    <w:p>
      <w:pPr>
        <w:pStyle w:val="ListParagraph"/>
        <w:numPr>
          <w:ilvl w:val="0"/>
          <w:numId w:val="4"/>
        </w:numPr>
        <w:spacing w:after="360"/>
      </w:pPr>
      <w:r>
        <w:rPr>
          <w:rFonts w:ascii="Arial" w:cs="Arial" w:eastAsia="Arial" w:hAnsi="Arial"/>
          <w:sz w:val="20"/>
          <w:szCs w:val="20"/>
        </w:rPr>
        <w:t xml:space="preserve">The decision tables are refreshed so the engine adopts the new configuration.</w:t>
      </w:r>
    </w:p>
    <w:p>
      <w:pPr>
        <w:pStyle w:val="Heading2"/>
        <w:spacing w:before="320" w:after="205"/>
      </w:pPr>
      <w:r>
        <w:rPr>
          <w:rFonts w:ascii="Arial" w:cs="Arial" w:eastAsia="Arial" w:hAnsi="Arial"/>
          <w:b/>
          <w:bCs/>
          <w:color w:val="2E75B6"/>
          <w:sz w:val="26"/>
          <w:szCs w:val="26"/>
        </w:rPr>
        <w:t xml:space="preserve">2.3 Solution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Height w:val="370" w:hRule="exact"/>
        </w:trPr>
        <w:tc>
          <w:tcPr>
            <w:tcW w:type="dxa" w:w="312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Component</w:t>
            </w:r>
          </w:p>
        </w:tc>
        <w:tc>
          <w:tcPr>
            <w:tcW w:type="dxa" w:w="312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Type</w:t>
            </w:r>
          </w:p>
        </w:tc>
        <w:tc>
          <w:tcPr>
            <w:tcW w:type="dxa" w:w="312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Description</w:t>
            </w:r>
          </w:p>
        </w:tc>
      </w:tr>
      <w:tr>
        <w:trPr>
          <w:trHeight w:val="288"/>
        </w:trPr>
        <w:tc>
          <w:tcPr>
            <w:tcW w:type="dxa" w:w="3120"/>
            <w:tcMar>
              <w:top w:type="dxa" w:w="72"/>
              <w:left w:type="dxa" w:w="72"/>
              <w:bottom w:type="dxa" w:w="72"/>
              <w:right w:type="dxa" w:w="72"/>
            </w:tcMar>
            <w:vAlign w:val="center"/>
          </w:tcPr>
          <w:p>
            <w:pPr>
              <w:spacing w:before="50" w:after="50"/>
            </w:pPr>
            <w:r>
              <w:rPr>
                <w:rFonts w:ascii="Arial" w:cs="Arial" w:eastAsia="Arial" w:hAnsi="Arial"/>
                <w:sz w:val="16"/>
                <w:szCs w:val="16"/>
              </w:rPr>
              <w:t xml:space="preserve">Stamp Maintenance Pricing Inputs Flow</w:t>
            </w:r>
          </w:p>
        </w:tc>
        <w:tc>
          <w:tcPr>
            <w:tcW w:type="dxa" w:w="3120"/>
            <w:tcMar>
              <w:top w:type="dxa" w:w="72"/>
              <w:left w:type="dxa" w:w="72"/>
              <w:bottom w:type="dxa" w:w="72"/>
              <w:right w:type="dxa" w:w="72"/>
            </w:tcMar>
            <w:vAlign w:val="center"/>
          </w:tcPr>
          <w:p>
            <w:pPr>
              <w:spacing w:before="50" w:after="50"/>
            </w:pPr>
            <w:r>
              <w:rPr>
                <w:rFonts w:ascii="Arial" w:cs="Arial" w:eastAsia="Arial" w:hAnsi="Arial"/>
                <w:sz w:val="16"/>
                <w:szCs w:val="16"/>
              </w:rPr>
              <w:t xml:space="preserve">Record-Triggered Flow (QuoteLineItem)</w:t>
            </w:r>
          </w:p>
        </w:tc>
        <w:tc>
          <w:tcPr>
            <w:tcW w:type="dxa" w:w="3120"/>
            <w:tcMar>
              <w:top w:type="dxa" w:w="72"/>
              <w:left w:type="dxa" w:w="72"/>
              <w:bottom w:type="dxa" w:w="72"/>
              <w:right w:type="dxa" w:w="72"/>
            </w:tcMar>
            <w:vAlign w:val="center"/>
          </w:tcPr>
          <w:p>
            <w:pPr>
              <w:spacing w:before="50" w:after="50"/>
            </w:pPr>
            <w:r>
              <w:rPr>
                <w:rFonts w:ascii="Arial" w:cs="Arial" w:eastAsia="Arial" w:hAnsi="Arial"/>
                <w:sz w:val="16"/>
                <w:szCs w:val="16"/>
              </w:rPr>
              <w:t xml:space="preserve">The only added automation. New branch (active) stamps the source line's Unit Price onto the maintenance line. Renewal branch (draft) stamps the prior order line's Base/partner/discretionary plus the resolved COLA rate.</w:t>
            </w:r>
          </w:p>
        </w:tc>
      </w:tr>
      <w:tr>
        <w:trPr>
          <w:trHeight w:val="288"/>
        </w:trPr>
        <w:tc>
          <w:tcPr>
            <w:tcW w:type="dxa" w:w="312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Derived Pricing - New Business</w:t>
            </w:r>
          </w:p>
        </w:tc>
        <w:tc>
          <w:tcPr>
            <w:tcW w:type="dxa" w:w="312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Pricing Procedure (Formula)</w:t>
            </w:r>
          </w:p>
        </w:tc>
        <w:tc>
          <w:tcPr>
            <w:tcW w:type="dxa" w:w="312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Gated to New/Net-New; computes Base_Price__c times the tier (read via AttributeValue) and writes NetUnitPrice, overriding the native derived value. Validated.</w:t>
            </w:r>
          </w:p>
        </w:tc>
      </w:tr>
      <w:tr>
        <w:trPr>
          <w:trHeight w:val="288"/>
        </w:trPr>
        <w:tc>
          <w:tcPr>
            <w:tcW w:type="dxa" w:w="3120"/>
            <w:tcMar>
              <w:top w:type="dxa" w:w="72"/>
              <w:left w:type="dxa" w:w="72"/>
              <w:bottom w:type="dxa" w:w="72"/>
              <w:right w:type="dxa" w:w="72"/>
            </w:tcMar>
            <w:vAlign w:val="center"/>
          </w:tcPr>
          <w:p>
            <w:pPr>
              <w:spacing w:before="50" w:after="50"/>
            </w:pPr>
            <w:r>
              <w:rPr>
                <w:rFonts w:ascii="Arial" w:cs="Arial" w:eastAsia="Arial" w:hAnsi="Arial"/>
                <w:sz w:val="16"/>
                <w:szCs w:val="16"/>
              </w:rPr>
              <w:t xml:space="preserve">Derived Pricing - Renewal</w:t>
            </w:r>
          </w:p>
        </w:tc>
        <w:tc>
          <w:tcPr>
            <w:tcW w:type="dxa" w:w="3120"/>
            <w:tcMar>
              <w:top w:type="dxa" w:w="72"/>
              <w:left w:type="dxa" w:w="72"/>
              <w:bottom w:type="dxa" w:w="72"/>
              <w:right w:type="dxa" w:w="72"/>
            </w:tcMar>
            <w:vAlign w:val="center"/>
          </w:tcPr>
          <w:p>
            <w:pPr>
              <w:spacing w:before="50" w:after="50"/>
            </w:pPr>
            <w:r>
              <w:rPr>
                <w:rFonts w:ascii="Arial" w:cs="Arial" w:eastAsia="Arial" w:hAnsi="Arial"/>
                <w:sz w:val="16"/>
                <w:szCs w:val="16"/>
              </w:rPr>
              <w:t xml:space="preserve">Pricing Procedure (Formula)</w:t>
            </w:r>
          </w:p>
        </w:tc>
        <w:tc>
          <w:tcPr>
            <w:tcW w:type="dxa" w:w="3120"/>
            <w:tcMar>
              <w:top w:type="dxa" w:w="72"/>
              <w:left w:type="dxa" w:w="72"/>
              <w:bottom w:type="dxa" w:w="72"/>
              <w:right w:type="dxa" w:w="72"/>
            </w:tcMar>
            <w:vAlign w:val="center"/>
          </w:tcPr>
          <w:p>
            <w:pPr>
              <w:spacing w:before="50" w:after="50"/>
            </w:pPr>
            <w:r>
              <w:rPr>
                <w:rFonts w:ascii="Arial" w:cs="Arial" w:eastAsia="Arial" w:hAnsi="Arial"/>
                <w:sz w:val="16"/>
                <w:szCs w:val="16"/>
              </w:rPr>
              <w:t xml:space="preserve">Gated to Renewal; self-gating passthrough on non-renewal; grows the prior Base/partner/discretionary by COLA and nets them. Built, not validated.</w:t>
            </w:r>
          </w:p>
        </w:tc>
      </w:tr>
      <w:tr>
        <w:trPr>
          <w:trHeight w:val="288"/>
        </w:trPr>
        <w:tc>
          <w:tcPr>
            <w:tcW w:type="dxa" w:w="312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Derived-Pricing Decision Tables</w:t>
            </w:r>
          </w:p>
        </w:tc>
        <w:tc>
          <w:tcPr>
            <w:tcW w:type="dxa" w:w="312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Decision Tables (x2)</w:t>
            </w:r>
          </w:p>
        </w:tc>
        <w:tc>
          <w:tcPr>
            <w:tcW w:type="dxa" w:w="312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Refreshed in Setup after derived-pricing data or formula changes.</w:t>
            </w:r>
          </w:p>
        </w:tc>
      </w:tr>
    </w:tbl>
    <w:p>
      <w:pPr>
        <w:spacing w:after="280"/>
      </w:pPr>
    </w:p>
    <w:p>
      <w:r>
        <w:br w:type="page"/>
      </w:r>
    </w:p>
    <w:p>
      <w:pPr>
        <w:pStyle w:val="Heading1"/>
        <w:spacing w:before="320" w:after="220"/>
      </w:pPr>
      <w:r>
        <w:rPr>
          <w:rFonts w:ascii="Arial" w:cs="Arial" w:eastAsia="Arial" w:hAnsi="Arial"/>
          <w:b/>
          <w:bCs/>
          <w:color w:val="1E4D78"/>
          <w:sz w:val="32"/>
          <w:szCs w:val="32"/>
        </w:rPr>
        <w:t xml:space="preserve">3. Requirements</w:t>
      </w:r>
    </w:p>
    <w:p>
      <w:pPr>
        <w:pStyle w:val="Heading2"/>
        <w:spacing w:before="320" w:after="205"/>
      </w:pPr>
      <w:r>
        <w:rPr>
          <w:rFonts w:ascii="Arial" w:cs="Arial" w:eastAsia="Arial" w:hAnsi="Arial"/>
          <w:b/>
          <w:bCs/>
          <w:color w:val="2E75B6"/>
          <w:sz w:val="26"/>
          <w:szCs w:val="26"/>
        </w:rPr>
        <w:t xml:space="preserve">3.1 Business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ID</w:t>
            </w:r>
          </w:p>
        </w:tc>
        <w:tc>
          <w:tcPr>
            <w:tcW w:type="dxa" w:w="600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Requirement</w:t>
            </w:r>
          </w:p>
        </w:tc>
        <w:tc>
          <w:tcPr>
            <w:tcW w:type="dxa" w:w="186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Priority</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BR-001</w:t>
            </w:r>
          </w:p>
        </w:tc>
        <w:tc>
          <w:tcPr>
            <w:tcW w:type="dxa" w:w="6000"/>
            <w:tcMar>
              <w:top w:type="dxa" w:w="72"/>
              <w:left w:type="dxa" w:w="72"/>
              <w:bottom w:type="dxa" w:w="72"/>
              <w:right w:type="dxa" w:w="72"/>
            </w:tcMar>
            <w:vAlign w:val="center"/>
          </w:tcPr>
          <w:p>
            <w:pPr>
              <w:spacing w:before="50" w:after="50"/>
            </w:pPr>
            <w:r>
              <w:rPr>
                <w:rFonts w:ascii="Arial" w:cs="Arial" w:eastAsia="Arial" w:hAnsi="Arial"/>
                <w:sz w:val="16"/>
                <w:szCs w:val="16"/>
              </w:rPr>
              <w:t xml:space="preserve">New-business maintenance prices at the source license's pre-discount Base Price times the user-selected tier (Premier 30%, Standard 20%, Professional 20%). VALIDATED.</w:t>
            </w:r>
          </w:p>
        </w:tc>
        <w:tc>
          <w:tcPr>
            <w:tcW w:type="dxa" w:w="1860"/>
            <w:tcMar>
              <w:top w:type="dxa" w:w="72"/>
              <w:left w:type="dxa" w:w="72"/>
              <w:bottom w:type="dxa" w:w="72"/>
              <w:right w:type="dxa" w:w="72"/>
            </w:tcMar>
            <w:vAlign w:val="center"/>
          </w:tcPr>
          <w:p>
            <w:pPr>
              <w:spacing w:before="50" w:after="50"/>
            </w:pPr>
            <w:r>
              <w:rPr>
                <w:rFonts w:ascii="Arial" w:cs="Arial" w:eastAsia="Arial" w:hAnsi="Arial"/>
                <w:sz w:val="16"/>
                <w:szCs w:val="16"/>
              </w:rPr>
              <w:t xml:space="preserve">High</w:t>
            </w:r>
          </w:p>
        </w:tc>
      </w:tr>
      <w:tr>
        <w:trPr>
          <w:trHeight w:val="288"/>
        </w:trPr>
        <w:tc>
          <w:tcPr>
            <w:tcW w:type="dxa" w:w="15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BR-002</w:t>
            </w:r>
          </w:p>
        </w:tc>
        <w:tc>
          <w:tcPr>
            <w:tcW w:type="dxa" w:w="60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Base Price includes attribute, tier, and regional adjustments but excludes partner and discretionary discounts. Discounting the source license must not reduce the maintenance base. VALIDATED (discount-immune).</w:t>
            </w:r>
          </w:p>
        </w:tc>
        <w:tc>
          <w:tcPr>
            <w:tcW w:type="dxa" w:w="186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High</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BR-003</w:t>
            </w:r>
          </w:p>
        </w:tc>
        <w:tc>
          <w:tcPr>
            <w:tcW w:type="dxa" w:w="6000"/>
            <w:tcMar>
              <w:top w:type="dxa" w:w="72"/>
              <w:left w:type="dxa" w:w="72"/>
              <w:bottom w:type="dxa" w:w="72"/>
              <w:right w:type="dxa" w:w="72"/>
            </w:tcMar>
            <w:vAlign w:val="center"/>
          </w:tcPr>
          <w:p>
            <w:pPr>
              <w:spacing w:before="50" w:after="50"/>
            </w:pPr>
            <w:r>
              <w:rPr>
                <w:rFonts w:ascii="Arial" w:cs="Arial" w:eastAsia="Arial" w:hAnsi="Arial"/>
                <w:sz w:val="16"/>
                <w:szCs w:val="16"/>
              </w:rPr>
              <w:t xml:space="preserve">The maintenance line's own partner and discretionary discounts apply after the base is set. VALIDATED.</w:t>
            </w:r>
          </w:p>
        </w:tc>
        <w:tc>
          <w:tcPr>
            <w:tcW w:type="dxa" w:w="1860"/>
            <w:tcMar>
              <w:top w:type="dxa" w:w="72"/>
              <w:left w:type="dxa" w:w="72"/>
              <w:bottom w:type="dxa" w:w="72"/>
              <w:right w:type="dxa" w:w="72"/>
            </w:tcMar>
            <w:vAlign w:val="center"/>
          </w:tcPr>
          <w:p>
            <w:pPr>
              <w:spacing w:before="50" w:after="50"/>
            </w:pPr>
            <w:r>
              <w:rPr>
                <w:rFonts w:ascii="Arial" w:cs="Arial" w:eastAsia="Arial" w:hAnsi="Arial"/>
                <w:sz w:val="16"/>
                <w:szCs w:val="16"/>
              </w:rPr>
              <w:t xml:space="preserve">High</w:t>
            </w:r>
          </w:p>
        </w:tc>
      </w:tr>
      <w:tr>
        <w:trPr>
          <w:trHeight w:val="288"/>
        </w:trPr>
        <w:tc>
          <w:tcPr>
            <w:tcW w:type="dxa" w:w="15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BR-004</w:t>
            </w:r>
          </w:p>
        </w:tc>
        <w:tc>
          <w:tcPr>
            <w:tcW w:type="dxa" w:w="60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Renewal maintenance carries the prior period's Base, partner, and discretionary discount forward, each grown by COLA, then netted. BUILT, NOT VALIDATED; depends on BR-005.</w:t>
            </w:r>
          </w:p>
        </w:tc>
        <w:tc>
          <w:tcPr>
            <w:tcW w:type="dxa" w:w="186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High</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BR-005</w:t>
            </w:r>
          </w:p>
        </w:tc>
        <w:tc>
          <w:tcPr>
            <w:tcW w:type="dxa" w:w="6000"/>
            <w:tcMar>
              <w:top w:type="dxa" w:w="72"/>
              <w:left w:type="dxa" w:w="72"/>
              <w:bottom w:type="dxa" w:w="72"/>
              <w:right w:type="dxa" w:w="72"/>
            </w:tcMar>
            <w:vAlign w:val="center"/>
          </w:tcPr>
          <w:p>
            <w:pPr>
              <w:spacing w:before="50" w:after="50"/>
            </w:pPr>
            <w:r>
              <w:rPr>
                <w:rFonts w:ascii="Arial" w:cs="Arial" w:eastAsia="Arial" w:hAnsi="Arial"/>
                <w:sz w:val="16"/>
                <w:szCs w:val="16"/>
              </w:rPr>
              <w:t xml:space="preserve">OPEN BUSINESS DECISION: confirm whether a real renewal produces a separate derived maintenance line at all, or whether maintenance is part of the renewed subscription line (already COLA-uplifted by existing logic). This determines whether the renewal formula is needed.</w:t>
            </w:r>
          </w:p>
        </w:tc>
        <w:tc>
          <w:tcPr>
            <w:tcW w:type="dxa" w:w="1860"/>
            <w:tcMar>
              <w:top w:type="dxa" w:w="72"/>
              <w:left w:type="dxa" w:w="72"/>
              <w:bottom w:type="dxa" w:w="72"/>
              <w:right w:type="dxa" w:w="72"/>
            </w:tcMar>
            <w:vAlign w:val="center"/>
          </w:tcPr>
          <w:p>
            <w:pPr>
              <w:spacing w:before="50" w:after="50"/>
            </w:pPr>
            <w:r>
              <w:rPr>
                <w:rFonts w:ascii="Arial" w:cs="Arial" w:eastAsia="Arial" w:hAnsi="Arial"/>
                <w:sz w:val="16"/>
                <w:szCs w:val="16"/>
              </w:rPr>
              <w:t xml:space="preserve">High</w:t>
            </w:r>
          </w:p>
        </w:tc>
      </w:tr>
    </w:tbl>
    <w:p>
      <w:pPr>
        <w:spacing w:after="280"/>
      </w:pPr>
    </w:p>
    <w:p>
      <w:pPr>
        <w:pStyle w:val="Heading2"/>
        <w:spacing w:before="320" w:after="205"/>
      </w:pPr>
      <w:r>
        <w:rPr>
          <w:rFonts w:ascii="Arial" w:cs="Arial" w:eastAsia="Arial" w:hAnsi="Arial"/>
          <w:b/>
          <w:bCs/>
          <w:color w:val="2E75B6"/>
          <w:sz w:val="26"/>
          <w:szCs w:val="26"/>
        </w:rPr>
        <w:t xml:space="preserve">3.2 Technical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ID</w:t>
            </w:r>
          </w:p>
        </w:tc>
        <w:tc>
          <w:tcPr>
            <w:tcW w:type="dxa" w:w="600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Requirement</w:t>
            </w:r>
          </w:p>
        </w:tc>
        <w:tc>
          <w:tcPr>
            <w:tcW w:type="dxa" w:w="186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Priority</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TR-001</w:t>
            </w:r>
          </w:p>
        </w:tc>
        <w:tc>
          <w:tcPr>
            <w:tcW w:type="dxa" w:w="6000"/>
            <w:tcMar>
              <w:top w:type="dxa" w:w="72"/>
              <w:left w:type="dxa" w:w="72"/>
              <w:bottom w:type="dxa" w:w="72"/>
              <w:right w:type="dxa" w:w="72"/>
            </w:tcMar>
            <w:vAlign w:val="center"/>
          </w:tcPr>
          <w:p>
            <w:pPr>
              <w:spacing w:before="50" w:after="50"/>
            </w:pPr>
            <w:r>
              <w:rPr>
                <w:rFonts w:ascii="Arial" w:cs="Arial" w:eastAsia="Arial" w:hAnsi="Arial"/>
                <w:sz w:val="16"/>
                <w:szCs w:val="16"/>
              </w:rPr>
              <w:t xml:space="preserve">No Apex pricing prehook on the maintenance line; the engine owns NetUnitPrice on derived lines. The only added automation is one before-save record-triggered Flow.</w:t>
            </w:r>
          </w:p>
        </w:tc>
        <w:tc>
          <w:tcPr>
            <w:tcW w:type="dxa" w:w="1860"/>
            <w:tcMar>
              <w:top w:type="dxa" w:w="72"/>
              <w:left w:type="dxa" w:w="72"/>
              <w:bottom w:type="dxa" w:w="72"/>
              <w:right w:type="dxa" w:w="72"/>
            </w:tcMar>
            <w:vAlign w:val="center"/>
          </w:tcPr>
          <w:p>
            <w:pPr>
              <w:spacing w:before="50" w:after="50"/>
            </w:pPr>
            <w:r>
              <w:rPr>
                <w:rFonts w:ascii="Arial" w:cs="Arial" w:eastAsia="Arial" w:hAnsi="Arial"/>
                <w:sz w:val="16"/>
                <w:szCs w:val="16"/>
              </w:rPr>
              <w:t xml:space="preserve">High</w:t>
            </w:r>
          </w:p>
        </w:tc>
      </w:tr>
      <w:tr>
        <w:trPr>
          <w:trHeight w:val="288"/>
        </w:trPr>
        <w:tc>
          <w:tcPr>
            <w:tcW w:type="dxa" w:w="15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TR-002</w:t>
            </w:r>
          </w:p>
        </w:tc>
        <w:tc>
          <w:tcPr>
            <w:tcW w:type="dxa" w:w="60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New-business base = the source line's Unit Price (pre-discount, attribute-adjusted), Flow-stamped onto Base_Price__c. The native derived pull returns the source's post-discount net, so it is overridden by the procedure formula.</w:t>
            </w:r>
          </w:p>
        </w:tc>
        <w:tc>
          <w:tcPr>
            <w:tcW w:type="dxa" w:w="186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High</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TR-003</w:t>
            </w:r>
          </w:p>
        </w:tc>
        <w:tc>
          <w:tcPr>
            <w:tcW w:type="dxa" w:w="6000"/>
            <w:tcMar>
              <w:top w:type="dxa" w:w="72"/>
              <w:left w:type="dxa" w:w="72"/>
              <w:bottom w:type="dxa" w:w="72"/>
              <w:right w:type="dxa" w:w="72"/>
            </w:tcMar>
            <w:vAlign w:val="center"/>
          </w:tcPr>
          <w:p>
            <w:pPr>
              <w:spacing w:before="50" w:after="50"/>
            </w:pPr>
            <w:r>
              <w:rPr>
                <w:rFonts w:ascii="Arial" w:cs="Arial" w:eastAsia="Arial" w:hAnsi="Arial"/>
                <w:sz w:val="16"/>
                <w:szCs w:val="16"/>
              </w:rPr>
              <w:t xml:space="preserve">The tier is read in the formula via AttributeValue (the line's QuoteLineItemAttribute value); each maintenance product must carry the tier on the correct attribute with a valid Premier/Standard/Professional value or the line prices $0.</w:t>
            </w:r>
          </w:p>
        </w:tc>
        <w:tc>
          <w:tcPr>
            <w:tcW w:type="dxa" w:w="1860"/>
            <w:tcMar>
              <w:top w:type="dxa" w:w="72"/>
              <w:left w:type="dxa" w:w="72"/>
              <w:bottom w:type="dxa" w:w="72"/>
              <w:right w:type="dxa" w:w="72"/>
            </w:tcMar>
            <w:vAlign w:val="center"/>
          </w:tcPr>
          <w:p>
            <w:pPr>
              <w:spacing w:before="50" w:after="50"/>
            </w:pPr>
            <w:r>
              <w:rPr>
                <w:rFonts w:ascii="Arial" w:cs="Arial" w:eastAsia="Arial" w:hAnsi="Arial"/>
                <w:sz w:val="16"/>
                <w:szCs w:val="16"/>
              </w:rPr>
              <w:t xml:space="preserve">High</w:t>
            </w:r>
          </w:p>
        </w:tc>
      </w:tr>
      <w:tr>
        <w:trPr>
          <w:trHeight w:val="288"/>
        </w:trPr>
        <w:tc>
          <w:tcPr>
            <w:tcW w:type="dxa" w:w="15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TR-004</w:t>
            </w:r>
          </w:p>
        </w:tc>
        <w:tc>
          <w:tcPr>
            <w:tcW w:type="dxa" w:w="60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Gate signal is Quote_Type__c = 'Renewal' (QuoteTypeText__c is its text form). Confirmed against 124,652 renewal-type quotes.</w:t>
            </w:r>
          </w:p>
        </w:tc>
        <w:tc>
          <w:tcPr>
            <w:tcW w:type="dxa" w:w="186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Medium</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TR-005</w:t>
            </w:r>
          </w:p>
        </w:tc>
        <w:tc>
          <w:tcPr>
            <w:tcW w:type="dxa" w:w="6000"/>
            <w:tcMar>
              <w:top w:type="dxa" w:w="72"/>
              <w:left w:type="dxa" w:w="72"/>
              <w:bottom w:type="dxa" w:w="72"/>
              <w:right w:type="dxa" w:w="72"/>
            </w:tcMar>
            <w:vAlign w:val="center"/>
          </w:tcPr>
          <w:p>
            <w:pPr>
              <w:spacing w:before="50" w:after="50"/>
            </w:pPr>
            <w:r>
              <w:rPr>
                <w:rFonts w:ascii="Arial" w:cs="Arial" w:eastAsia="Arial" w:hAnsi="Arial"/>
                <w:sz w:val="16"/>
                <w:szCs w:val="16"/>
              </w:rPr>
              <w:t xml:space="preserve">Renewal carry-forward depends on a new-business order-creation step that persists the maintenance dollar decomposition onto the order line; that step is NOT yet built.</w:t>
            </w:r>
          </w:p>
        </w:tc>
        <w:tc>
          <w:tcPr>
            <w:tcW w:type="dxa" w:w="1860"/>
            <w:tcMar>
              <w:top w:type="dxa" w:w="72"/>
              <w:left w:type="dxa" w:w="72"/>
              <w:bottom w:type="dxa" w:w="72"/>
              <w:right w:type="dxa" w:w="72"/>
            </w:tcMar>
            <w:vAlign w:val="center"/>
          </w:tcPr>
          <w:p>
            <w:pPr>
              <w:spacing w:before="50" w:after="50"/>
            </w:pPr>
            <w:r>
              <w:rPr>
                <w:rFonts w:ascii="Arial" w:cs="Arial" w:eastAsia="Arial" w:hAnsi="Arial"/>
                <w:sz w:val="16"/>
                <w:szCs w:val="16"/>
              </w:rPr>
              <w:t xml:space="preserve">Medium</w:t>
            </w:r>
          </w:p>
        </w:tc>
      </w:tr>
      <w:tr>
        <w:trPr>
          <w:trHeight w:val="288"/>
        </w:trPr>
        <w:tc>
          <w:tcPr>
            <w:tcW w:type="dxa" w:w="15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TR-006</w:t>
            </w:r>
          </w:p>
        </w:tc>
        <w:tc>
          <w:tcPr>
            <w:tcW w:type="dxa" w:w="60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Open new-business loose end: a maintenance line can show $0 on its first reprice because the before-save stamp lands after the pricing pass; the durable fix is to stamp the base before pricing.</w:t>
            </w:r>
          </w:p>
        </w:tc>
        <w:tc>
          <w:tcPr>
            <w:tcW w:type="dxa" w:w="186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Medium</w:t>
            </w:r>
          </w:p>
        </w:tc>
      </w:tr>
    </w:tbl>
    <w:p>
      <w:pPr>
        <w:spacing w:after="280"/>
      </w:pPr>
    </w:p>
    <w:p>
      <w:r>
        <w:br w:type="page"/>
      </w:r>
    </w:p>
    <w:p>
      <w:pPr>
        <w:pStyle w:val="Heading1"/>
        <w:spacing w:before="320" w:after="220"/>
      </w:pPr>
      <w:r>
        <w:rPr>
          <w:rFonts w:ascii="Arial" w:cs="Arial" w:eastAsia="Arial" w:hAnsi="Arial"/>
          <w:b/>
          <w:bCs/>
          <w:color w:val="1E4D78"/>
          <w:sz w:val="32"/>
          <w:szCs w:val="32"/>
        </w:rPr>
        <w:t xml:space="preserve">4. Assumptions</w:t>
      </w:r>
    </w:p>
    <w:p>
      <w:pPr>
        <w:spacing w:after="200"/>
      </w:pPr>
      <w:r>
        <w:rPr>
          <w:rFonts w:ascii="Arial" w:cs="Arial" w:eastAsia="Arial" w:hAnsi="Arial"/>
          <w:sz w:val="20"/>
          <w:szCs w:val="20"/>
        </w:rPr>
        <w:t xml:space="preserve">The following assumptions have been made during the design of this solution: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Height w:val="370" w:hRule="exact"/>
        </w:trPr>
        <w:tc>
          <w:tcPr>
            <w:tcW w:type="dxa" w:w="150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ID</w:t>
            </w:r>
          </w:p>
        </w:tc>
        <w:tc>
          <w:tcPr>
            <w:tcW w:type="dxa" w:w="786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Assumption</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A-001</w:t>
            </w:r>
          </w:p>
        </w:tc>
        <w:tc>
          <w:tcPr>
            <w:tcW w:type="dxa" w:w="7860"/>
            <w:tcMar>
              <w:top w:type="dxa" w:w="72"/>
              <w:left w:type="dxa" w:w="72"/>
              <w:bottom w:type="dxa" w:w="72"/>
              <w:right w:type="dxa" w:w="72"/>
            </w:tcMar>
            <w:vAlign w:val="center"/>
          </w:tcPr>
          <w:p>
            <w:pPr>
              <w:spacing w:before="50" w:after="50"/>
            </w:pPr>
            <w:r>
              <w:rPr>
                <w:rFonts w:ascii="Arial" w:cs="Arial" w:eastAsia="Arial" w:hAnsi="Arial"/>
                <w:sz w:val="16"/>
                <w:szCs w:val="16"/>
              </w:rPr>
              <w:t xml:space="preserve">Each maintenance product is configured with its tier on the attribute the formula's AttributeValue resolves to, with a valid Premier/Standard/Professional value. Mis-tagged products (wrong attribute, or retired values such as Enterprise Support) price $0.</w:t>
            </w:r>
          </w:p>
        </w:tc>
      </w:tr>
      <w:tr>
        <w:trPr>
          <w:trHeight w:val="288"/>
        </w:trPr>
        <w:tc>
          <w:tcPr>
            <w:tcW w:type="dxa" w:w="15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A-002</w:t>
            </w:r>
          </w:p>
        </w:tc>
        <w:tc>
          <w:tcPr>
            <w:tcW w:type="dxa" w:w="786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The existing Partner Pricing and discretionary-discount logic applies the maintenance line's own discounts on new-business derived lines and is excluded from renewal derived lines.</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A-003</w:t>
            </w:r>
          </w:p>
        </w:tc>
        <w:tc>
          <w:tcPr>
            <w:tcW w:type="dxa" w:w="7860"/>
            <w:tcMar>
              <w:top w:type="dxa" w:w="72"/>
              <w:left w:type="dxa" w:w="72"/>
              <w:bottom w:type="dxa" w:w="72"/>
              <w:right w:type="dxa" w:w="72"/>
            </w:tcMar>
            <w:vAlign w:val="center"/>
          </w:tcPr>
          <w:p>
            <w:pPr>
              <w:spacing w:before="50" w:after="50"/>
            </w:pPr>
            <w:r>
              <w:rPr>
                <w:rFonts w:ascii="Arial" w:cs="Arial" w:eastAsia="Arial" w:hAnsi="Arial"/>
                <w:sz w:val="16"/>
                <w:szCs w:val="16"/>
              </w:rPr>
              <w:t xml:space="preserve">Real renewal behavior for maintenance must be confirmed: whether renewals generate a separate derived maintenance line (like new business) or fold maintenance into the renewed subscription line.</w:t>
            </w:r>
          </w:p>
        </w:tc>
      </w:tr>
      <w:tr>
        <w:trPr>
          <w:trHeight w:val="288"/>
        </w:trPr>
        <w:tc>
          <w:tcPr>
            <w:tcW w:type="dxa" w:w="15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A-004</w:t>
            </w:r>
          </w:p>
        </w:tc>
        <w:tc>
          <w:tcPr>
            <w:tcW w:type="dxa" w:w="786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Renewal validation requires a real platform renewal; the renewal branch has not been exercised end-to-end.</w:t>
            </w:r>
          </w:p>
        </w:tc>
      </w:tr>
    </w:tbl>
    <w:p>
      <w:pPr>
        <w:spacing w:after="280"/>
      </w:pPr>
    </w:p>
    <w:p>
      <w:r>
        <w:br w:type="page"/>
      </w:r>
    </w:p>
    <w:p>
      <w:pPr>
        <w:pStyle w:val="Heading1"/>
        <w:spacing w:before="320" w:after="220"/>
      </w:pPr>
      <w:r>
        <w:rPr>
          <w:rFonts w:ascii="Arial" w:cs="Arial" w:eastAsia="Arial" w:hAnsi="Arial"/>
          <w:b/>
          <w:bCs/>
          <w:color w:val="1E4D78"/>
          <w:sz w:val="32"/>
          <w:szCs w:val="32"/>
        </w:rPr>
        <w:t xml:space="preserve">5. Dependencies</w:t>
      </w:r>
    </w:p>
    <w:p>
      <w:pPr>
        <w:spacing w:after="200"/>
      </w:pPr>
      <w:r>
        <w:rPr>
          <w:rFonts w:ascii="Arial" w:cs="Arial" w:eastAsia="Arial" w:hAnsi="Arial"/>
          <w:sz w:val="20"/>
          <w:szCs w:val="20"/>
        </w:rPr>
        <w:t xml:space="preserve">The following dependencies exist for this solution:</w:t>
      </w:r>
    </w:p>
    <w:p>
      <w:pPr>
        <w:pStyle w:val="Heading2"/>
        <w:spacing w:before="320" w:after="205"/>
      </w:pPr>
      <w:r>
        <w:rPr>
          <w:rFonts w:ascii="Arial" w:cs="Arial" w:eastAsia="Arial" w:hAnsi="Arial"/>
          <w:b/>
          <w:bCs/>
          <w:color w:val="2E75B6"/>
          <w:sz w:val="26"/>
          <w:szCs w:val="26"/>
        </w:rPr>
        <w:t xml:space="preserve">5.1 Internal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ID</w:t>
            </w:r>
          </w:p>
        </w:tc>
        <w:tc>
          <w:tcPr>
            <w:tcW w:type="dxa" w:w="468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Dependency</w:t>
            </w:r>
          </w:p>
        </w:tc>
        <w:tc>
          <w:tcPr>
            <w:tcW w:type="dxa" w:w="318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Status</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D-001</w:t>
            </w:r>
          </w:p>
        </w:tc>
        <w:tc>
          <w:tcPr>
            <w:tcW w:type="dxa" w:w="4680"/>
            <w:tcMar>
              <w:top w:type="dxa" w:w="72"/>
              <w:left w:type="dxa" w:w="72"/>
              <w:bottom w:type="dxa" w:w="72"/>
              <w:right w:type="dxa" w:w="72"/>
            </w:tcMar>
            <w:vAlign w:val="center"/>
          </w:tcPr>
          <w:p>
            <w:pPr>
              <w:spacing w:before="50" w:after="50"/>
            </w:pPr>
            <w:r>
              <w:rPr>
                <w:rFonts w:ascii="Arial" w:cs="Arial" w:eastAsia="Arial" w:hAnsi="Arial"/>
                <w:sz w:val="16"/>
                <w:szCs w:val="16"/>
              </w:rPr>
              <w:t xml:space="preserve">4 custom currency fields (Prior_Partner_Discount__c, Prior_Discretionary_Discount__c on QuoteLineItem and OrderItem) plus their context Input mappings.</w:t>
            </w:r>
          </w:p>
        </w:tc>
        <w:tc>
          <w:tcPr>
            <w:tcW w:type="dxa" w:w="3180"/>
            <w:tcMar>
              <w:top w:type="dxa" w:w="72"/>
              <w:left w:type="dxa" w:w="72"/>
              <w:bottom w:type="dxa" w:w="72"/>
              <w:right w:type="dxa" w:w="72"/>
            </w:tcMar>
            <w:vAlign w:val="center"/>
          </w:tcPr>
          <w:p>
            <w:pPr>
              <w:spacing w:before="50" w:after="50"/>
            </w:pPr>
            <w:r>
              <w:rPr>
                <w:rFonts w:ascii="Arial" w:cs="Arial" w:eastAsia="Arial" w:hAnsi="Arial"/>
                <w:sz w:val="16"/>
                <w:szCs w:val="16"/>
              </w:rPr>
              <w:t xml:space="preserve">Deployed</w:t>
            </w:r>
          </w:p>
        </w:tc>
      </w:tr>
      <w:tr>
        <w:trPr>
          <w:trHeight w:val="288"/>
        </w:trPr>
        <w:tc>
          <w:tcPr>
            <w:tcW w:type="dxa" w:w="15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D-002</w:t>
            </w:r>
          </w:p>
        </w:tc>
        <w:tc>
          <w:tcPr>
            <w:tcW w:type="dxa" w:w="468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Before-save Flow Stamp_Maintenance_Pricing_Inputs (v1 active for new business; v2 draft for the renewal branch).</w:t>
            </w:r>
          </w:p>
        </w:tc>
        <w:tc>
          <w:tcPr>
            <w:tcW w:type="dxa" w:w="318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v1 Active / v2 Draft</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D-003</w:t>
            </w:r>
          </w:p>
        </w:tc>
        <w:tc>
          <w:tcPr>
            <w:tcW w:type="dxa" w:w="4680"/>
            <w:tcMar>
              <w:top w:type="dxa" w:w="72"/>
              <w:left w:type="dxa" w:w="72"/>
              <w:bottom w:type="dxa" w:w="72"/>
              <w:right w:type="dxa" w:w="72"/>
            </w:tcMar>
            <w:vAlign w:val="center"/>
          </w:tcPr>
          <w:p>
            <w:pPr>
              <w:spacing w:before="50" w:after="50"/>
            </w:pPr>
            <w:r>
              <w:rPr>
                <w:rFonts w:ascii="Arial" w:cs="Arial" w:eastAsia="Arial" w:hAnsi="Arial"/>
                <w:sz w:val="16"/>
                <w:szCs w:val="16"/>
              </w:rPr>
              <w:t xml:space="preserve">Two procedure formula elements (Derived Pricing - New Business; Derived Pricing - Renewal) in the derived container.</w:t>
            </w:r>
          </w:p>
        </w:tc>
        <w:tc>
          <w:tcPr>
            <w:tcW w:type="dxa" w:w="3180"/>
            <w:tcMar>
              <w:top w:type="dxa" w:w="72"/>
              <w:left w:type="dxa" w:w="72"/>
              <w:bottom w:type="dxa" w:w="72"/>
              <w:right w:type="dxa" w:w="72"/>
            </w:tcMar>
            <w:vAlign w:val="center"/>
          </w:tcPr>
          <w:p>
            <w:pPr>
              <w:spacing w:before="50" w:after="50"/>
            </w:pPr>
            <w:r>
              <w:rPr>
                <w:rFonts w:ascii="Arial" w:cs="Arial" w:eastAsia="Arial" w:hAnsi="Arial"/>
                <w:sz w:val="16"/>
                <w:szCs w:val="16"/>
              </w:rPr>
              <w:t xml:space="preserve">Deployed; renewal element not validated</w:t>
            </w:r>
          </w:p>
        </w:tc>
      </w:tr>
      <w:tr>
        <w:trPr>
          <w:trHeight w:val="288"/>
        </w:trPr>
        <w:tc>
          <w:tcPr>
            <w:tcW w:type="dxa" w:w="15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D-004</w:t>
            </w:r>
          </w:p>
        </w:tc>
        <w:tc>
          <w:tcPr>
            <w:tcW w:type="dxa" w:w="468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Product-data: maintenance tier tagged correctly per product (Premier/Standard/Professional on the correct attribute).</w:t>
            </w:r>
          </w:p>
        </w:tc>
        <w:tc>
          <w:tcPr>
            <w:tcW w:type="dxa" w:w="318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Open, Fortra-owned</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D-005</w:t>
            </w:r>
          </w:p>
        </w:tc>
        <w:tc>
          <w:tcPr>
            <w:tcW w:type="dxa" w:w="4680"/>
            <w:tcMar>
              <w:top w:type="dxa" w:w="72"/>
              <w:left w:type="dxa" w:w="72"/>
              <w:bottom w:type="dxa" w:w="72"/>
              <w:right w:type="dxa" w:w="72"/>
            </w:tcMar>
            <w:vAlign w:val="center"/>
          </w:tcPr>
          <w:p>
            <w:pPr>
              <w:spacing w:before="50" w:after="50"/>
            </w:pPr>
            <w:r>
              <w:rPr>
                <w:rFonts w:ascii="Arial" w:cs="Arial" w:eastAsia="Arial" w:hAnsi="Arial"/>
                <w:sz w:val="16"/>
                <w:szCs w:val="16"/>
              </w:rPr>
              <w:t xml:space="preserve">New-business order-creation step that persists the maintenance dollar decomposition for renewals to carry forward.</w:t>
            </w:r>
          </w:p>
        </w:tc>
        <w:tc>
          <w:tcPr>
            <w:tcW w:type="dxa" w:w="3180"/>
            <w:tcMar>
              <w:top w:type="dxa" w:w="72"/>
              <w:left w:type="dxa" w:w="72"/>
              <w:bottom w:type="dxa" w:w="72"/>
              <w:right w:type="dxa" w:w="72"/>
            </w:tcMar>
            <w:vAlign w:val="center"/>
          </w:tcPr>
          <w:p>
            <w:pPr>
              <w:spacing w:before="50" w:after="50"/>
            </w:pPr>
            <w:r>
              <w:rPr>
                <w:rFonts w:ascii="Arial" w:cs="Arial" w:eastAsia="Arial" w:hAnsi="Arial"/>
                <w:sz w:val="16"/>
                <w:szCs w:val="16"/>
              </w:rPr>
              <w:t xml:space="preserve">Not built</w:t>
            </w:r>
          </w:p>
        </w:tc>
      </w:tr>
    </w:tbl>
    <w:p>
      <w:pPr>
        <w:spacing w:after="280"/>
      </w:pPr>
    </w:p>
    <w:p>
      <w:pPr>
        <w:pStyle w:val="Heading2"/>
        <w:spacing w:before="320" w:after="205"/>
      </w:pPr>
      <w:r>
        <w:rPr>
          <w:rFonts w:ascii="Arial" w:cs="Arial" w:eastAsia="Arial" w:hAnsi="Arial"/>
          <w:b/>
          <w:bCs/>
          <w:color w:val="2E75B6"/>
          <w:sz w:val="26"/>
          <w:szCs w:val="26"/>
        </w:rPr>
        <w:t xml:space="preserve">5.2 External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ID</w:t>
            </w:r>
          </w:p>
        </w:tc>
        <w:tc>
          <w:tcPr>
            <w:tcW w:type="dxa" w:w="468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Dependency</w:t>
            </w:r>
          </w:p>
        </w:tc>
        <w:tc>
          <w:tcPr>
            <w:tcW w:type="dxa" w:w="318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Owner</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E-001</w:t>
            </w:r>
          </w:p>
        </w:tc>
        <w:tc>
          <w:tcPr>
            <w:tcW w:type="dxa" w:w="4680"/>
            <w:tcMar>
              <w:top w:type="dxa" w:w="72"/>
              <w:left w:type="dxa" w:w="72"/>
              <w:bottom w:type="dxa" w:w="72"/>
              <w:right w:type="dxa" w:w="72"/>
            </w:tcMar>
            <w:vAlign w:val="center"/>
          </w:tcPr>
          <w:p>
            <w:pPr>
              <w:spacing w:before="50" w:after="50"/>
            </w:pPr>
            <w:r>
              <w:rPr>
                <w:rFonts w:ascii="Arial" w:cs="Arial" w:eastAsia="Arial" w:hAnsi="Arial"/>
                <w:sz w:val="16"/>
                <w:szCs w:val="16"/>
              </w:rPr>
              <w:t xml:space="preserve">A business decision on whether real renewals generate a separate derived maintenance line, which determines whether the renewal formula is needed.</w:t>
            </w:r>
          </w:p>
        </w:tc>
        <w:tc>
          <w:tcPr>
            <w:tcW w:type="dxa" w:w="3180"/>
            <w:tcMar>
              <w:top w:type="dxa" w:w="72"/>
              <w:left w:type="dxa" w:w="72"/>
              <w:bottom w:type="dxa" w:w="72"/>
              <w:right w:type="dxa" w:w="72"/>
            </w:tcMar>
            <w:vAlign w:val="center"/>
          </w:tcPr>
          <w:p>
            <w:pPr>
              <w:spacing w:before="50" w:after="50"/>
            </w:pPr>
            <w:r>
              <w:rPr>
                <w:rFonts w:ascii="Arial" w:cs="Arial" w:eastAsia="Arial" w:hAnsi="Arial"/>
                <w:sz w:val="16"/>
                <w:szCs w:val="16"/>
              </w:rPr>
              <w:t xml:space="preserve">Fortra</w:t>
            </w:r>
          </w:p>
        </w:tc>
      </w:tr>
    </w:tbl>
    <w:p>
      <w:pPr>
        <w:spacing w:after="280"/>
      </w:pPr>
    </w:p>
    <w:p>
      <w:r>
        <w:br w:type="page"/>
      </w:r>
    </w:p>
    <w:p>
      <w:pPr>
        <w:pStyle w:val="Heading1"/>
        <w:spacing w:before="320" w:after="220"/>
      </w:pPr>
      <w:r>
        <w:rPr>
          <w:rFonts w:ascii="Arial" w:cs="Arial" w:eastAsia="Arial" w:hAnsi="Arial"/>
          <w:b/>
          <w:bCs/>
          <w:color w:val="1E4D78"/>
          <w:sz w:val="32"/>
          <w:szCs w:val="32"/>
        </w:rPr>
        <w:t xml:space="preserve">6. Technical Design</w:t>
      </w:r>
    </w:p>
    <w:p>
      <w:pPr>
        <w:pStyle w:val="Heading2"/>
        <w:spacing w:before="320" w:after="205"/>
      </w:pPr>
      <w:r>
        <w:rPr>
          <w:rFonts w:ascii="Arial" w:cs="Arial" w:eastAsia="Arial" w:hAnsi="Arial"/>
          <w:b/>
          <w:bCs/>
          <w:color w:val="2E75B6"/>
          <w:sz w:val="26"/>
          <w:szCs w:val="26"/>
        </w:rPr>
        <w:t xml:space="preserve">6.1 Architecture Overview</w:t>
      </w:r>
    </w:p>
    <w:p>
      <w:pPr>
        <w:spacing w:after="200"/>
      </w:pPr>
      <w:r>
        <w:rPr>
          <w:rFonts w:ascii="Arial" w:cs="Arial" w:eastAsia="Arial" w:hAnsi="Arial"/>
          <w:sz w:val="20"/>
          <w:szCs w:val="20"/>
        </w:rPr>
        <w:t xml:space="preserve">Both branches share one quote-type-gated formula slot in the active pricing procedure, inside the derived-line container, between the existing 'Derived Pricing' filter and the 'Derived Pricing Values Assignment' (which propagates the formula's NetUnitPrice into the input price downstream). The procedure routes the maintenance line to one of two formula elements, each overriding the native derived value. A single before-save record-triggered Flow supplies the inputs: for new business it stamps the source license line's Unit Price onto Base_Price__c; for renewals it stamps the prior maintenance order line's Base, partner, and discretionary dollar amounts and the resolved COLA rate. The native derived pull is overridden because it delivers the source's post-discount net rather than the pre-discount Base.</w:t>
      </w:r>
    </w:p>
    <w:p>
      <w:pPr>
        <w:pStyle w:val="Heading2"/>
        <w:spacing w:before="320" w:after="205"/>
      </w:pPr>
      <w:r>
        <w:rPr>
          <w:rFonts w:ascii="Arial" w:cs="Arial" w:eastAsia="Arial" w:hAnsi="Arial"/>
          <w:b/>
          <w:bCs/>
          <w:color w:val="2E75B6"/>
          <w:sz w:val="26"/>
          <w:szCs w:val="26"/>
        </w:rPr>
        <w:t xml:space="preserve">6.2 Data Model</w:t>
      </w:r>
    </w:p>
    <w:p>
      <w:pPr>
        <w:spacing w:after="200"/>
      </w:pPr>
      <w:r>
        <w:rPr>
          <w:rFonts w:ascii="Arial" w:cs="Arial" w:eastAsia="Arial" w:hAnsi="Arial"/>
          <w:sz w:val="20"/>
          <w:szCs w:val="20"/>
        </w:rPr>
        <w:t xml:space="preserve">The maintenance and license lines are standard QuoteLineItem records; the maintenance line is derived and the engine owns its NetUnitPrice. The source license for a maintenance product is identified by PriceBookEntryDerivedPrice.ContributingProductId. New-business pricing reads the source line's Unit Price; renewal pricing reads the prior maintenance OrderItem. Line-level fields are context-mapped into the version-2 Sales Transaction context (Base_Price__c, COLA_Uplift_Percent__c, the two new prior-discount fields). The maintenance tier lives on a QuoteLineItemAttribute record (AttributeName/AttributeValue) and is read in the formula via AttributeValue. On real renewals the QuoteLineItem also carries Replaced_Asset__c (the source asset) and Source_List_Price__c.</w:t>
      </w:r>
    </w:p>
    <w:p>
      <w:pPr>
        <w:pStyle w:val="Heading3"/>
        <w:spacing w:before="260" w:after="160"/>
      </w:pPr>
      <w:r>
        <w:rPr>
          <w:rFonts w:ascii="Arial" w:cs="Arial" w:eastAsia="Arial" w:hAnsi="Arial"/>
          <w:b/>
          <w:bCs/>
          <w:color w:val="404040"/>
          <w:sz w:val="24"/>
          <w:szCs w:val="24"/>
        </w:rPr>
        <w:t xml:space="preserve">6.2.1 Field Mappings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Height w:val="370" w:hRule="exact"/>
        </w:trPr>
        <w:tc>
          <w:tcPr>
            <w:tcW w:type="dxa" w:w="468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Source Field</w:t>
            </w:r>
          </w:p>
        </w:tc>
        <w:tc>
          <w:tcPr>
            <w:tcW w:type="dxa" w:w="468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Target Field</w:t>
            </w:r>
          </w:p>
        </w:tc>
      </w:tr>
      <w:tr>
        <w:trPr>
          <w:trHeight w:val="288"/>
        </w:trPr>
        <w:tc>
          <w:tcPr>
            <w:tcW w:type="dxa" w:w="4680"/>
            <w:tcMar>
              <w:top w:type="dxa" w:w="72"/>
              <w:left w:type="dxa" w:w="72"/>
              <w:bottom w:type="dxa" w:w="72"/>
              <w:right w:type="dxa" w:w="72"/>
            </w:tcMar>
            <w:vAlign w:val="center"/>
          </w:tcPr>
          <w:p>
            <w:pPr>
              <w:spacing w:before="50" w:after="50"/>
            </w:pPr>
            <w:r>
              <w:rPr>
                <w:rFonts w:ascii="Arial" w:cs="Arial" w:eastAsia="Arial" w:hAnsi="Arial"/>
                <w:sz w:val="16"/>
                <w:szCs w:val="16"/>
              </w:rPr>
              <w:t xml:space="preserve">Source QuoteLineItem.UnitPrice (pre-discount Base)</w:t>
            </w:r>
          </w:p>
        </w:tc>
        <w:tc>
          <w:tcPr>
            <w:tcW w:type="dxa" w:w="4680"/>
            <w:tcMar>
              <w:top w:type="dxa" w:w="72"/>
              <w:left w:type="dxa" w:w="72"/>
              <w:bottom w:type="dxa" w:w="72"/>
              <w:right w:type="dxa" w:w="72"/>
            </w:tcMar>
            <w:vAlign w:val="center"/>
          </w:tcPr>
          <w:p>
            <w:pPr>
              <w:spacing w:before="50" w:after="50"/>
            </w:pPr>
            <w:r>
              <w:rPr>
                <w:rFonts w:ascii="Arial" w:cs="Arial" w:eastAsia="Arial" w:hAnsi="Arial"/>
                <w:sz w:val="16"/>
                <w:szCs w:val="16"/>
              </w:rPr>
              <w:t xml:space="preserve">Maintenance QuoteLineItem.Base_Price__c (Flow-stamped)</w:t>
            </w:r>
          </w:p>
        </w:tc>
      </w:tr>
      <w:tr>
        <w:trPr>
          <w:trHeight w:val="288"/>
        </w:trPr>
        <w:tc>
          <w:tcPr>
            <w:tcW w:type="dxa" w:w="468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Line QuoteLineItemAttribute.AttributeValue (tier)</w:t>
            </w:r>
          </w:p>
        </w:tc>
        <w:tc>
          <w:tcPr>
            <w:tcW w:type="dxa" w:w="468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Formula AttributeValue (Premier/Standard/Professional)</w:t>
            </w:r>
          </w:p>
        </w:tc>
      </w:tr>
      <w:tr>
        <w:trPr>
          <w:trHeight w:val="288"/>
        </w:trPr>
        <w:tc>
          <w:tcPr>
            <w:tcW w:type="dxa" w:w="4680"/>
            <w:tcMar>
              <w:top w:type="dxa" w:w="72"/>
              <w:left w:type="dxa" w:w="72"/>
              <w:bottom w:type="dxa" w:w="72"/>
              <w:right w:type="dxa" w:w="72"/>
            </w:tcMar>
            <w:vAlign w:val="center"/>
          </w:tcPr>
          <w:p>
            <w:pPr>
              <w:spacing w:before="50" w:after="50"/>
            </w:pPr>
            <w:r>
              <w:rPr>
                <w:rFonts w:ascii="Arial" w:cs="Arial" w:eastAsia="Arial" w:hAnsi="Arial"/>
                <w:sz w:val="16"/>
                <w:szCs w:val="16"/>
              </w:rPr>
              <w:t xml:space="preserve">Prior OrderItem Base / partner $ / discretionary $</w:t>
            </w:r>
          </w:p>
        </w:tc>
        <w:tc>
          <w:tcPr>
            <w:tcW w:type="dxa" w:w="4680"/>
            <w:tcMar>
              <w:top w:type="dxa" w:w="72"/>
              <w:left w:type="dxa" w:w="72"/>
              <w:bottom w:type="dxa" w:w="72"/>
              <w:right w:type="dxa" w:w="72"/>
            </w:tcMar>
            <w:vAlign w:val="center"/>
          </w:tcPr>
          <w:p>
            <w:pPr>
              <w:spacing w:before="50" w:after="50"/>
            </w:pPr>
            <w:r>
              <w:rPr>
                <w:rFonts w:ascii="Arial" w:cs="Arial" w:eastAsia="Arial" w:hAnsi="Arial"/>
                <w:sz w:val="16"/>
                <w:szCs w:val="16"/>
              </w:rPr>
              <w:t xml:space="preserve">Renewal line Base_Price__c / Prior_Partner_Discount__c / Prior_Discretionary_Discount__c (Flow-stamped)</w:t>
            </w:r>
          </w:p>
        </w:tc>
      </w:tr>
      <w:tr>
        <w:trPr>
          <w:trHeight w:val="288"/>
        </w:trPr>
        <w:tc>
          <w:tcPr>
            <w:tcW w:type="dxa" w:w="468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COLA hierarchy (line / contract / category)</w:t>
            </w:r>
          </w:p>
        </w:tc>
        <w:tc>
          <w:tcPr>
            <w:tcW w:type="dxa" w:w="468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QuoteLineItem.COLA_Uplift_Percent__c</w:t>
            </w:r>
          </w:p>
        </w:tc>
      </w:tr>
    </w:tbl>
    <w:p>
      <w:pPr>
        <w:spacing w:after="280"/>
      </w:pPr>
    </w:p>
    <w:p>
      <w:pPr>
        <w:pStyle w:val="Heading2"/>
        <w:spacing w:before="320" w:after="205"/>
      </w:pPr>
      <w:r>
        <w:rPr>
          <w:rFonts w:ascii="Arial" w:cs="Arial" w:eastAsia="Arial" w:hAnsi="Arial"/>
          <w:b/>
          <w:bCs/>
          <w:color w:val="2E75B6"/>
          <w:sz w:val="26"/>
          <w:szCs w:val="26"/>
        </w:rPr>
        <w:t xml:space="preserve">6.3 Business Logic</w:t>
      </w:r>
    </w:p>
    <w:p>
      <w:pPr>
        <w:spacing w:after="200"/>
      </w:pPr>
      <w:r>
        <w:rPr>
          <w:rFonts w:ascii="Arial" w:cs="Arial" w:eastAsia="Arial" w:hAnsi="Arial"/>
          <w:sz w:val="20"/>
          <w:szCs w:val="20"/>
        </w:rPr>
        <w:t xml:space="preserve">New business (gated New/Net-New): the formula computes Base_Price__c times the tier, where the tier is read via AttributeValue and mapped to a rate (Premier 0.30, Standard 0.20, Professional 0.20, else 0). The line's own partner and discretionary discounts are then applied by the existing discount logic. Validated: $468 base, Standard tier, equals $93.60; immune to a 20% discount on the source; a 10% maintenance-line discount yields $84.24. A maintenance product whose tier is on the wrong attribute or holds a retired value (such as Enterprise Support) falls to the $0 tier. Renewal (gated Renewal): the formula computes (Base_Price__c minus Prior_Partner_Discount__c minus Prior_Discretionary_Discount__c) times (1 plus COLA/100); it self-gates by returning NetUnitPrice unchanged on non-renewal quotes. This branch is built but not validated, and its premise (that a separate derived maintenance line exists on renewals) is unconfirmed: real platform renewals observed to date renew the license/subscription line directly with COLA already applied, and do not produce a separate derived maintenance line.</w:t>
      </w:r>
    </w:p>
    <w:p>
      <w:pPr>
        <w:pStyle w:val="Heading2"/>
        <w:spacing w:before="320" w:after="205"/>
      </w:pPr>
      <w:r>
        <w:rPr>
          <w:rFonts w:ascii="Arial" w:cs="Arial" w:eastAsia="Arial" w:hAnsi="Arial"/>
          <w:b/>
          <w:bCs/>
          <w:color w:val="2E75B6"/>
          <w:sz w:val="26"/>
          <w:szCs w:val="26"/>
        </w:rPr>
        <w:t xml:space="preserve">6.4 Integration Points</w:t>
      </w:r>
    </w:p>
    <w:p>
      <w:pPr>
        <w:spacing w:after="200"/>
      </w:pPr>
      <w:r>
        <w:rPr>
          <w:rFonts w:ascii="Arial" w:cs="Arial" w:eastAsia="Arial" w:hAnsi="Arial"/>
          <w:sz w:val="20"/>
          <w:szCs w:val="20"/>
        </w:rPr>
        <w:t xml:space="preserve">No external integrations. The solution composes with the native Derived Pricing Data Retrieval element (overridden), the existing Partner Pricing and discretionary-discount logic (reused for new business), the existing COLA rate hierarchy (reused by the Flow), the existing license-renewal COLA logic (which already uplifts renewed subscription lines), and the two derived-pricing decision tables (refreshed after changes). Verified platform behavior: derived-pricing data/formula changes do not take effect on a reprice until the relevant decision table is refreshed.</w:t>
      </w:r>
    </w:p>
    <w:p>
      <w:r>
        <w:br w:type="page"/>
      </w:r>
    </w:p>
    <w:p>
      <w:pPr>
        <w:pStyle w:val="Heading1"/>
        <w:spacing w:before="320" w:after="220"/>
      </w:pPr>
      <w:r>
        <w:rPr>
          <w:rFonts w:ascii="Arial" w:cs="Arial" w:eastAsia="Arial" w:hAnsi="Arial"/>
          <w:b/>
          <w:bCs/>
          <w:color w:val="1E4D78"/>
          <w:sz w:val="32"/>
          <w:szCs w:val="32"/>
        </w:rPr>
        <w:t xml:space="preserve">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rPr>
          <w:tblHeader/>
          <w:trHeight w:val="370" w:hRule="exact"/>
        </w:trPr>
        <w:tc>
          <w:tcPr>
            <w:tcW w:type="dxa" w:w="150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Version</w:t>
            </w:r>
          </w:p>
        </w:tc>
        <w:tc>
          <w:tcPr>
            <w:tcW w:type="dxa" w:w="250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Date</w:t>
            </w:r>
          </w:p>
        </w:tc>
        <w:tc>
          <w:tcPr>
            <w:tcW w:type="dxa" w:w="250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Author</w:t>
            </w:r>
          </w:p>
        </w:tc>
        <w:tc>
          <w:tcPr>
            <w:tcW w:type="dxa" w:w="286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Description</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1.0</w:t>
            </w:r>
          </w:p>
        </w:tc>
        <w:tc>
          <w:tcPr>
            <w:tcW w:type="dxa" w:w="2500"/>
            <w:tcMar>
              <w:top w:type="dxa" w:w="72"/>
              <w:left w:type="dxa" w:w="72"/>
              <w:bottom w:type="dxa" w:w="72"/>
              <w:right w:type="dxa" w:w="72"/>
            </w:tcMar>
            <w:vAlign w:val="center"/>
          </w:tcPr>
          <w:p>
            <w:pPr>
              <w:spacing w:before="50" w:after="50"/>
            </w:pPr>
            <w:r>
              <w:rPr>
                <w:rFonts w:ascii="Arial" w:cs="Arial" w:eastAsia="Arial" w:hAnsi="Arial"/>
                <w:sz w:val="16"/>
                <w:szCs w:val="16"/>
              </w:rPr>
              <w:t xml:space="preserve">June 9, 2026</w:t>
            </w:r>
          </w:p>
        </w:tc>
        <w:tc>
          <w:tcPr>
            <w:tcW w:type="dxa" w:w="2500"/>
            <w:tcMar>
              <w:top w:type="dxa" w:w="72"/>
              <w:left w:type="dxa" w:w="72"/>
              <w:bottom w:type="dxa" w:w="72"/>
              <w:right w:type="dxa" w:w="72"/>
            </w:tcMar>
            <w:vAlign w:val="center"/>
          </w:tcPr>
          <w:p>
            <w:pPr>
              <w:spacing w:before="50" w:after="50"/>
            </w:pPr>
            <w:r>
              <w:rPr>
                <w:rFonts w:ascii="Arial" w:cs="Arial" w:eastAsia="Arial" w:hAnsi="Arial"/>
                <w:sz w:val="16"/>
                <w:szCs w:val="16"/>
              </w:rPr>
              <w:t xml:space="preserve">[Author Name]</w:t>
            </w:r>
          </w:p>
        </w:tc>
        <w:tc>
          <w:tcPr>
            <w:tcW w:type="dxa" w:w="2860"/>
            <w:tcMar>
              <w:top w:type="dxa" w:w="72"/>
              <w:left w:type="dxa" w:w="72"/>
              <w:bottom w:type="dxa" w:w="72"/>
              <w:right w:type="dxa" w:w="72"/>
            </w:tcMar>
            <w:vAlign w:val="center"/>
          </w:tcPr>
          <w:p>
            <w:pPr>
              <w:spacing w:before="50" w:after="50"/>
            </w:pPr>
            <w:r>
              <w:rPr>
                <w:rFonts w:ascii="Arial" w:cs="Arial" w:eastAsia="Arial" w:hAnsi="Arial"/>
                <w:sz w:val="16"/>
                <w:szCs w:val="16"/>
              </w:rPr>
              <w:t xml:space="preserve">Initial document creation</w:t>
            </w:r>
          </w:p>
        </w:tc>
      </w:tr>
    </w:tbl>
    <w:p>
      <w:pPr>
        <w:spacing w:after="280"/>
      </w:pPr>
    </w:p>
    <w:sectPr>
      <w:headerReference w:type="default" r:id="rId6"/>
      <w:footerReference w:type="default" r:id="rId7"/>
      <w:pgSz w:w="11906" w:h="16838" w:orient="portrait"/>
      <w:pgMar w:top="1440" w:right="1440" w:bottom="1440" w:left="1440" w:header="48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08080"/>
        <w:sz w:val="18"/>
        <w:szCs w:val="18"/>
      </w:rPr>
      <w:t xml:space="preserve">Maintenance (Derived) Pricing — New Business &amp; Renewals - Solution Design</w:t>
    </w:r>
    <w:r>
      <w:tab/>
    </w:r>
    <w:r>
      <w:rPr>
        <w:rFonts w:ascii="Arial" w:cs="Arial" w:eastAsia="Arial" w:hAnsi="Arial"/>
        <w:color w:val="808080"/>
        <w:sz w:val="18"/>
        <w:szCs w:val="18"/>
      </w:rPr>
      <w:t xml:space="preserve">Page </w:t>
    </w:r>
    <w:r>
      <w:rPr>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877"/>
      <w:tblBorders>
        <w:top w:val="single" w:color="auto" w:sz="4"/>
        <w:left w:val="single" w:color="auto" w:sz="4"/>
        <w:bottom w:val="single" w:color="auto" w:sz="4"/>
        <w:right w:val="single" w:color="auto" w:sz="4"/>
        <w:insideH w:val="single" w:color="auto" w:sz="4"/>
        <w:insideV w:val="single" w:color="auto" w:sz="4"/>
      </w:tblBorders>
    </w:tblPr>
    <w:tblGrid>
      <w:gridCol w:w="2525"/>
      <w:gridCol w:w="6352"/>
    </w:tblGrid>
    <w:tr>
      <w:tc>
        <w:tcPr>
          <w:tcW w:type="dxa" w:w="2525"/>
          <w:tcBorders>
            <w:top w:val="none" w:color="FFFFFF" w:sz="0"/>
            <w:left w:val="none" w:color="FFFFFF" w:sz="0"/>
            <w:bottom w:val="none" w:color="FFFFFF" w:sz="0"/>
            <w:right w:val="single" w:color="auto" w:sz="4"/>
          </w:tcBorders>
          <w:vAlign w:val="center"/>
        </w:tcPr>
        <w:p>
          <w:pPr>
            <w:ind w:right="-490"/>
          </w:pPr>
        </w:p>
      </w:tc>
      <w:tc>
        <w:tcPr>
          <w:tcW w:type="dxa" w:w="6352"/>
          <w:tcBorders>
            <w:top w:val="none" w:color="FFFFFF" w:sz="0"/>
            <w:left w:val="single" w:color="auto" w:sz="4"/>
            <w:bottom w:val="none" w:color="FFFFFF" w:sz="0"/>
            <w:right w:val="none" w:color="FFFFFF" w:sz="0"/>
          </w:tcBorders>
          <w:tcMar>
            <w:left w:type="dxa" w:w="86"/>
          </w:tcMar>
          <w:vAlign w:val="center"/>
        </w:tcPr>
        <w:p>
          <w:pPr>
            <w:ind w:left="181"/>
          </w:pPr>
        </w:p>
      </w:tc>
    </w:tr>
  </w:tbl>
  <w:p>
    <w:pPr>
      <w:spacing w:after="7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70"/>
      </w:pPr>
    </w:lvl>
  </w:abstractNum>
  <w:abstractNum w:abstractNumId="3" w15:restartNumberingAfterBreak="0">
    <w:multiLevelType w:val="hybridMultilevel"/>
    <w:lvl w:ilvl="0" w15:tentative="1">
      <w:start w:val="1"/>
      <w:numFmt w:val="decimal"/>
      <w:lvlText w:val="%1."/>
      <w:lvlJc w:val="left"/>
      <w:pPr>
        <w:ind w:left="500" w:hanging="270"/>
      </w:pPr>
    </w:lvl>
  </w:abstractNum>
  <w:abstractNum w:abstractNumId="4" w15:restartNumberingAfterBreak="0">
    <w:multiLevelType w:val="hybridMultilevel"/>
    <w:lvl w:ilvl="0" w15:tentative="1">
      <w:start w:val="1"/>
      <w:numFmt w:val="decimal"/>
      <w:lvlText w:val="%1."/>
      <w:lvlJc w:val="left"/>
      <w:pPr>
        <w:ind w:left="500" w:hanging="270"/>
      </w:pPr>
    </w:lvl>
  </w:abstractNum>
  <w:abstractNum w:abstractNumId="5" w15:restartNumberingAfterBreak="0">
    <w:multiLevelType w:val="hybridMultilevel"/>
    <w:lvl w:ilvl="0" w15:tentative="1">
      <w:start w:val="1"/>
      <w:numFmt w:val="decimal"/>
      <w:lvlText w:val="%1."/>
      <w:lvlJc w:val="left"/>
      <w:pPr>
        <w:ind w:left="500" w:hanging="27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E4D78"/>
      <w:sz w:val="56"/>
      <w:szCs w:val="56"/>
    </w:rPr>
  </w:style>
  <w:style w:type="paragraph" w:styleId="Heading1">
    <w:name w:val="Heading 1"/>
    <w:basedOn w:val="Normal"/>
    <w:next w:val="Normal"/>
    <w:qFormat/>
    <w:pPr>
      <w:spacing w:before="320" w:after="220"/>
      <w:outlineLvl w:val="0"/>
    </w:pPr>
    <w:rPr>
      <w:rFonts w:ascii="Arial" w:cs="Arial" w:eastAsia="Arial" w:hAnsi="Arial"/>
      <w:b/>
      <w:bCs/>
      <w:color w:val="1E4D78"/>
      <w:sz w:val="32"/>
      <w:szCs w:val="32"/>
    </w:rPr>
  </w:style>
  <w:style w:type="paragraph" w:styleId="Heading2">
    <w:name w:val="Heading 2"/>
    <w:basedOn w:val="Normal"/>
    <w:next w:val="Normal"/>
    <w:qFormat/>
    <w:pPr>
      <w:spacing w:before="320" w:after="205"/>
      <w:outlineLvl w:val="1"/>
    </w:pPr>
    <w:rPr>
      <w:rFonts w:ascii="Arial" w:cs="Arial" w:eastAsia="Arial" w:hAnsi="Arial"/>
      <w:b/>
      <w:bCs/>
      <w:color w:val="2E75B6"/>
      <w:sz w:val="26"/>
      <w:szCs w:val="26"/>
    </w:rPr>
  </w:style>
  <w:style w:type="paragraph" w:styleId="Heading3">
    <w:name w:val="Heading 3"/>
    <w:basedOn w:val="Normal"/>
    <w:next w:val="Normal"/>
    <w:qFormat/>
    <w:pPr>
      <w:spacing w:before="260" w:after="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0A16E4BC0E1E4F96A2D76D64BAA3A3" ma:contentTypeVersion="16" ma:contentTypeDescription="Create a new document." ma:contentTypeScope="" ma:versionID="7471d433ddd0c045c7c5996c948ddc79">
  <xsd:schema xmlns:xsd="http://www.w3.org/2001/XMLSchema" xmlns:xs="http://www.w3.org/2001/XMLSchema" xmlns:p="http://schemas.microsoft.com/office/2006/metadata/properties" xmlns:ns2="ac5f2afd-3555-4c4c-9bde-d07bb595bcfc" xmlns:ns3="dd11799d-d754-48a9-bfc4-4416081d7735" targetNamespace="http://schemas.microsoft.com/office/2006/metadata/properties" ma:root="true" ma:fieldsID="ad08b747db4acbfda830186a1ae7fba0" ns2:_="" ns3:_="">
    <xsd:import namespace="ac5f2afd-3555-4c4c-9bde-d07bb595bcfc"/>
    <xsd:import namespace="dd11799d-d754-48a9-bfc4-4416081d77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FileStatus" minOccurs="0"/>
                <xsd:element ref="ns2:DueDate" minOccurs="0"/>
                <xsd:element ref="ns2:FinalDueDate" minOccurs="0"/>
                <xsd:element ref="ns2:Notes" minOccurs="0"/>
                <xsd:element ref="ns2:Count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5f2afd-3555-4c4c-9bde-d07bb595bc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e25b88b-357a-473e-b3d6-a30a221f05b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FileStatus" ma:index="19" nillable="true" ma:displayName="File Status" ma:default="Not Started" ma:format="Dropdown" ma:internalName="FileStatus">
      <xsd:simpleType>
        <xsd:restriction base="dms:Choice">
          <xsd:enumeration value="Not Started"/>
          <xsd:enumeration value="Working Version"/>
          <xsd:enumeration value="Informational"/>
          <xsd:enumeration value="On-Hold"/>
          <xsd:enumeration value="Archived"/>
          <xsd:enumeration value="Fortra Needs Review"/>
          <xsd:enumeration value="Final Version"/>
          <xsd:enumeration value="Strada Needs to Review"/>
          <xsd:enumeration value="Fortra Reviewed- No Action Needed"/>
          <xsd:enumeration value="Fortra Review Complete"/>
          <xsd:enumeration value="Nitor Needs to Review"/>
          <xsd:enumeration value="Kainos Needs to Review"/>
          <xsd:enumeration value="Coastal Needs to Review"/>
          <xsd:enumeration value="Certinia Needs to Review"/>
          <xsd:enumeration value="None"/>
        </xsd:restriction>
      </xsd:simpleType>
    </xsd:element>
    <xsd:element name="DueDate" ma:index="20" nillable="true" ma:displayName="FAS Snapshot Due Date" ma:format="DateOnly" ma:internalName="DueDate">
      <xsd:simpleType>
        <xsd:restriction base="dms:DateTime"/>
      </xsd:simpleType>
    </xsd:element>
    <xsd:element name="FinalDueDate" ma:index="21" nillable="true" ma:displayName="Final Due Date" ma:format="DateOnly" ma:internalName="FinalDueDate">
      <xsd:simpleType>
        <xsd:restriction base="dms:DateTime"/>
      </xsd:simpleType>
    </xsd:element>
    <xsd:element name="Notes" ma:index="22" nillable="true" ma:displayName="Notes" ma:format="Dropdown" ma:internalName="Notes">
      <xsd:simpleType>
        <xsd:restriction base="dms:Note">
          <xsd:maxLength value="255"/>
        </xsd:restriction>
      </xsd:simpleType>
    </xsd:element>
    <xsd:element name="Country" ma:index="23" nillable="true" ma:displayName="Country" ma:format="Dropdown" ma:internalName="Country">
      <xsd:simpleType>
        <xsd:restriction base="dms:Choice">
          <xsd:enumeration value="Spain"/>
          <xsd:enumeration value="Germany"/>
          <xsd:enumeration value="Australia"/>
          <xsd:enumeration value="Colombia"/>
        </xsd:restriction>
      </xsd:simpleType>
    </xsd:element>
  </xsd:schema>
  <xsd:schema xmlns:xsd="http://www.w3.org/2001/XMLSchema" xmlns:xs="http://www.w3.org/2001/XMLSchema" xmlns:dms="http://schemas.microsoft.com/office/2006/documentManagement/types" xmlns:pc="http://schemas.microsoft.com/office/infopath/2007/PartnerControls" targetNamespace="dd11799d-d754-48a9-bfc4-4416081d773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4663fe7-2ce0-4894-b382-6a540ecf74f9}" ma:internalName="TaxCatchAll" ma:showField="CatchAllData" ma:web="dd11799d-d754-48a9-bfc4-4416081d77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ueDate xmlns="ac5f2afd-3555-4c4c-9bde-d07bb595bcfc" xsi:nil="true"/>
    <lcf76f155ced4ddcb4097134ff3c332f xmlns="ac5f2afd-3555-4c4c-9bde-d07bb595bcfc">
      <Terms xmlns="http://schemas.microsoft.com/office/infopath/2007/PartnerControls"/>
    </lcf76f155ced4ddcb4097134ff3c332f>
    <TaxCatchAll xmlns="dd11799d-d754-48a9-bfc4-4416081d7735" xsi:nil="true"/>
    <Country xmlns="ac5f2afd-3555-4c4c-9bde-d07bb595bcfc" xsi:nil="true"/>
    <FileStatus xmlns="ac5f2afd-3555-4c4c-9bde-d07bb595bcfc">Not Started</FileStatus>
    <Notes xmlns="ac5f2afd-3555-4c4c-9bde-d07bb595bcfc" xsi:nil="true"/>
    <FinalDueDate xmlns="ac5f2afd-3555-4c4c-9bde-d07bb595bcfc" xsi:nil="true"/>
  </documentManagement>
</p:properties>
</file>

<file path=customXml/itemProps1.xml><?xml version="1.0" encoding="utf-8"?>
<ds:datastoreItem xmlns:ds="http://schemas.openxmlformats.org/officeDocument/2006/customXml" ds:itemID="{AFC55401-D674-4194-8380-C77FE8DF0E24}"/>
</file>

<file path=customXml/itemProps2.xml><?xml version="1.0" encoding="utf-8"?>
<ds:datastoreItem xmlns:ds="http://schemas.openxmlformats.org/officeDocument/2006/customXml" ds:itemID="{8F3BA669-A494-437C-8F98-E6B2BED1BE4C}"/>
</file>

<file path=customXml/itemProps3.xml><?xml version="1.0" encoding="utf-8"?>
<ds:datastoreItem xmlns:ds="http://schemas.openxmlformats.org/officeDocument/2006/customXml" ds:itemID="{5E09FBA1-CF07-4533-A0CD-99A5B867FED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2026-06-09T12:54:44Z</dcterms:created>
  <dcterms:modified xsi:type="dcterms:W3CDTF">2026-06-09T12:54:44Z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0x0101005E0A16E4BC0E1E4F96A2D76D64BAA3A3</vt:lpwstr>
  </property>
</Properties>
</file>