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365D"/>
          <w:sz w:val="48"/>
        </w:rPr>
        <w:t>INNOVATIVE TAX PLAN OVERHAUL</w:t>
      </w:r>
    </w:p>
    <w:p>
      <w:pPr>
        <w:jc w:val="center"/>
      </w:pPr>
      <w:r>
        <w:t>Revised 2026  |  Version 27</w:t>
      </w:r>
    </w:p>
    <w:p>
      <w:pPr>
        <w:pStyle w:val="SubtitleBlue"/>
        <w:jc w:val="center"/>
      </w:pPr>
      <w:r>
        <w:t>Balanced Revenue Architecture, Offshore Capital Duty, and High-Wealth Recovery</w:t>
      </w:r>
    </w:p>
    <w:p>
      <w:pPr>
        <w:jc w:val="center"/>
      </w:pPr>
      <w:r>
        <w:rPr>
          <w:rFonts w:ascii="Arial" w:hAnsi="Arial"/>
          <w:b/>
          <w:sz w:val="22"/>
        </w:rPr>
        <w:t>Average Mature Replacement-Year Model</w:t>
        <w:br/>
        <w:t>General Government, Social Security, and Healthcare</w:t>
      </w:r>
    </w:p>
    <w:p>
      <w:pPr>
        <w:jc w:val="center"/>
      </w:pPr>
      <w:r>
        <w:rPr>
          <w:rFonts w:ascii="Arial" w:hAnsi="Arial"/>
          <w:i/>
          <w:color w:val="505050"/>
          <w:sz w:val="18"/>
        </w:rPr>
        <w:t>By Michael Allen</w:t>
        <w:br/>
        <w:t>By the Grace of God</w:t>
      </w:r>
    </w:p>
    <w:p>
      <w:pPr>
        <w:pStyle w:val="Heading1"/>
      </w:pPr>
      <w:r>
        <w:rPr>
          <w:rFonts w:ascii="Aptos" w:hAnsi="Aptos"/>
          <w:sz w:val="20"/>
        </w:rPr>
        <w:t>Executive Summary</w:t>
      </w:r>
    </w:p>
    <w:p>
      <w:r>
        <w:t>Version 27 presents the fully inclusive replacement architecture with the National Lending Authority modeled through its actual ramp. Year 0 uses the startup portfolio, Year 4 reflects one full presidential term of growth, and Year 10 uses the mature portfolio. Under the studied assumptions, Operating General Treasury Revenue remains approximately $5.711 trillion. Total Government Revenue rises from approximately $8.907 trillion in Year 0 to $8.978 trillion in Year 4 and $9.103 trillion in Year 10. The consolidated replacement budget remains in surplus throughout the path, at approximately $992.186 billion in Year 0, $1.004 trillion in Year 4, and $1.080 trillion in Year 10. Social Security reaches annual balance through dedicated funding and the National Continuity Contribution. Healthcare remains independent and retains approximately $376.509 billion under the active accounting view.</w:t>
      </w:r>
    </w:p>
    <w:tbl>
      <w:tblPr>
        <w:tblW w:type="auto" w:w="0"/>
        <w:jc w:val="center"/>
        <w:tblLayout w:type="fixed"/>
        <w:tblLook w:firstColumn="1" w:firstRow="1" w:lastColumn="0" w:lastRow="0" w:noHBand="0" w:noVBand="1" w:val="04A0"/>
      </w:tblPr>
      <w:tblGrid>
        <w:gridCol w:w="2628"/>
        <w:gridCol w:w="2628"/>
        <w:gridCol w:w="2628"/>
        <w:gridCol w:w="2628"/>
      </w:tblGrid>
      <w:tr>
        <w:trPr>
          <w:cantSplit/>
        </w:trPr>
        <w:tc>
          <w:tcPr>
            <w:tcW w:type="dxa" w:w="2520"/>
            <w:shd w:fill="C00000"/>
            <w:tcMar>
              <w:top w:w="90" w:type="dxa"/>
              <w:start w:w="80" w:type="dxa"/>
              <w:bottom w:w="60" w:type="dxa"/>
              <w:end w:w="80" w:type="dxa"/>
            </w:tcMar>
          </w:tcPr>
          <w:p>
            <w:r>
              <w:t>+$319.0B</w:t>
            </w:r>
          </w:p>
        </w:tc>
        <w:tc>
          <w:tcPr>
            <w:tcW w:type="dxa" w:w="2520"/>
            <w:shd w:fill="C00000"/>
            <w:tcMar>
              <w:top w:w="90" w:type="dxa"/>
              <w:start w:w="80" w:type="dxa"/>
              <w:bottom w:w="60" w:type="dxa"/>
              <w:end w:w="80" w:type="dxa"/>
            </w:tcMar>
          </w:tcPr>
          <w:p>
            <w:r>
              <w:t>$0</w:t>
            </w:r>
          </w:p>
        </w:tc>
        <w:tc>
          <w:tcPr>
            <w:tcW w:type="dxa" w:w="2520"/>
            <w:shd w:fill="1F4E78"/>
            <w:tcMar>
              <w:top w:w="90" w:type="dxa"/>
              <w:start w:w="80" w:type="dxa"/>
              <w:bottom w:w="60" w:type="dxa"/>
              <w:end w:w="80" w:type="dxa"/>
            </w:tcMar>
          </w:tcPr>
          <w:p>
            <w:r>
              <w:t>+$376.5B</w:t>
            </w:r>
          </w:p>
        </w:tc>
        <w:tc>
          <w:tcPr>
            <w:tcW w:type="dxa" w:w="2520"/>
            <w:shd w:fill="C00000"/>
            <w:tcMar>
              <w:top w:w="90" w:type="dxa"/>
              <w:start w:w="80" w:type="dxa"/>
              <w:bottom w:w="60" w:type="dxa"/>
              <w:end w:w="80" w:type="dxa"/>
            </w:tcMar>
          </w:tcPr>
          <w:p>
            <w:r>
              <w:t>+$1.080T</w:t>
            </w:r>
          </w:p>
        </w:tc>
      </w:tr>
      <w:tr>
        <w:trPr>
          <w:cantSplit/>
        </w:trPr>
        <w:tc>
          <w:tcPr>
            <w:tcW w:type="dxa" w:w="2520"/>
            <w:shd w:fill="F2F2F2"/>
            <w:tcMar>
              <w:top w:w="50" w:type="dxa"/>
              <w:start w:w="60" w:type="dxa"/>
              <w:bottom w:w="70" w:type="dxa"/>
              <w:end w:w="60" w:type="dxa"/>
            </w:tcMar>
          </w:tcPr>
          <w:p>
            <w:r>
              <w:t>General Government</w:t>
            </w:r>
          </w:p>
        </w:tc>
        <w:tc>
          <w:tcPr>
            <w:tcW w:type="dxa" w:w="2520"/>
            <w:shd w:fill="F2F2F2"/>
            <w:tcMar>
              <w:top w:w="50" w:type="dxa"/>
              <w:start w:w="60" w:type="dxa"/>
              <w:bottom w:w="70" w:type="dxa"/>
              <w:end w:w="60" w:type="dxa"/>
            </w:tcMar>
          </w:tcPr>
          <w:p>
            <w:r>
              <w:t>Social Security</w:t>
            </w:r>
          </w:p>
        </w:tc>
        <w:tc>
          <w:tcPr>
            <w:tcW w:type="dxa" w:w="2520"/>
            <w:shd w:fill="F2F2F2"/>
            <w:tcMar>
              <w:top w:w="50" w:type="dxa"/>
              <w:start w:w="60" w:type="dxa"/>
              <w:bottom w:w="70" w:type="dxa"/>
              <w:end w:w="60" w:type="dxa"/>
            </w:tcMar>
          </w:tcPr>
          <w:p>
            <w:r>
              <w:t>Healthcare balance</w:t>
            </w:r>
          </w:p>
        </w:tc>
        <w:tc>
          <w:tcPr>
            <w:tcW w:type="dxa" w:w="2520"/>
            <w:shd w:fill="F2F2F2"/>
            <w:tcMar>
              <w:top w:w="50" w:type="dxa"/>
              <w:start w:w="60" w:type="dxa"/>
              <w:bottom w:w="70" w:type="dxa"/>
              <w:end w:w="60" w:type="dxa"/>
            </w:tcMar>
          </w:tcPr>
          <w:p>
            <w:r>
              <w:t>Year 10 consolidated surplus</w:t>
            </w:r>
          </w:p>
        </w:tc>
      </w:tr>
    </w:tbl>
    <w:tbl>
      <w:tblPr>
        <w:tblW w:type="auto" w:w="0"/>
        <w:jc w:val="center"/>
        <w:tblLook w:firstColumn="1" w:firstRow="1" w:lastColumn="0" w:lastRow="0" w:noHBand="0" w:noVBand="1" w:val="04A0"/>
      </w:tblPr>
      <w:tblGrid>
        <w:gridCol w:w="10512"/>
      </w:tblGrid>
      <w:tr>
        <w:trPr>
          <w:cantSplit/>
        </w:trPr>
        <w:tc>
          <w:tcPr>
            <w:tcW w:type="dxa" w:w="10512"/>
            <w:shd w:fill="D9EAF7"/>
            <w:tcMar>
              <w:top w:w="90" w:type="dxa"/>
              <w:start w:w="110" w:type="dxa"/>
              <w:bottom w:w="90" w:type="dxa"/>
              <w:end w:w="110" w:type="dxa"/>
            </w:tcMar>
          </w:tcPr>
          <w:p>
            <w:r>
              <w:t>The full $2.233 trillion Land Value Tax remains active and unchanged. The publication model carries the adopted LVT figure exactly as instructed.</w:t>
            </w:r>
          </w:p>
        </w:tc>
      </w:tr>
    </w:tbl>
    <w:p>
      <w:pPr>
        <w:pStyle w:val="Heading1"/>
      </w:pPr>
      <w:r>
        <w:rPr>
          <w:rFonts w:ascii="Aptos" w:hAnsi="Aptos"/>
          <w:sz w:val="20"/>
        </w:rPr>
        <w:t>1. Scope and Accounting Standard</w:t>
      </w:r>
    </w:p>
    <w:p>
      <w:r>
        <w:rPr>
          <w:rFonts w:ascii="Aptos" w:hAnsi="Aptos"/>
          <w:sz w:val="20"/>
        </w:rPr>
        <w:t>The budget shows the new tax and funding model operating after it has replaced the old system and reached ordinary mature capacity. General Government, Social Security, and Healthcare maintain separate ledgers. Internal federal transfers appear as an expense in the sending ledger and funding in the receiving ledger, then cancel in the consolidated view.</w:t>
      </w:r>
    </w:p>
    <w:p>
      <w:pPr>
        <w:pStyle w:val="ListBullet"/>
      </w:pPr>
      <w:r>
        <w:rPr>
          <w:rFonts w:ascii="Aptos" w:hAnsi="Aptos"/>
          <w:sz w:val="20"/>
        </w:rPr>
        <w:t>Transition capitalization, startup construction, implementation delays, optional state supplements, and unrelated Policy Book expenditures remain outside this operating-year model.</w:t>
      </w:r>
    </w:p>
    <w:p>
      <w:pPr>
        <w:pStyle w:val="ListBullet"/>
      </w:pPr>
      <w:r>
        <w:rPr>
          <w:rFonts w:ascii="Aptos" w:hAnsi="Aptos"/>
          <w:sz w:val="20"/>
        </w:rPr>
        <w:t>Every approved revenue mechanism in this document is active in the central headline. The Citizen Data Royalty is collected through General Government, counted in Total Government Revenue, and transferred dollar-for-dollar to the Citizen Wealth Fund. The transfer makes the royalty unavailable for ordinary operations and neutral in the consolidated operating balance.</w:t>
      </w:r>
    </w:p>
    <w:p>
      <w:pPr>
        <w:pStyle w:val="ListBullet"/>
      </w:pPr>
      <w:r>
        <w:rPr>
          <w:rFonts w:ascii="Aptos" w:hAnsi="Aptos"/>
          <w:sz w:val="20"/>
        </w:rPr>
        <w:t>Social Security benefits, government benefits, and public assistance remain excluded from taxable personal income.</w:t>
      </w:r>
    </w:p>
    <w:p>
      <w:pPr>
        <w:pStyle w:val="Heading1"/>
      </w:pPr>
      <w:r>
        <w:rPr>
          <w:rFonts w:ascii="Aptos" w:hAnsi="Aptos"/>
          <w:sz w:val="20"/>
        </w:rPr>
        <w:t>2. Expanded Liquid Personal-Income Base</w:t>
      </w:r>
    </w:p>
    <w:p>
      <w:r>
        <w:rPr>
          <w:rFonts w:ascii="Aptos" w:hAnsi="Aptos"/>
          <w:sz w:val="20"/>
        </w:rPr>
        <w:t>The statutory base taxes cash or liquid income when it becomes available to the individual. The same base supports the 10 percent individual tax, the 3 percent citizen Social Security contribution, and the 5 percent citizen-side HSA funding floor.</w:t>
      </w:r>
    </w:p>
    <w:tbl>
      <w:tblPr>
        <w:tblStyle w:val="TableGrid"/>
        <w:tblW w:type="auto" w:w="0"/>
        <w:jc w:val="center"/>
        <w:tblLayout w:type="fixed"/>
        <w:tblLook w:firstColumn="1" w:firstRow="1" w:lastColumn="0" w:lastRow="0" w:noHBand="0" w:noVBand="1" w:val="04A0"/>
      </w:tblPr>
      <w:tblGrid>
        <w:gridCol w:w="2102"/>
        <w:gridCol w:w="2102"/>
        <w:gridCol w:w="2102"/>
        <w:gridCol w:w="2102"/>
        <w:gridCol w:w="2102"/>
      </w:tblGrid>
      <w:tr>
        <w:trPr>
          <w:tblHeader w:val="true"/>
          <w:cantSplit/>
        </w:trPr>
        <w:tc>
          <w:tcPr>
            <w:tcW w:type="dxa" w:w="4320"/>
            <w:shd w:fill="1F4E78"/>
            <w:vAlign w:val="center"/>
            <w:tcMar>
              <w:top w:w="60" w:type="dxa"/>
              <w:start w:w="65" w:type="dxa"/>
              <w:bottom w:w="60" w:type="dxa"/>
              <w:end w:w="65" w:type="dxa"/>
            </w:tcMar>
          </w:tcPr>
          <w:p>
            <w:pPr>
              <w:jc w:val="center"/>
            </w:pPr>
            <w:r>
              <w:rPr>
                <w:rFonts w:ascii="Arial" w:hAnsi="Arial"/>
                <w:b/>
                <w:color w:val="FFFFFF"/>
                <w:sz w:val="15"/>
              </w:rPr>
              <w:t>Income component</w:t>
            </w:r>
          </w:p>
        </w:tc>
        <w:tc>
          <w:tcPr>
            <w:tcW w:type="dxa" w:w="1440"/>
            <w:shd w:fill="1F4E78"/>
            <w:vAlign w:val="center"/>
            <w:tcMar>
              <w:top w:w="60" w:type="dxa"/>
              <w:start w:w="65" w:type="dxa"/>
              <w:bottom w:w="60" w:type="dxa"/>
              <w:end w:w="65" w:type="dxa"/>
            </w:tcMar>
          </w:tcPr>
          <w:p>
            <w:pPr>
              <w:jc w:val="center"/>
            </w:pPr>
            <w:r>
              <w:rPr>
                <w:rFonts w:ascii="Arial" w:hAnsi="Arial"/>
                <w:b/>
                <w:color w:val="FFFFFF"/>
                <w:sz w:val="15"/>
              </w:rPr>
              <w:t>Base ($B)</w:t>
            </w:r>
          </w:p>
        </w:tc>
        <w:tc>
          <w:tcPr>
            <w:tcW w:type="dxa" w:w="1440"/>
            <w:shd w:fill="1F4E78"/>
            <w:vAlign w:val="center"/>
            <w:tcMar>
              <w:top w:w="60" w:type="dxa"/>
              <w:start w:w="65" w:type="dxa"/>
              <w:bottom w:w="60" w:type="dxa"/>
              <w:end w:w="65" w:type="dxa"/>
            </w:tcMar>
          </w:tcPr>
          <w:p>
            <w:pPr>
              <w:jc w:val="center"/>
            </w:pPr>
            <w:r>
              <w:rPr>
                <w:rFonts w:ascii="Arial" w:hAnsi="Arial"/>
                <w:b/>
                <w:color w:val="FFFFFF"/>
                <w:sz w:val="15"/>
              </w:rPr>
              <w:t>10% tax ($B)</w:t>
            </w:r>
          </w:p>
        </w:tc>
        <w:tc>
          <w:tcPr>
            <w:tcW w:type="dxa" w:w="1368"/>
            <w:shd w:fill="1F4E78"/>
            <w:vAlign w:val="center"/>
            <w:tcMar>
              <w:top w:w="60" w:type="dxa"/>
              <w:start w:w="65" w:type="dxa"/>
              <w:bottom w:w="60" w:type="dxa"/>
              <w:end w:w="65" w:type="dxa"/>
            </w:tcMar>
          </w:tcPr>
          <w:p>
            <w:pPr>
              <w:jc w:val="center"/>
            </w:pPr>
            <w:r>
              <w:rPr>
                <w:rFonts w:ascii="Arial" w:hAnsi="Arial"/>
                <w:b/>
                <w:color w:val="FFFFFF"/>
                <w:sz w:val="15"/>
              </w:rPr>
              <w:t>3% SS ($B)</w:t>
            </w:r>
          </w:p>
        </w:tc>
        <w:tc>
          <w:tcPr>
            <w:tcW w:type="dxa" w:w="1368"/>
            <w:shd w:fill="1F4E78"/>
            <w:vAlign w:val="center"/>
            <w:tcMar>
              <w:top w:w="60" w:type="dxa"/>
              <w:start w:w="65" w:type="dxa"/>
              <w:bottom w:w="60" w:type="dxa"/>
              <w:end w:w="65" w:type="dxa"/>
            </w:tcMar>
          </w:tcPr>
          <w:p>
            <w:pPr>
              <w:jc w:val="center"/>
            </w:pPr>
            <w:r>
              <w:rPr>
                <w:rFonts w:ascii="Arial" w:hAnsi="Arial"/>
                <w:b/>
                <w:color w:val="FFFFFF"/>
                <w:sz w:val="15"/>
              </w:rPr>
              <w:t>5% HSA ($B)</w:t>
            </w:r>
          </w:p>
        </w:tc>
      </w:tr>
      <w:tr>
        <w:trPr>
          <w:cantSplit/>
        </w:trPr>
        <w:tc>
          <w:tcPr>
            <w:tcW w:type="dxa" w:w="4320"/>
            <w:tcMar>
              <w:top w:w="60" w:type="dxa"/>
              <w:start w:w="65" w:type="dxa"/>
              <w:bottom w:w="60" w:type="dxa"/>
              <w:end w:w="65" w:type="dxa"/>
            </w:tcMar>
            <w:vAlign w:val="center"/>
          </w:tcPr>
          <w:p>
            <w:pPr>
              <w:jc w:val="left"/>
            </w:pPr>
            <w:r>
              <w:rPr>
                <w:rFonts w:ascii="Arial" w:hAnsi="Arial"/>
                <w:color w:val="000000"/>
                <w:sz w:val="15"/>
              </w:rPr>
              <w:t>Wages and salaries</w:t>
            </w:r>
          </w:p>
        </w:tc>
        <w:tc>
          <w:tcPr>
            <w:tcW w:type="dxa" w:w="1440"/>
            <w:tcMar>
              <w:top w:w="60" w:type="dxa"/>
              <w:start w:w="65" w:type="dxa"/>
              <w:bottom w:w="60" w:type="dxa"/>
              <w:end w:w="65" w:type="dxa"/>
            </w:tcMar>
            <w:vAlign w:val="center"/>
          </w:tcPr>
          <w:p>
            <w:pPr>
              <w:jc w:val="left"/>
            </w:pPr>
            <w:r>
              <w:rPr>
                <w:rFonts w:ascii="Arial" w:hAnsi="Arial"/>
                <w:color w:val="000000"/>
                <w:sz w:val="15"/>
              </w:rPr>
              <w:t>11,708.891</w:t>
            </w:r>
          </w:p>
        </w:tc>
        <w:tc>
          <w:tcPr>
            <w:tcW w:type="dxa" w:w="1440"/>
            <w:tcMar>
              <w:top w:w="60" w:type="dxa"/>
              <w:start w:w="65" w:type="dxa"/>
              <w:bottom w:w="60" w:type="dxa"/>
              <w:end w:w="65" w:type="dxa"/>
            </w:tcMar>
            <w:vAlign w:val="center"/>
          </w:tcPr>
          <w:p>
            <w:pPr>
              <w:jc w:val="left"/>
            </w:pPr>
            <w:r>
              <w:rPr>
                <w:rFonts w:ascii="Arial" w:hAnsi="Arial"/>
                <w:color w:val="000000"/>
                <w:sz w:val="15"/>
              </w:rPr>
              <w:t>1,170.889</w:t>
            </w:r>
          </w:p>
        </w:tc>
        <w:tc>
          <w:tcPr>
            <w:tcW w:type="dxa" w:w="1368"/>
            <w:tcMar>
              <w:top w:w="60" w:type="dxa"/>
              <w:start w:w="65" w:type="dxa"/>
              <w:bottom w:w="60" w:type="dxa"/>
              <w:end w:w="65" w:type="dxa"/>
            </w:tcMar>
            <w:vAlign w:val="center"/>
          </w:tcPr>
          <w:p>
            <w:pPr>
              <w:jc w:val="left"/>
            </w:pPr>
            <w:r>
              <w:rPr>
                <w:rFonts w:ascii="Arial" w:hAnsi="Arial"/>
                <w:color w:val="000000"/>
                <w:sz w:val="15"/>
              </w:rPr>
              <w:t>351.267</w:t>
            </w:r>
          </w:p>
        </w:tc>
        <w:tc>
          <w:tcPr>
            <w:tcW w:type="dxa" w:w="1368"/>
            <w:tcMar>
              <w:top w:w="60" w:type="dxa"/>
              <w:start w:w="65" w:type="dxa"/>
              <w:bottom w:w="60" w:type="dxa"/>
              <w:end w:w="65" w:type="dxa"/>
            </w:tcMar>
            <w:vAlign w:val="center"/>
          </w:tcPr>
          <w:p>
            <w:pPr>
              <w:jc w:val="left"/>
            </w:pPr>
            <w:r>
              <w:rPr>
                <w:rFonts w:ascii="Arial" w:hAnsi="Arial"/>
                <w:color w:val="000000"/>
                <w:sz w:val="15"/>
              </w:rPr>
              <w:t>585.445</w:t>
            </w:r>
          </w:p>
        </w:tc>
      </w:tr>
      <w:tr>
        <w:trPr>
          <w:cantSplit/>
        </w:trPr>
        <w:tc>
          <w:tcPr>
            <w:tcW w:type="dxa" w:w="4320"/>
            <w:tcMar>
              <w:top w:w="60" w:type="dxa"/>
              <w:start w:w="65" w:type="dxa"/>
              <w:bottom w:w="60" w:type="dxa"/>
              <w:end w:w="65" w:type="dxa"/>
            </w:tcMar>
            <w:vAlign w:val="center"/>
          </w:tcPr>
          <w:p>
            <w:pPr>
              <w:jc w:val="left"/>
            </w:pPr>
            <w:r>
              <w:rPr>
                <w:rFonts w:ascii="Arial" w:hAnsi="Arial"/>
                <w:color w:val="000000"/>
                <w:sz w:val="15"/>
              </w:rPr>
              <w:t>Proprietors and covered pass-through income</w:t>
            </w:r>
          </w:p>
        </w:tc>
        <w:tc>
          <w:tcPr>
            <w:tcW w:type="dxa" w:w="1440"/>
            <w:tcMar>
              <w:top w:w="60" w:type="dxa"/>
              <w:start w:w="65" w:type="dxa"/>
              <w:bottom w:w="60" w:type="dxa"/>
              <w:end w:w="65" w:type="dxa"/>
            </w:tcMar>
            <w:vAlign w:val="center"/>
          </w:tcPr>
          <w:p>
            <w:pPr>
              <w:jc w:val="left"/>
            </w:pPr>
            <w:r>
              <w:rPr>
                <w:rFonts w:ascii="Arial" w:hAnsi="Arial"/>
                <w:color w:val="000000"/>
                <w:sz w:val="15"/>
              </w:rPr>
              <w:t>1,970.000</w:t>
            </w:r>
          </w:p>
        </w:tc>
        <w:tc>
          <w:tcPr>
            <w:tcW w:type="dxa" w:w="1440"/>
            <w:tcMar>
              <w:top w:w="60" w:type="dxa"/>
              <w:start w:w="65" w:type="dxa"/>
              <w:bottom w:w="60" w:type="dxa"/>
              <w:end w:w="65" w:type="dxa"/>
            </w:tcMar>
            <w:vAlign w:val="center"/>
          </w:tcPr>
          <w:p>
            <w:pPr>
              <w:jc w:val="left"/>
            </w:pPr>
            <w:r>
              <w:rPr>
                <w:rFonts w:ascii="Arial" w:hAnsi="Arial"/>
                <w:color w:val="000000"/>
                <w:sz w:val="15"/>
              </w:rPr>
              <w:t>197.000</w:t>
            </w:r>
          </w:p>
        </w:tc>
        <w:tc>
          <w:tcPr>
            <w:tcW w:type="dxa" w:w="1368"/>
            <w:tcMar>
              <w:top w:w="60" w:type="dxa"/>
              <w:start w:w="65" w:type="dxa"/>
              <w:bottom w:w="60" w:type="dxa"/>
              <w:end w:w="65" w:type="dxa"/>
            </w:tcMar>
            <w:vAlign w:val="center"/>
          </w:tcPr>
          <w:p>
            <w:pPr>
              <w:jc w:val="left"/>
            </w:pPr>
            <w:r>
              <w:rPr>
                <w:rFonts w:ascii="Arial" w:hAnsi="Arial"/>
                <w:color w:val="000000"/>
                <w:sz w:val="15"/>
              </w:rPr>
              <w:t>59.100</w:t>
            </w:r>
          </w:p>
        </w:tc>
        <w:tc>
          <w:tcPr>
            <w:tcW w:type="dxa" w:w="1368"/>
            <w:tcMar>
              <w:top w:w="60" w:type="dxa"/>
              <w:start w:w="65" w:type="dxa"/>
              <w:bottom w:w="60" w:type="dxa"/>
              <w:end w:w="65" w:type="dxa"/>
            </w:tcMar>
            <w:vAlign w:val="center"/>
          </w:tcPr>
          <w:p>
            <w:pPr>
              <w:jc w:val="left"/>
            </w:pPr>
            <w:r>
              <w:rPr>
                <w:rFonts w:ascii="Arial" w:hAnsi="Arial"/>
                <w:color w:val="000000"/>
                <w:sz w:val="15"/>
              </w:rPr>
              <w:t>98.500</w:t>
            </w:r>
          </w:p>
        </w:tc>
      </w:tr>
      <w:tr>
        <w:trPr>
          <w:cantSplit/>
        </w:trPr>
        <w:tc>
          <w:tcPr>
            <w:tcW w:type="dxa" w:w="4320"/>
            <w:tcMar>
              <w:top w:w="60" w:type="dxa"/>
              <w:start w:w="65" w:type="dxa"/>
              <w:bottom w:w="60" w:type="dxa"/>
              <w:end w:w="65" w:type="dxa"/>
            </w:tcMar>
            <w:vAlign w:val="center"/>
          </w:tcPr>
          <w:p>
            <w:pPr>
              <w:jc w:val="left"/>
            </w:pPr>
            <w:r>
              <w:rPr>
                <w:rFonts w:ascii="Arial" w:hAnsi="Arial"/>
                <w:color w:val="000000"/>
                <w:sz w:val="15"/>
              </w:rPr>
              <w:t>Personal dividends</w:t>
            </w:r>
          </w:p>
        </w:tc>
        <w:tc>
          <w:tcPr>
            <w:tcW w:type="dxa" w:w="1440"/>
            <w:tcMar>
              <w:top w:w="60" w:type="dxa"/>
              <w:start w:w="65" w:type="dxa"/>
              <w:bottom w:w="60" w:type="dxa"/>
              <w:end w:w="65" w:type="dxa"/>
            </w:tcMar>
            <w:vAlign w:val="center"/>
          </w:tcPr>
          <w:p>
            <w:pPr>
              <w:jc w:val="left"/>
            </w:pPr>
            <w:r>
              <w:rPr>
                <w:rFonts w:ascii="Arial" w:hAnsi="Arial"/>
                <w:color w:val="000000"/>
                <w:sz w:val="15"/>
              </w:rPr>
              <w:t>1,940.000</w:t>
            </w:r>
          </w:p>
        </w:tc>
        <w:tc>
          <w:tcPr>
            <w:tcW w:type="dxa" w:w="1440"/>
            <w:tcMar>
              <w:top w:w="60" w:type="dxa"/>
              <w:start w:w="65" w:type="dxa"/>
              <w:bottom w:w="60" w:type="dxa"/>
              <w:end w:w="65" w:type="dxa"/>
            </w:tcMar>
            <w:vAlign w:val="center"/>
          </w:tcPr>
          <w:p>
            <w:pPr>
              <w:jc w:val="left"/>
            </w:pPr>
            <w:r>
              <w:rPr>
                <w:rFonts w:ascii="Arial" w:hAnsi="Arial"/>
                <w:color w:val="000000"/>
                <w:sz w:val="15"/>
              </w:rPr>
              <w:t>194.000</w:t>
            </w:r>
          </w:p>
        </w:tc>
        <w:tc>
          <w:tcPr>
            <w:tcW w:type="dxa" w:w="1368"/>
            <w:tcMar>
              <w:top w:w="60" w:type="dxa"/>
              <w:start w:w="65" w:type="dxa"/>
              <w:bottom w:w="60" w:type="dxa"/>
              <w:end w:w="65" w:type="dxa"/>
            </w:tcMar>
            <w:vAlign w:val="center"/>
          </w:tcPr>
          <w:p>
            <w:pPr>
              <w:jc w:val="left"/>
            </w:pPr>
            <w:r>
              <w:rPr>
                <w:rFonts w:ascii="Arial" w:hAnsi="Arial"/>
                <w:color w:val="000000"/>
                <w:sz w:val="15"/>
              </w:rPr>
              <w:t>58.200</w:t>
            </w:r>
          </w:p>
        </w:tc>
        <w:tc>
          <w:tcPr>
            <w:tcW w:type="dxa" w:w="1368"/>
            <w:tcMar>
              <w:top w:w="60" w:type="dxa"/>
              <w:start w:w="65" w:type="dxa"/>
              <w:bottom w:w="60" w:type="dxa"/>
              <w:end w:w="65" w:type="dxa"/>
            </w:tcMar>
            <w:vAlign w:val="center"/>
          </w:tcPr>
          <w:p>
            <w:pPr>
              <w:jc w:val="left"/>
            </w:pPr>
            <w:r>
              <w:rPr>
                <w:rFonts w:ascii="Arial" w:hAnsi="Arial"/>
                <w:color w:val="000000"/>
                <w:sz w:val="15"/>
              </w:rPr>
              <w:t>97.000</w:t>
            </w:r>
          </w:p>
        </w:tc>
      </w:tr>
      <w:tr>
        <w:trPr>
          <w:cantSplit/>
        </w:trPr>
        <w:tc>
          <w:tcPr>
            <w:tcW w:type="dxa" w:w="4320"/>
            <w:tcMar>
              <w:top w:w="60" w:type="dxa"/>
              <w:start w:w="65" w:type="dxa"/>
              <w:bottom w:w="60" w:type="dxa"/>
              <w:end w:w="65" w:type="dxa"/>
            </w:tcMar>
            <w:vAlign w:val="center"/>
          </w:tcPr>
          <w:p>
            <w:pPr>
              <w:jc w:val="left"/>
            </w:pPr>
            <w:r>
              <w:rPr>
                <w:rFonts w:ascii="Arial" w:hAnsi="Arial"/>
                <w:color w:val="000000"/>
                <w:sz w:val="15"/>
              </w:rPr>
              <w:t>Monetary personal interest</w:t>
            </w:r>
          </w:p>
        </w:tc>
        <w:tc>
          <w:tcPr>
            <w:tcW w:type="dxa" w:w="1440"/>
            <w:tcMar>
              <w:top w:w="60" w:type="dxa"/>
              <w:start w:w="65" w:type="dxa"/>
              <w:bottom w:w="60" w:type="dxa"/>
              <w:end w:w="65" w:type="dxa"/>
            </w:tcMar>
            <w:vAlign w:val="center"/>
          </w:tcPr>
          <w:p>
            <w:pPr>
              <w:jc w:val="left"/>
            </w:pPr>
            <w:r>
              <w:rPr>
                <w:rFonts w:ascii="Arial" w:hAnsi="Arial"/>
                <w:color w:val="000000"/>
                <w:sz w:val="15"/>
              </w:rPr>
              <w:t>1,300.000</w:t>
            </w:r>
          </w:p>
        </w:tc>
        <w:tc>
          <w:tcPr>
            <w:tcW w:type="dxa" w:w="1440"/>
            <w:tcMar>
              <w:top w:w="60" w:type="dxa"/>
              <w:start w:w="65" w:type="dxa"/>
              <w:bottom w:w="60" w:type="dxa"/>
              <w:end w:w="65" w:type="dxa"/>
            </w:tcMar>
            <w:vAlign w:val="center"/>
          </w:tcPr>
          <w:p>
            <w:pPr>
              <w:jc w:val="left"/>
            </w:pPr>
            <w:r>
              <w:rPr>
                <w:rFonts w:ascii="Arial" w:hAnsi="Arial"/>
                <w:color w:val="000000"/>
                <w:sz w:val="15"/>
              </w:rPr>
              <w:t>130.000</w:t>
            </w:r>
          </w:p>
        </w:tc>
        <w:tc>
          <w:tcPr>
            <w:tcW w:type="dxa" w:w="1368"/>
            <w:tcMar>
              <w:top w:w="60" w:type="dxa"/>
              <w:start w:w="65" w:type="dxa"/>
              <w:bottom w:w="60" w:type="dxa"/>
              <w:end w:w="65" w:type="dxa"/>
            </w:tcMar>
            <w:vAlign w:val="center"/>
          </w:tcPr>
          <w:p>
            <w:pPr>
              <w:jc w:val="left"/>
            </w:pPr>
            <w:r>
              <w:rPr>
                <w:rFonts w:ascii="Arial" w:hAnsi="Arial"/>
                <w:color w:val="000000"/>
                <w:sz w:val="15"/>
              </w:rPr>
              <w:t>39.000</w:t>
            </w:r>
          </w:p>
        </w:tc>
        <w:tc>
          <w:tcPr>
            <w:tcW w:type="dxa" w:w="1368"/>
            <w:tcMar>
              <w:top w:w="60" w:type="dxa"/>
              <w:start w:w="65" w:type="dxa"/>
              <w:bottom w:w="60" w:type="dxa"/>
              <w:end w:w="65" w:type="dxa"/>
            </w:tcMar>
            <w:vAlign w:val="center"/>
          </w:tcPr>
          <w:p>
            <w:pPr>
              <w:jc w:val="left"/>
            </w:pPr>
            <w:r>
              <w:rPr>
                <w:rFonts w:ascii="Arial" w:hAnsi="Arial"/>
                <w:color w:val="000000"/>
                <w:sz w:val="15"/>
              </w:rPr>
              <w:t>65.000</w:t>
            </w:r>
          </w:p>
        </w:tc>
      </w:tr>
      <w:tr>
        <w:trPr>
          <w:cantSplit/>
        </w:trPr>
        <w:tc>
          <w:tcPr>
            <w:tcW w:type="dxa" w:w="4320"/>
            <w:tcMar>
              <w:top w:w="60" w:type="dxa"/>
              <w:start w:w="65" w:type="dxa"/>
              <w:bottom w:w="60" w:type="dxa"/>
              <w:end w:w="65" w:type="dxa"/>
            </w:tcMar>
            <w:vAlign w:val="center"/>
          </w:tcPr>
          <w:p>
            <w:pPr>
              <w:jc w:val="left"/>
            </w:pPr>
            <w:r>
              <w:rPr>
                <w:rFonts w:ascii="Arial" w:hAnsi="Arial"/>
                <w:color w:val="000000"/>
                <w:sz w:val="15"/>
              </w:rPr>
              <w:t>Rental income, excluding displayed royalties</w:t>
            </w:r>
          </w:p>
        </w:tc>
        <w:tc>
          <w:tcPr>
            <w:tcW w:type="dxa" w:w="1440"/>
            <w:tcMar>
              <w:top w:w="60" w:type="dxa"/>
              <w:start w:w="65" w:type="dxa"/>
              <w:bottom w:w="60" w:type="dxa"/>
              <w:end w:w="65" w:type="dxa"/>
            </w:tcMar>
            <w:vAlign w:val="center"/>
          </w:tcPr>
          <w:p>
            <w:pPr>
              <w:jc w:val="left"/>
            </w:pPr>
            <w:r>
              <w:rPr>
                <w:rFonts w:ascii="Arial" w:hAnsi="Arial"/>
                <w:color w:val="000000"/>
                <w:sz w:val="15"/>
              </w:rPr>
              <w:t>265.512</w:t>
            </w:r>
          </w:p>
        </w:tc>
        <w:tc>
          <w:tcPr>
            <w:tcW w:type="dxa" w:w="1440"/>
            <w:tcMar>
              <w:top w:w="60" w:type="dxa"/>
              <w:start w:w="65" w:type="dxa"/>
              <w:bottom w:w="60" w:type="dxa"/>
              <w:end w:w="65" w:type="dxa"/>
            </w:tcMar>
            <w:vAlign w:val="center"/>
          </w:tcPr>
          <w:p>
            <w:pPr>
              <w:jc w:val="left"/>
            </w:pPr>
            <w:r>
              <w:rPr>
                <w:rFonts w:ascii="Arial" w:hAnsi="Arial"/>
                <w:color w:val="000000"/>
                <w:sz w:val="15"/>
              </w:rPr>
              <w:t>26.551</w:t>
            </w:r>
          </w:p>
        </w:tc>
        <w:tc>
          <w:tcPr>
            <w:tcW w:type="dxa" w:w="1368"/>
            <w:tcMar>
              <w:top w:w="60" w:type="dxa"/>
              <w:start w:w="65" w:type="dxa"/>
              <w:bottom w:w="60" w:type="dxa"/>
              <w:end w:w="65" w:type="dxa"/>
            </w:tcMar>
            <w:vAlign w:val="center"/>
          </w:tcPr>
          <w:p>
            <w:pPr>
              <w:jc w:val="left"/>
            </w:pPr>
            <w:r>
              <w:rPr>
                <w:rFonts w:ascii="Arial" w:hAnsi="Arial"/>
                <w:color w:val="000000"/>
                <w:sz w:val="15"/>
              </w:rPr>
              <w:t>7.965</w:t>
            </w:r>
          </w:p>
        </w:tc>
        <w:tc>
          <w:tcPr>
            <w:tcW w:type="dxa" w:w="1368"/>
            <w:tcMar>
              <w:top w:w="60" w:type="dxa"/>
              <w:start w:w="65" w:type="dxa"/>
              <w:bottom w:w="60" w:type="dxa"/>
              <w:end w:w="65" w:type="dxa"/>
            </w:tcMar>
            <w:vAlign w:val="center"/>
          </w:tcPr>
          <w:p>
            <w:pPr>
              <w:jc w:val="left"/>
            </w:pPr>
            <w:r>
              <w:rPr>
                <w:rFonts w:ascii="Arial" w:hAnsi="Arial"/>
                <w:color w:val="000000"/>
                <w:sz w:val="15"/>
              </w:rPr>
              <w:t>13.276</w:t>
            </w:r>
          </w:p>
        </w:tc>
      </w:tr>
      <w:tr>
        <w:trPr>
          <w:cantSplit/>
        </w:trPr>
        <w:tc>
          <w:tcPr>
            <w:tcW w:type="dxa" w:w="4320"/>
            <w:tcMar>
              <w:top w:w="60" w:type="dxa"/>
              <w:start w:w="65" w:type="dxa"/>
              <w:bottom w:w="60" w:type="dxa"/>
              <w:end w:w="65" w:type="dxa"/>
            </w:tcMar>
            <w:vAlign w:val="center"/>
          </w:tcPr>
          <w:p>
            <w:pPr>
              <w:jc w:val="left"/>
            </w:pPr>
            <w:r>
              <w:rPr>
                <w:rFonts w:ascii="Arial" w:hAnsi="Arial"/>
                <w:color w:val="000000"/>
                <w:sz w:val="15"/>
              </w:rPr>
              <w:t>Royalties</w:t>
            </w:r>
          </w:p>
        </w:tc>
        <w:tc>
          <w:tcPr>
            <w:tcW w:type="dxa" w:w="1440"/>
            <w:tcMar>
              <w:top w:w="60" w:type="dxa"/>
              <w:start w:w="65" w:type="dxa"/>
              <w:bottom w:w="60" w:type="dxa"/>
              <w:end w:w="65" w:type="dxa"/>
            </w:tcMar>
            <w:vAlign w:val="center"/>
          </w:tcPr>
          <w:p>
            <w:pPr>
              <w:jc w:val="left"/>
            </w:pPr>
            <w:r>
              <w:rPr>
                <w:rFonts w:ascii="Arial" w:hAnsi="Arial"/>
                <w:color w:val="000000"/>
                <w:sz w:val="15"/>
              </w:rPr>
              <w:t>34.488</w:t>
            </w:r>
          </w:p>
        </w:tc>
        <w:tc>
          <w:tcPr>
            <w:tcW w:type="dxa" w:w="1440"/>
            <w:tcMar>
              <w:top w:w="60" w:type="dxa"/>
              <w:start w:w="65" w:type="dxa"/>
              <w:bottom w:w="60" w:type="dxa"/>
              <w:end w:w="65" w:type="dxa"/>
            </w:tcMar>
            <w:vAlign w:val="center"/>
          </w:tcPr>
          <w:p>
            <w:pPr>
              <w:jc w:val="left"/>
            </w:pPr>
            <w:r>
              <w:rPr>
                <w:rFonts w:ascii="Arial" w:hAnsi="Arial"/>
                <w:color w:val="000000"/>
                <w:sz w:val="15"/>
              </w:rPr>
              <w:t>3.449</w:t>
            </w:r>
          </w:p>
        </w:tc>
        <w:tc>
          <w:tcPr>
            <w:tcW w:type="dxa" w:w="1368"/>
            <w:tcMar>
              <w:top w:w="60" w:type="dxa"/>
              <w:start w:w="65" w:type="dxa"/>
              <w:bottom w:w="60" w:type="dxa"/>
              <w:end w:w="65" w:type="dxa"/>
            </w:tcMar>
            <w:vAlign w:val="center"/>
          </w:tcPr>
          <w:p>
            <w:pPr>
              <w:jc w:val="left"/>
            </w:pPr>
            <w:r>
              <w:rPr>
                <w:rFonts w:ascii="Arial" w:hAnsi="Arial"/>
                <w:color w:val="000000"/>
                <w:sz w:val="15"/>
              </w:rPr>
              <w:t>1.035</w:t>
            </w:r>
          </w:p>
        </w:tc>
        <w:tc>
          <w:tcPr>
            <w:tcW w:type="dxa" w:w="1368"/>
            <w:tcMar>
              <w:top w:w="60" w:type="dxa"/>
              <w:start w:w="65" w:type="dxa"/>
              <w:bottom w:w="60" w:type="dxa"/>
              <w:end w:w="65" w:type="dxa"/>
            </w:tcMar>
            <w:vAlign w:val="center"/>
          </w:tcPr>
          <w:p>
            <w:pPr>
              <w:jc w:val="left"/>
            </w:pPr>
            <w:r>
              <w:rPr>
                <w:rFonts w:ascii="Arial" w:hAnsi="Arial"/>
                <w:color w:val="000000"/>
                <w:sz w:val="15"/>
              </w:rPr>
              <w:t>1.724</w:t>
            </w:r>
          </w:p>
        </w:tc>
      </w:tr>
      <w:tr>
        <w:trPr>
          <w:cantSplit/>
        </w:trPr>
        <w:tc>
          <w:tcPr>
            <w:tcW w:type="dxa" w:w="4320"/>
            <w:tcMar>
              <w:top w:w="60" w:type="dxa"/>
              <w:start w:w="65" w:type="dxa"/>
              <w:bottom w:w="60" w:type="dxa"/>
              <w:end w:w="65" w:type="dxa"/>
            </w:tcMar>
            <w:vAlign w:val="center"/>
          </w:tcPr>
          <w:p>
            <w:pPr>
              <w:jc w:val="left"/>
            </w:pPr>
            <w:r>
              <w:rPr>
                <w:rFonts w:ascii="Arial" w:hAnsi="Arial"/>
                <w:color w:val="000000"/>
                <w:sz w:val="15"/>
              </w:rPr>
              <w:t>Realized capital gains</w:t>
            </w:r>
          </w:p>
        </w:tc>
        <w:tc>
          <w:tcPr>
            <w:tcW w:type="dxa" w:w="1440"/>
            <w:tcMar>
              <w:top w:w="60" w:type="dxa"/>
              <w:start w:w="65" w:type="dxa"/>
              <w:bottom w:w="60" w:type="dxa"/>
              <w:end w:w="65" w:type="dxa"/>
            </w:tcMar>
            <w:vAlign w:val="center"/>
          </w:tcPr>
          <w:p>
            <w:pPr>
              <w:jc w:val="left"/>
            </w:pPr>
            <w:r>
              <w:rPr>
                <w:rFonts w:ascii="Arial" w:hAnsi="Arial"/>
                <w:color w:val="000000"/>
                <w:sz w:val="15"/>
              </w:rPr>
              <w:t>1,600.000</w:t>
            </w:r>
          </w:p>
        </w:tc>
        <w:tc>
          <w:tcPr>
            <w:tcW w:type="dxa" w:w="1440"/>
            <w:tcMar>
              <w:top w:w="60" w:type="dxa"/>
              <w:start w:w="65" w:type="dxa"/>
              <w:bottom w:w="60" w:type="dxa"/>
              <w:end w:w="65" w:type="dxa"/>
            </w:tcMar>
            <w:vAlign w:val="center"/>
          </w:tcPr>
          <w:p>
            <w:pPr>
              <w:jc w:val="left"/>
            </w:pPr>
            <w:r>
              <w:rPr>
                <w:rFonts w:ascii="Arial" w:hAnsi="Arial"/>
                <w:color w:val="000000"/>
                <w:sz w:val="15"/>
              </w:rPr>
              <w:t>160.000</w:t>
            </w:r>
          </w:p>
        </w:tc>
        <w:tc>
          <w:tcPr>
            <w:tcW w:type="dxa" w:w="1368"/>
            <w:tcMar>
              <w:top w:w="60" w:type="dxa"/>
              <w:start w:w="65" w:type="dxa"/>
              <w:bottom w:w="60" w:type="dxa"/>
              <w:end w:w="65" w:type="dxa"/>
            </w:tcMar>
            <w:vAlign w:val="center"/>
          </w:tcPr>
          <w:p>
            <w:pPr>
              <w:jc w:val="left"/>
            </w:pPr>
            <w:r>
              <w:rPr>
                <w:rFonts w:ascii="Arial" w:hAnsi="Arial"/>
                <w:color w:val="000000"/>
                <w:sz w:val="15"/>
              </w:rPr>
              <w:t>48.000</w:t>
            </w:r>
          </w:p>
        </w:tc>
        <w:tc>
          <w:tcPr>
            <w:tcW w:type="dxa" w:w="1368"/>
            <w:tcMar>
              <w:top w:w="60" w:type="dxa"/>
              <w:start w:w="65" w:type="dxa"/>
              <w:bottom w:w="60" w:type="dxa"/>
              <w:end w:w="65" w:type="dxa"/>
            </w:tcMar>
            <w:vAlign w:val="center"/>
          </w:tcPr>
          <w:p>
            <w:pPr>
              <w:jc w:val="left"/>
            </w:pPr>
            <w:r>
              <w:rPr>
                <w:rFonts w:ascii="Arial" w:hAnsi="Arial"/>
                <w:color w:val="000000"/>
                <w:sz w:val="15"/>
              </w:rPr>
              <w:t>80.000</w:t>
            </w:r>
          </w:p>
        </w:tc>
      </w:tr>
      <w:tr>
        <w:trPr>
          <w:cantSplit/>
        </w:trPr>
        <w:tc>
          <w:tcPr>
            <w:tcW w:type="dxa" w:w="4320"/>
            <w:tcMar>
              <w:top w:w="60" w:type="dxa"/>
              <w:start w:w="65" w:type="dxa"/>
              <w:bottom w:w="60" w:type="dxa"/>
              <w:end w:w="65" w:type="dxa"/>
            </w:tcMar>
            <w:vAlign w:val="center"/>
          </w:tcPr>
          <w:p>
            <w:pPr>
              <w:jc w:val="left"/>
            </w:pPr>
            <w:r>
              <w:rPr>
                <w:rFonts w:ascii="Arial" w:hAnsi="Arial"/>
                <w:color w:val="000000"/>
                <w:sz w:val="15"/>
              </w:rPr>
              <w:t>Taxable IRA distributions</w:t>
            </w:r>
          </w:p>
        </w:tc>
        <w:tc>
          <w:tcPr>
            <w:tcW w:type="dxa" w:w="1440"/>
            <w:tcMar>
              <w:top w:w="60" w:type="dxa"/>
              <w:start w:w="65" w:type="dxa"/>
              <w:bottom w:w="60" w:type="dxa"/>
              <w:end w:w="65" w:type="dxa"/>
            </w:tcMar>
            <w:vAlign w:val="center"/>
          </w:tcPr>
          <w:p>
            <w:pPr>
              <w:jc w:val="left"/>
            </w:pPr>
            <w:r>
              <w:rPr>
                <w:rFonts w:ascii="Arial" w:hAnsi="Arial"/>
                <w:color w:val="000000"/>
                <w:sz w:val="15"/>
              </w:rPr>
              <w:t>437.776</w:t>
            </w:r>
          </w:p>
        </w:tc>
        <w:tc>
          <w:tcPr>
            <w:tcW w:type="dxa" w:w="1440"/>
            <w:tcMar>
              <w:top w:w="60" w:type="dxa"/>
              <w:start w:w="65" w:type="dxa"/>
              <w:bottom w:w="60" w:type="dxa"/>
              <w:end w:w="65" w:type="dxa"/>
            </w:tcMar>
            <w:vAlign w:val="center"/>
          </w:tcPr>
          <w:p>
            <w:pPr>
              <w:jc w:val="left"/>
            </w:pPr>
            <w:r>
              <w:rPr>
                <w:rFonts w:ascii="Arial" w:hAnsi="Arial"/>
                <w:color w:val="000000"/>
                <w:sz w:val="15"/>
              </w:rPr>
              <w:t>43.778</w:t>
            </w:r>
          </w:p>
        </w:tc>
        <w:tc>
          <w:tcPr>
            <w:tcW w:type="dxa" w:w="1368"/>
            <w:tcMar>
              <w:top w:w="60" w:type="dxa"/>
              <w:start w:w="65" w:type="dxa"/>
              <w:bottom w:w="60" w:type="dxa"/>
              <w:end w:w="65" w:type="dxa"/>
            </w:tcMar>
            <w:vAlign w:val="center"/>
          </w:tcPr>
          <w:p>
            <w:pPr>
              <w:jc w:val="left"/>
            </w:pPr>
            <w:r>
              <w:rPr>
                <w:rFonts w:ascii="Arial" w:hAnsi="Arial"/>
                <w:color w:val="000000"/>
                <w:sz w:val="15"/>
              </w:rPr>
              <w:t>13.133</w:t>
            </w:r>
          </w:p>
        </w:tc>
        <w:tc>
          <w:tcPr>
            <w:tcW w:type="dxa" w:w="1368"/>
            <w:tcMar>
              <w:top w:w="60" w:type="dxa"/>
              <w:start w:w="65" w:type="dxa"/>
              <w:bottom w:w="60" w:type="dxa"/>
              <w:end w:w="65" w:type="dxa"/>
            </w:tcMar>
            <w:vAlign w:val="center"/>
          </w:tcPr>
          <w:p>
            <w:pPr>
              <w:jc w:val="left"/>
            </w:pPr>
            <w:r>
              <w:rPr>
                <w:rFonts w:ascii="Arial" w:hAnsi="Arial"/>
                <w:color w:val="000000"/>
                <w:sz w:val="15"/>
              </w:rPr>
              <w:t>21.889</w:t>
            </w:r>
          </w:p>
        </w:tc>
      </w:tr>
      <w:tr>
        <w:trPr>
          <w:cantSplit/>
        </w:trPr>
        <w:tc>
          <w:tcPr>
            <w:tcW w:type="dxa" w:w="4320"/>
            <w:tcMar>
              <w:top w:w="60" w:type="dxa"/>
              <w:start w:w="65" w:type="dxa"/>
              <w:bottom w:w="60" w:type="dxa"/>
              <w:end w:w="65" w:type="dxa"/>
            </w:tcMar>
            <w:vAlign w:val="center"/>
          </w:tcPr>
          <w:p>
            <w:pPr>
              <w:jc w:val="left"/>
            </w:pPr>
            <w:r>
              <w:rPr>
                <w:rFonts w:ascii="Arial" w:hAnsi="Arial"/>
                <w:color w:val="000000"/>
                <w:sz w:val="15"/>
              </w:rPr>
              <w:t>Taxable pensions and annuities</w:t>
            </w:r>
          </w:p>
        </w:tc>
        <w:tc>
          <w:tcPr>
            <w:tcW w:type="dxa" w:w="1440"/>
            <w:tcMar>
              <w:top w:w="60" w:type="dxa"/>
              <w:start w:w="65" w:type="dxa"/>
              <w:bottom w:w="60" w:type="dxa"/>
              <w:end w:w="65" w:type="dxa"/>
            </w:tcMar>
            <w:vAlign w:val="center"/>
          </w:tcPr>
          <w:p>
            <w:pPr>
              <w:jc w:val="left"/>
            </w:pPr>
            <w:r>
              <w:rPr>
                <w:rFonts w:ascii="Arial" w:hAnsi="Arial"/>
                <w:color w:val="000000"/>
                <w:sz w:val="15"/>
              </w:rPr>
              <w:t>858.038</w:t>
            </w:r>
          </w:p>
        </w:tc>
        <w:tc>
          <w:tcPr>
            <w:tcW w:type="dxa" w:w="1440"/>
            <w:tcMar>
              <w:top w:w="60" w:type="dxa"/>
              <w:start w:w="65" w:type="dxa"/>
              <w:bottom w:w="60" w:type="dxa"/>
              <w:end w:w="65" w:type="dxa"/>
            </w:tcMar>
            <w:vAlign w:val="center"/>
          </w:tcPr>
          <w:p>
            <w:pPr>
              <w:jc w:val="left"/>
            </w:pPr>
            <w:r>
              <w:rPr>
                <w:rFonts w:ascii="Arial" w:hAnsi="Arial"/>
                <w:color w:val="000000"/>
                <w:sz w:val="15"/>
              </w:rPr>
              <w:t>85.804</w:t>
            </w:r>
          </w:p>
        </w:tc>
        <w:tc>
          <w:tcPr>
            <w:tcW w:type="dxa" w:w="1368"/>
            <w:tcMar>
              <w:top w:w="60" w:type="dxa"/>
              <w:start w:w="65" w:type="dxa"/>
              <w:bottom w:w="60" w:type="dxa"/>
              <w:end w:w="65" w:type="dxa"/>
            </w:tcMar>
            <w:vAlign w:val="center"/>
          </w:tcPr>
          <w:p>
            <w:pPr>
              <w:jc w:val="left"/>
            </w:pPr>
            <w:r>
              <w:rPr>
                <w:rFonts w:ascii="Arial" w:hAnsi="Arial"/>
                <w:color w:val="000000"/>
                <w:sz w:val="15"/>
              </w:rPr>
              <w:t>25.741</w:t>
            </w:r>
          </w:p>
        </w:tc>
        <w:tc>
          <w:tcPr>
            <w:tcW w:type="dxa" w:w="1368"/>
            <w:tcMar>
              <w:top w:w="60" w:type="dxa"/>
              <w:start w:w="65" w:type="dxa"/>
              <w:bottom w:w="60" w:type="dxa"/>
              <w:end w:w="65" w:type="dxa"/>
            </w:tcMar>
            <w:vAlign w:val="center"/>
          </w:tcPr>
          <w:p>
            <w:pPr>
              <w:jc w:val="left"/>
            </w:pPr>
            <w:r>
              <w:rPr>
                <w:rFonts w:ascii="Arial" w:hAnsi="Arial"/>
                <w:color w:val="000000"/>
                <w:sz w:val="15"/>
              </w:rPr>
              <w:t>42.902</w:t>
            </w:r>
          </w:p>
        </w:tc>
      </w:tr>
      <w:tr>
        <w:trPr>
          <w:cantSplit/>
        </w:trPr>
        <w:tc>
          <w:tcPr>
            <w:tcW w:type="dxa" w:w="4320"/>
            <w:tcMar>
              <w:top w:w="60" w:type="dxa"/>
              <w:start w:w="65" w:type="dxa"/>
              <w:bottom w:w="60" w:type="dxa"/>
              <w:end w:w="65" w:type="dxa"/>
            </w:tcMar>
            <w:vAlign w:val="center"/>
          </w:tcPr>
          <w:p>
            <w:pPr>
              <w:jc w:val="left"/>
            </w:pPr>
            <w:r>
              <w:rPr>
                <w:rFonts w:ascii="Arial" w:hAnsi="Arial"/>
                <w:color w:val="000000"/>
                <w:sz w:val="15"/>
              </w:rPr>
              <w:t>Legal settlements and other 1099-MISC cash income</w:t>
            </w:r>
          </w:p>
        </w:tc>
        <w:tc>
          <w:tcPr>
            <w:tcW w:type="dxa" w:w="1440"/>
            <w:tcMar>
              <w:top w:w="60" w:type="dxa"/>
              <w:start w:w="65" w:type="dxa"/>
              <w:bottom w:w="60" w:type="dxa"/>
              <w:end w:w="65" w:type="dxa"/>
            </w:tcMar>
            <w:vAlign w:val="center"/>
          </w:tcPr>
          <w:p>
            <w:pPr>
              <w:jc w:val="left"/>
            </w:pPr>
            <w:r>
              <w:rPr>
                <w:rFonts w:ascii="Arial" w:hAnsi="Arial"/>
                <w:color w:val="000000"/>
                <w:sz w:val="15"/>
              </w:rPr>
              <w:t>51.309</w:t>
            </w:r>
          </w:p>
        </w:tc>
        <w:tc>
          <w:tcPr>
            <w:tcW w:type="dxa" w:w="1440"/>
            <w:tcMar>
              <w:top w:w="60" w:type="dxa"/>
              <w:start w:w="65" w:type="dxa"/>
              <w:bottom w:w="60" w:type="dxa"/>
              <w:end w:w="65" w:type="dxa"/>
            </w:tcMar>
            <w:vAlign w:val="center"/>
          </w:tcPr>
          <w:p>
            <w:pPr>
              <w:jc w:val="left"/>
            </w:pPr>
            <w:r>
              <w:rPr>
                <w:rFonts w:ascii="Arial" w:hAnsi="Arial"/>
                <w:color w:val="000000"/>
                <w:sz w:val="15"/>
              </w:rPr>
              <w:t>5.131</w:t>
            </w:r>
          </w:p>
        </w:tc>
        <w:tc>
          <w:tcPr>
            <w:tcW w:type="dxa" w:w="1368"/>
            <w:tcMar>
              <w:top w:w="60" w:type="dxa"/>
              <w:start w:w="65" w:type="dxa"/>
              <w:bottom w:w="60" w:type="dxa"/>
              <w:end w:w="65" w:type="dxa"/>
            </w:tcMar>
            <w:vAlign w:val="center"/>
          </w:tcPr>
          <w:p>
            <w:pPr>
              <w:jc w:val="left"/>
            </w:pPr>
            <w:r>
              <w:rPr>
                <w:rFonts w:ascii="Arial" w:hAnsi="Arial"/>
                <w:color w:val="000000"/>
                <w:sz w:val="15"/>
              </w:rPr>
              <w:t>1.539</w:t>
            </w:r>
          </w:p>
        </w:tc>
        <w:tc>
          <w:tcPr>
            <w:tcW w:type="dxa" w:w="1368"/>
            <w:tcMar>
              <w:top w:w="60" w:type="dxa"/>
              <w:start w:w="65" w:type="dxa"/>
              <w:bottom w:w="60" w:type="dxa"/>
              <w:end w:w="65" w:type="dxa"/>
            </w:tcMar>
            <w:vAlign w:val="center"/>
          </w:tcPr>
          <w:p>
            <w:pPr>
              <w:jc w:val="left"/>
            </w:pPr>
            <w:r>
              <w:rPr>
                <w:rFonts w:ascii="Arial" w:hAnsi="Arial"/>
                <w:color w:val="000000"/>
                <w:sz w:val="15"/>
              </w:rPr>
              <w:t>2.565</w:t>
            </w:r>
          </w:p>
        </w:tc>
      </w:tr>
      <w:tr>
        <w:trPr>
          <w:cantSplit/>
        </w:trPr>
        <w:tc>
          <w:tcPr>
            <w:tcW w:type="dxa" w:w="4320"/>
            <w:tcMar>
              <w:top w:w="60" w:type="dxa"/>
              <w:start w:w="65" w:type="dxa"/>
              <w:bottom w:w="60" w:type="dxa"/>
              <w:end w:w="65" w:type="dxa"/>
            </w:tcMar>
            <w:vAlign w:val="center"/>
          </w:tcPr>
          <w:p>
            <w:pPr>
              <w:jc w:val="left"/>
            </w:pPr>
            <w:r>
              <w:rPr>
                <w:rFonts w:ascii="Arial" w:hAnsi="Arial"/>
                <w:color w:val="000000"/>
                <w:sz w:val="15"/>
              </w:rPr>
              <w:t>Foreign cash-income add-back</w:t>
            </w:r>
          </w:p>
        </w:tc>
        <w:tc>
          <w:tcPr>
            <w:tcW w:type="dxa" w:w="1440"/>
            <w:tcMar>
              <w:top w:w="60" w:type="dxa"/>
              <w:start w:w="65" w:type="dxa"/>
              <w:bottom w:w="60" w:type="dxa"/>
              <w:end w:w="65" w:type="dxa"/>
            </w:tcMar>
            <w:vAlign w:val="center"/>
          </w:tcPr>
          <w:p>
            <w:pPr>
              <w:jc w:val="left"/>
            </w:pPr>
            <w:r>
              <w:rPr>
                <w:rFonts w:ascii="Arial" w:hAnsi="Arial"/>
                <w:color w:val="000000"/>
                <w:sz w:val="15"/>
              </w:rPr>
              <w:t>29.744</w:t>
            </w:r>
          </w:p>
        </w:tc>
        <w:tc>
          <w:tcPr>
            <w:tcW w:type="dxa" w:w="1440"/>
            <w:tcMar>
              <w:top w:w="60" w:type="dxa"/>
              <w:start w:w="65" w:type="dxa"/>
              <w:bottom w:w="60" w:type="dxa"/>
              <w:end w:w="65" w:type="dxa"/>
            </w:tcMar>
            <w:vAlign w:val="center"/>
          </w:tcPr>
          <w:p>
            <w:pPr>
              <w:jc w:val="left"/>
            </w:pPr>
            <w:r>
              <w:rPr>
                <w:rFonts w:ascii="Arial" w:hAnsi="Arial"/>
                <w:color w:val="000000"/>
                <w:sz w:val="15"/>
              </w:rPr>
              <w:t>2.974</w:t>
            </w:r>
          </w:p>
        </w:tc>
        <w:tc>
          <w:tcPr>
            <w:tcW w:type="dxa" w:w="1368"/>
            <w:tcMar>
              <w:top w:w="60" w:type="dxa"/>
              <w:start w:w="65" w:type="dxa"/>
              <w:bottom w:w="60" w:type="dxa"/>
              <w:end w:w="65" w:type="dxa"/>
            </w:tcMar>
            <w:vAlign w:val="center"/>
          </w:tcPr>
          <w:p>
            <w:pPr>
              <w:jc w:val="left"/>
            </w:pPr>
            <w:r>
              <w:rPr>
                <w:rFonts w:ascii="Arial" w:hAnsi="Arial"/>
                <w:color w:val="000000"/>
                <w:sz w:val="15"/>
              </w:rPr>
              <w:t>0.892</w:t>
            </w:r>
          </w:p>
        </w:tc>
        <w:tc>
          <w:tcPr>
            <w:tcW w:type="dxa" w:w="1368"/>
            <w:tcMar>
              <w:top w:w="60" w:type="dxa"/>
              <w:start w:w="65" w:type="dxa"/>
              <w:bottom w:w="60" w:type="dxa"/>
              <w:end w:w="65" w:type="dxa"/>
            </w:tcMar>
            <w:vAlign w:val="center"/>
          </w:tcPr>
          <w:p>
            <w:pPr>
              <w:jc w:val="left"/>
            </w:pPr>
            <w:r>
              <w:rPr>
                <w:rFonts w:ascii="Arial" w:hAnsi="Arial"/>
                <w:color w:val="000000"/>
                <w:sz w:val="15"/>
              </w:rPr>
              <w:t>1.487</w:t>
            </w:r>
          </w:p>
        </w:tc>
      </w:tr>
      <w:tr>
        <w:trPr>
          <w:cantSplit/>
        </w:trPr>
        <w:tc>
          <w:tcPr>
            <w:tcW w:type="dxa" w:w="4320"/>
            <w:tcMar>
              <w:top w:w="60" w:type="dxa"/>
              <w:start w:w="65" w:type="dxa"/>
              <w:bottom w:w="60" w:type="dxa"/>
              <w:end w:w="65" w:type="dxa"/>
            </w:tcMar>
            <w:vAlign w:val="center"/>
          </w:tcPr>
          <w:p>
            <w:pPr>
              <w:jc w:val="left"/>
            </w:pPr>
            <w:r>
              <w:rPr>
                <w:rFonts w:ascii="Arial" w:hAnsi="Arial"/>
                <w:color w:val="000000"/>
                <w:sz w:val="15"/>
              </w:rPr>
              <w:t>Data-licensing payments to individuals</w:t>
            </w:r>
          </w:p>
        </w:tc>
        <w:tc>
          <w:tcPr>
            <w:tcW w:type="dxa" w:w="1440"/>
            <w:tcMar>
              <w:top w:w="60" w:type="dxa"/>
              <w:start w:w="65" w:type="dxa"/>
              <w:bottom w:w="60" w:type="dxa"/>
              <w:end w:w="65" w:type="dxa"/>
            </w:tcMar>
            <w:vAlign w:val="center"/>
          </w:tcPr>
          <w:p>
            <w:pPr>
              <w:jc w:val="left"/>
            </w:pPr>
            <w:r>
              <w:rPr>
                <w:rFonts w:ascii="Arial" w:hAnsi="Arial"/>
                <w:color w:val="000000"/>
                <w:sz w:val="15"/>
              </w:rPr>
              <w:t>275.000</w:t>
            </w:r>
          </w:p>
        </w:tc>
        <w:tc>
          <w:tcPr>
            <w:tcW w:type="dxa" w:w="1440"/>
            <w:tcMar>
              <w:top w:w="60" w:type="dxa"/>
              <w:start w:w="65" w:type="dxa"/>
              <w:bottom w:w="60" w:type="dxa"/>
              <w:end w:w="65" w:type="dxa"/>
            </w:tcMar>
            <w:vAlign w:val="center"/>
          </w:tcPr>
          <w:p>
            <w:pPr>
              <w:jc w:val="left"/>
            </w:pPr>
            <w:r>
              <w:rPr>
                <w:rFonts w:ascii="Arial" w:hAnsi="Arial"/>
                <w:color w:val="000000"/>
                <w:sz w:val="15"/>
              </w:rPr>
              <w:t>27.500</w:t>
            </w:r>
          </w:p>
        </w:tc>
        <w:tc>
          <w:tcPr>
            <w:tcW w:type="dxa" w:w="1368"/>
            <w:tcMar>
              <w:top w:w="60" w:type="dxa"/>
              <w:start w:w="65" w:type="dxa"/>
              <w:bottom w:w="60" w:type="dxa"/>
              <w:end w:w="65" w:type="dxa"/>
            </w:tcMar>
            <w:vAlign w:val="center"/>
          </w:tcPr>
          <w:p>
            <w:pPr>
              <w:jc w:val="left"/>
            </w:pPr>
            <w:r>
              <w:rPr>
                <w:rFonts w:ascii="Arial" w:hAnsi="Arial"/>
                <w:color w:val="000000"/>
                <w:sz w:val="15"/>
              </w:rPr>
              <w:t>8.250</w:t>
            </w:r>
          </w:p>
        </w:tc>
        <w:tc>
          <w:tcPr>
            <w:tcW w:type="dxa" w:w="1368"/>
            <w:tcMar>
              <w:top w:w="60" w:type="dxa"/>
              <w:start w:w="65" w:type="dxa"/>
              <w:bottom w:w="60" w:type="dxa"/>
              <w:end w:w="65" w:type="dxa"/>
            </w:tcMar>
            <w:vAlign w:val="center"/>
          </w:tcPr>
          <w:p>
            <w:pPr>
              <w:jc w:val="left"/>
            </w:pPr>
            <w:r>
              <w:rPr>
                <w:rFonts w:ascii="Arial" w:hAnsi="Arial"/>
                <w:color w:val="000000"/>
                <w:sz w:val="15"/>
              </w:rPr>
              <w:t>13.750</w:t>
            </w:r>
          </w:p>
        </w:tc>
      </w:tr>
      <w:tr>
        <w:trPr>
          <w:cantSplit/>
        </w:trPr>
        <w:tc>
          <w:tcPr>
            <w:tcW w:type="dxa" w:w="4320"/>
            <w:tcMar>
              <w:top w:w="60" w:type="dxa"/>
              <w:start w:w="65" w:type="dxa"/>
              <w:bottom w:w="60" w:type="dxa"/>
              <w:end w:w="65" w:type="dxa"/>
            </w:tcMar>
            <w:vAlign w:val="center"/>
            <w:shd w:fill="D9EAF7"/>
          </w:tcPr>
          <w:p>
            <w:pPr>
              <w:jc w:val="left"/>
            </w:pPr>
            <w:r>
              <w:rPr>
                <w:rFonts w:ascii="Arial" w:hAnsi="Arial"/>
                <w:b/>
                <w:color w:val="000000"/>
                <w:sz w:val="15"/>
              </w:rPr>
              <w:t>TOTAL</w:t>
            </w:r>
          </w:p>
        </w:tc>
        <w:tc>
          <w:tcPr>
            <w:tcW w:type="dxa" w:w="1440"/>
            <w:tcMar>
              <w:top w:w="60" w:type="dxa"/>
              <w:start w:w="65" w:type="dxa"/>
              <w:bottom w:w="60" w:type="dxa"/>
              <w:end w:w="65" w:type="dxa"/>
            </w:tcMar>
            <w:vAlign w:val="center"/>
            <w:shd w:fill="D9EAF7"/>
          </w:tcPr>
          <w:p>
            <w:pPr>
              <w:jc w:val="left"/>
            </w:pPr>
            <w:r>
              <w:rPr>
                <w:rFonts w:ascii="Arial" w:hAnsi="Arial"/>
                <w:b/>
                <w:color w:val="000000"/>
                <w:sz w:val="15"/>
              </w:rPr>
              <w:t>20,470.758</w:t>
            </w:r>
          </w:p>
        </w:tc>
        <w:tc>
          <w:tcPr>
            <w:tcW w:type="dxa" w:w="1440"/>
            <w:tcMar>
              <w:top w:w="60" w:type="dxa"/>
              <w:start w:w="65" w:type="dxa"/>
              <w:bottom w:w="60" w:type="dxa"/>
              <w:end w:w="65" w:type="dxa"/>
            </w:tcMar>
            <w:vAlign w:val="center"/>
            <w:shd w:fill="D9EAF7"/>
          </w:tcPr>
          <w:p>
            <w:pPr>
              <w:jc w:val="left"/>
            </w:pPr>
            <w:r>
              <w:rPr>
                <w:rFonts w:ascii="Arial" w:hAnsi="Arial"/>
                <w:b/>
                <w:color w:val="000000"/>
                <w:sz w:val="15"/>
              </w:rPr>
              <w:t>2,047.076</w:t>
            </w:r>
          </w:p>
        </w:tc>
        <w:tc>
          <w:tcPr>
            <w:tcW w:type="dxa" w:w="1368"/>
            <w:tcMar>
              <w:top w:w="60" w:type="dxa"/>
              <w:start w:w="65" w:type="dxa"/>
              <w:bottom w:w="60" w:type="dxa"/>
              <w:end w:w="65" w:type="dxa"/>
            </w:tcMar>
            <w:vAlign w:val="center"/>
            <w:shd w:fill="D9EAF7"/>
          </w:tcPr>
          <w:p>
            <w:pPr>
              <w:jc w:val="left"/>
            </w:pPr>
            <w:r>
              <w:rPr>
                <w:rFonts w:ascii="Arial" w:hAnsi="Arial"/>
                <w:b/>
                <w:color w:val="000000"/>
                <w:sz w:val="15"/>
              </w:rPr>
              <w:t>614.123</w:t>
            </w:r>
          </w:p>
        </w:tc>
        <w:tc>
          <w:tcPr>
            <w:tcW w:type="dxa" w:w="1368"/>
            <w:tcMar>
              <w:top w:w="60" w:type="dxa"/>
              <w:start w:w="65" w:type="dxa"/>
              <w:bottom w:w="60" w:type="dxa"/>
              <w:end w:w="65" w:type="dxa"/>
            </w:tcMar>
            <w:vAlign w:val="center"/>
            <w:shd w:fill="D9EAF7"/>
          </w:tcPr>
          <w:p>
            <w:pPr>
              <w:jc w:val="left"/>
            </w:pPr>
            <w:r>
              <w:rPr>
                <w:rFonts w:ascii="Arial" w:hAnsi="Arial"/>
                <w:b/>
                <w:color w:val="000000"/>
                <w:sz w:val="15"/>
              </w:rPr>
              <w:t>1,023.538</w:t>
            </w:r>
          </w:p>
        </w:tc>
      </w:tr>
    </w:tbl>
    <w:p>
      <w:r>
        <w:rPr>
          <w:rFonts w:ascii="Aptos" w:hAnsi="Aptos"/>
          <w:sz w:val="20"/>
        </w:rPr>
        <w:t>The citizen-side HSA total splits into approximately $742.341 billion paid by citizens under the tier mix and $281.197 billion supplied through the federal top-up. Taxpayer-level data must still allocate the statutory 0 percent full-time-student wage rate and the 5 percent rate for qualifying low-net-worth youth and elderly taxpayers.</w:t>
      </w:r>
    </w:p>
    <w:tbl>
      <w:tblPr>
        <w:tblW w:type="auto" w:w="0"/>
        <w:jc w:val="center"/>
        <w:tblLook w:firstColumn="1" w:firstRow="1" w:lastColumn="0" w:lastRow="0" w:noHBand="0" w:noVBand="1" w:val="04A0"/>
      </w:tblPr>
      <w:tblGrid>
        <w:gridCol w:w="10512"/>
      </w:tblGrid>
      <w:tr>
        <w:trPr>
          <w:cantSplit/>
        </w:trPr>
        <w:tc>
          <w:tcPr>
            <w:tcW w:type="dxa" w:w="10512"/>
            <w:shd w:fill="FFF2CC"/>
            <w:tcMar>
              <w:top w:w="90" w:type="dxa"/>
              <w:start w:w="110" w:type="dxa"/>
              <w:bottom w:w="90" w:type="dxa"/>
              <w:end w:w="110" w:type="dxa"/>
            </w:tcMar>
          </w:tcPr>
          <w:p>
            <w:pPr>
              <w:spacing w:after="0"/>
            </w:pPr>
            <w:r>
              <w:rPr>
                <w:rFonts w:ascii="Arial" w:hAnsi="Arial"/>
                <w:i/>
                <w:color w:val="3C3C3C"/>
                <w:sz w:val="17"/>
              </w:rPr>
              <w:t>Data sovereignty is now routed correctly. The former separate 30 percent data-tax line is removed. The $275 billion active data-payment base enters personal liquid income and is deducted from the corporate-profit base so the same payment does not remain profit to the payer.</w:t>
            </w:r>
          </w:p>
        </w:tc>
      </w:tr>
    </w:tbl>
    <w:p>
      <w:pPr>
        <w:pStyle w:val="Heading1"/>
      </w:pPr>
      <w:r>
        <w:rPr>
          <w:rFonts w:ascii="Aptos" w:hAnsi="Aptos"/>
          <w:sz w:val="20"/>
        </w:rPr>
        <w:t>3. Estate, Trust, and Entity-Level Anti-Deferral Taxes</w:t>
      </w:r>
    </w:p>
    <w:p>
      <w:pPr>
        <w:pStyle w:val="Heading2"/>
      </w:pPr>
      <w:r>
        <w:rPr>
          <w:rFonts w:ascii="Aptos" w:hAnsi="Aptos"/>
          <w:sz w:val="20"/>
        </w:rPr>
        <w:t>3.1 Estate and Trust Distributions</w:t>
      </w:r>
    </w:p>
    <w:p>
      <w:r>
        <w:rPr>
          <w:rFonts w:ascii="Aptos" w:hAnsi="Aptos"/>
          <w:sz w:val="20"/>
        </w:rPr>
        <w:t>Positive estate and trust distributions carry a separate 3 percent tax. The active national base is $50.110 billion, producing approximately $1.503 billion in General Treasury revenue.</w:t>
      </w:r>
    </w:p>
    <w:p>
      <w:pPr>
        <w:pStyle w:val="Heading2"/>
      </w:pPr>
      <w:r>
        <w:rPr>
          <w:rFonts w:ascii="Aptos" w:hAnsi="Aptos"/>
          <w:sz w:val="20"/>
        </w:rPr>
        <w:t>3.2 Form 4797, Like-Kind Deferral, REMIC, and Trade-Up Structures</w:t>
      </w:r>
    </w:p>
    <w:p>
      <w:r>
        <w:rPr>
          <w:rFonts w:ascii="Aptos" w:hAnsi="Aptos"/>
          <w:sz w:val="20"/>
        </w:rPr>
        <w:t>A 10 percent source-level tax applies when gains remain inside an entity, partnership, trust, REMIC, or real-estate trade-up structure and no individual has received or solely owns the income. A later distribution receives a dollar-for-dollar credit against tax already paid on the same economic income.</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rPr>
          <w:tblHeader w:val="true"/>
          <w:cantSplit/>
        </w:trPr>
        <w:tc>
          <w:tcPr>
            <w:tcW w:type="dxa" w:w="4896"/>
            <w:shd w:fill="1F4E78"/>
            <w:vAlign w:val="center"/>
            <w:tcMar>
              <w:top w:w="60" w:type="dxa"/>
              <w:start w:w="65" w:type="dxa"/>
              <w:bottom w:w="60" w:type="dxa"/>
              <w:end w:w="65" w:type="dxa"/>
            </w:tcMar>
          </w:tcPr>
          <w:p>
            <w:pPr>
              <w:jc w:val="center"/>
            </w:pPr>
            <w:r>
              <w:rPr>
                <w:rFonts w:ascii="Arial" w:hAnsi="Arial"/>
                <w:b/>
                <w:color w:val="FFFFFF"/>
                <w:sz w:val="16"/>
              </w:rPr>
              <w:t>Active source-level base</w:t>
            </w:r>
          </w:p>
        </w:tc>
        <w:tc>
          <w:tcPr>
            <w:tcW w:type="dxa" w:w="1584"/>
            <w:shd w:fill="1F4E78"/>
            <w:vAlign w:val="center"/>
            <w:tcMar>
              <w:top w:w="60" w:type="dxa"/>
              <w:start w:w="65" w:type="dxa"/>
              <w:bottom w:w="60" w:type="dxa"/>
              <w:end w:w="65" w:type="dxa"/>
            </w:tcMar>
          </w:tcPr>
          <w:p>
            <w:pPr>
              <w:jc w:val="center"/>
            </w:pPr>
            <w:r>
              <w:rPr>
                <w:rFonts w:ascii="Arial" w:hAnsi="Arial"/>
                <w:b/>
                <w:color w:val="FFFFFF"/>
                <w:sz w:val="16"/>
              </w:rPr>
              <w:t>Base ($B)</w:t>
            </w:r>
          </w:p>
        </w:tc>
        <w:tc>
          <w:tcPr>
            <w:tcW w:type="dxa" w:w="1152"/>
            <w:shd w:fill="1F4E78"/>
            <w:vAlign w:val="center"/>
            <w:tcMar>
              <w:top w:w="60" w:type="dxa"/>
              <w:start w:w="65" w:type="dxa"/>
              <w:bottom w:w="60" w:type="dxa"/>
              <w:end w:w="65" w:type="dxa"/>
            </w:tcMar>
          </w:tcPr>
          <w:p>
            <w:pPr>
              <w:jc w:val="center"/>
            </w:pPr>
            <w:r>
              <w:rPr>
                <w:rFonts w:ascii="Arial" w:hAnsi="Arial"/>
                <w:b/>
                <w:color w:val="FFFFFF"/>
                <w:sz w:val="16"/>
              </w:rPr>
              <w:t>Rate</w:t>
            </w:r>
          </w:p>
        </w:tc>
        <w:tc>
          <w:tcPr>
            <w:tcW w:type="dxa" w:w="1728"/>
            <w:shd w:fill="1F4E78"/>
            <w:vAlign w:val="center"/>
            <w:tcMar>
              <w:top w:w="60" w:type="dxa"/>
              <w:start w:w="65" w:type="dxa"/>
              <w:bottom w:w="60" w:type="dxa"/>
              <w:end w:w="65" w:type="dxa"/>
            </w:tcMar>
          </w:tcPr>
          <w:p>
            <w:pPr>
              <w:jc w:val="center"/>
            </w:pPr>
            <w:r>
              <w:rPr>
                <w:rFonts w:ascii="Arial" w:hAnsi="Arial"/>
                <w:b/>
                <w:color w:val="FFFFFF"/>
                <w:sz w:val="16"/>
              </w:rPr>
              <w:t>Revenue ($B)</w:t>
            </w:r>
          </w:p>
        </w:tc>
      </w:tr>
      <w:tr>
        <w:trPr>
          <w:cantSplit/>
        </w:trPr>
        <w:tc>
          <w:tcPr>
            <w:tcW w:type="dxa" w:w="4896"/>
            <w:tcMar>
              <w:top w:w="60" w:type="dxa"/>
              <w:start w:w="65" w:type="dxa"/>
              <w:bottom w:w="60" w:type="dxa"/>
              <w:end w:w="65" w:type="dxa"/>
            </w:tcMar>
            <w:vAlign w:val="center"/>
          </w:tcPr>
          <w:p>
            <w:pPr>
              <w:jc w:val="left"/>
            </w:pPr>
            <w:r>
              <w:rPr>
                <w:rFonts w:ascii="Arial" w:hAnsi="Arial"/>
                <w:color w:val="000000"/>
                <w:sz w:val="16"/>
              </w:rPr>
              <w:t>Form 4797 combined gains</w:t>
            </w:r>
          </w:p>
        </w:tc>
        <w:tc>
          <w:tcPr>
            <w:tcW w:type="dxa" w:w="1584"/>
            <w:tcMar>
              <w:top w:w="60" w:type="dxa"/>
              <w:start w:w="65" w:type="dxa"/>
              <w:bottom w:w="60" w:type="dxa"/>
              <w:end w:w="65" w:type="dxa"/>
            </w:tcMar>
            <w:vAlign w:val="center"/>
          </w:tcPr>
          <w:p>
            <w:pPr>
              <w:jc w:val="left"/>
            </w:pPr>
            <w:r>
              <w:rPr>
                <w:rFonts w:ascii="Arial" w:hAnsi="Arial"/>
                <w:color w:val="000000"/>
                <w:sz w:val="16"/>
              </w:rPr>
              <w:t>258.986</w:t>
            </w:r>
          </w:p>
        </w:tc>
        <w:tc>
          <w:tcPr>
            <w:tcW w:type="dxa" w:w="1152"/>
            <w:tcMar>
              <w:top w:w="60" w:type="dxa"/>
              <w:start w:w="65" w:type="dxa"/>
              <w:bottom w:w="60" w:type="dxa"/>
              <w:end w:w="65" w:type="dxa"/>
            </w:tcMar>
            <w:vAlign w:val="center"/>
          </w:tcPr>
          <w:p>
            <w:pPr>
              <w:jc w:val="left"/>
            </w:pPr>
            <w:r>
              <w:rPr>
                <w:rFonts w:ascii="Arial" w:hAnsi="Arial"/>
                <w:color w:val="000000"/>
                <w:sz w:val="16"/>
              </w:rPr>
              <w:t>10%</w:t>
            </w:r>
          </w:p>
        </w:tc>
        <w:tc>
          <w:tcPr>
            <w:tcW w:type="dxa" w:w="1728"/>
            <w:tcMar>
              <w:top w:w="60" w:type="dxa"/>
              <w:start w:w="65" w:type="dxa"/>
              <w:bottom w:w="60" w:type="dxa"/>
              <w:end w:w="65" w:type="dxa"/>
            </w:tcMar>
            <w:vAlign w:val="center"/>
          </w:tcPr>
          <w:p>
            <w:pPr>
              <w:jc w:val="left"/>
            </w:pPr>
            <w:r>
              <w:rPr>
                <w:rFonts w:ascii="Arial" w:hAnsi="Arial"/>
                <w:color w:val="000000"/>
                <w:sz w:val="16"/>
              </w:rPr>
              <w:t>25.899</w:t>
            </w:r>
          </w:p>
        </w:tc>
      </w:tr>
      <w:tr>
        <w:trPr>
          <w:cantSplit/>
        </w:trPr>
        <w:tc>
          <w:tcPr>
            <w:tcW w:type="dxa" w:w="4896"/>
            <w:tcMar>
              <w:top w:w="60" w:type="dxa"/>
              <w:start w:w="65" w:type="dxa"/>
              <w:bottom w:w="60" w:type="dxa"/>
              <w:end w:w="65" w:type="dxa"/>
            </w:tcMar>
            <w:vAlign w:val="center"/>
          </w:tcPr>
          <w:p>
            <w:pPr>
              <w:jc w:val="left"/>
            </w:pPr>
            <w:r>
              <w:rPr>
                <w:rFonts w:ascii="Arial" w:hAnsi="Arial"/>
                <w:color w:val="000000"/>
                <w:sz w:val="16"/>
              </w:rPr>
              <w:t>Deferred gain from like-kind exchanges</w:t>
            </w:r>
          </w:p>
        </w:tc>
        <w:tc>
          <w:tcPr>
            <w:tcW w:type="dxa" w:w="1584"/>
            <w:tcMar>
              <w:top w:w="60" w:type="dxa"/>
              <w:start w:w="65" w:type="dxa"/>
              <w:bottom w:w="60" w:type="dxa"/>
              <w:end w:w="65" w:type="dxa"/>
            </w:tcMar>
            <w:vAlign w:val="center"/>
          </w:tcPr>
          <w:p>
            <w:pPr>
              <w:jc w:val="left"/>
            </w:pPr>
            <w:r>
              <w:rPr>
                <w:rFonts w:ascii="Arial" w:hAnsi="Arial"/>
                <w:color w:val="000000"/>
                <w:sz w:val="16"/>
              </w:rPr>
              <w:t>23.724</w:t>
            </w:r>
          </w:p>
        </w:tc>
        <w:tc>
          <w:tcPr>
            <w:tcW w:type="dxa" w:w="1152"/>
            <w:tcMar>
              <w:top w:w="60" w:type="dxa"/>
              <w:start w:w="65" w:type="dxa"/>
              <w:bottom w:w="60" w:type="dxa"/>
              <w:end w:w="65" w:type="dxa"/>
            </w:tcMar>
            <w:vAlign w:val="center"/>
          </w:tcPr>
          <w:p>
            <w:pPr>
              <w:jc w:val="left"/>
            </w:pPr>
            <w:r>
              <w:rPr>
                <w:rFonts w:ascii="Arial" w:hAnsi="Arial"/>
                <w:color w:val="000000"/>
                <w:sz w:val="16"/>
              </w:rPr>
              <w:t>10%</w:t>
            </w:r>
          </w:p>
        </w:tc>
        <w:tc>
          <w:tcPr>
            <w:tcW w:type="dxa" w:w="1728"/>
            <w:tcMar>
              <w:top w:w="60" w:type="dxa"/>
              <w:start w:w="65" w:type="dxa"/>
              <w:bottom w:w="60" w:type="dxa"/>
              <w:end w:w="65" w:type="dxa"/>
            </w:tcMar>
            <w:vAlign w:val="center"/>
          </w:tcPr>
          <w:p>
            <w:pPr>
              <w:jc w:val="left"/>
            </w:pPr>
            <w:r>
              <w:rPr>
                <w:rFonts w:ascii="Arial" w:hAnsi="Arial"/>
                <w:color w:val="000000"/>
                <w:sz w:val="16"/>
              </w:rPr>
              <w:t>2.372</w:t>
            </w:r>
          </w:p>
        </w:tc>
      </w:tr>
      <w:tr>
        <w:trPr>
          <w:cantSplit/>
        </w:trPr>
        <w:tc>
          <w:tcPr>
            <w:tcW w:type="dxa" w:w="4896"/>
            <w:tcMar>
              <w:top w:w="60" w:type="dxa"/>
              <w:start w:w="65" w:type="dxa"/>
              <w:bottom w:w="60" w:type="dxa"/>
              <w:end w:w="65" w:type="dxa"/>
            </w:tcMar>
            <w:vAlign w:val="center"/>
          </w:tcPr>
          <w:p>
            <w:pPr>
              <w:jc w:val="left"/>
            </w:pPr>
            <w:r>
              <w:rPr>
                <w:rFonts w:ascii="Arial" w:hAnsi="Arial"/>
                <w:color w:val="000000"/>
                <w:sz w:val="16"/>
              </w:rPr>
              <w:t>Positive REMIC residual taxable income</w:t>
            </w:r>
          </w:p>
        </w:tc>
        <w:tc>
          <w:tcPr>
            <w:tcW w:type="dxa" w:w="1584"/>
            <w:tcMar>
              <w:top w:w="60" w:type="dxa"/>
              <w:start w:w="65" w:type="dxa"/>
              <w:bottom w:w="60" w:type="dxa"/>
              <w:end w:w="65" w:type="dxa"/>
            </w:tcMar>
            <w:vAlign w:val="center"/>
          </w:tcPr>
          <w:p>
            <w:pPr>
              <w:jc w:val="left"/>
            </w:pPr>
            <w:r>
              <w:rPr>
                <w:rFonts w:ascii="Arial" w:hAnsi="Arial"/>
                <w:color w:val="000000"/>
                <w:sz w:val="16"/>
              </w:rPr>
              <w:t>0.000</w:t>
            </w:r>
          </w:p>
        </w:tc>
        <w:tc>
          <w:tcPr>
            <w:tcW w:type="dxa" w:w="1152"/>
            <w:tcMar>
              <w:top w:w="60" w:type="dxa"/>
              <w:start w:w="65" w:type="dxa"/>
              <w:bottom w:w="60" w:type="dxa"/>
              <w:end w:w="65" w:type="dxa"/>
            </w:tcMar>
            <w:vAlign w:val="center"/>
          </w:tcPr>
          <w:p>
            <w:pPr>
              <w:jc w:val="left"/>
            </w:pPr>
            <w:r>
              <w:rPr>
                <w:rFonts w:ascii="Arial" w:hAnsi="Arial"/>
                <w:color w:val="000000"/>
                <w:sz w:val="16"/>
              </w:rPr>
              <w:t>10%</w:t>
            </w:r>
          </w:p>
        </w:tc>
        <w:tc>
          <w:tcPr>
            <w:tcW w:type="dxa" w:w="1728"/>
            <w:tcMar>
              <w:top w:w="60" w:type="dxa"/>
              <w:start w:w="65" w:type="dxa"/>
              <w:bottom w:w="60" w:type="dxa"/>
              <w:end w:w="65" w:type="dxa"/>
            </w:tcMar>
            <w:vAlign w:val="center"/>
          </w:tcPr>
          <w:p>
            <w:pPr>
              <w:jc w:val="left"/>
            </w:pPr>
            <w:r>
              <w:rPr>
                <w:rFonts w:ascii="Arial" w:hAnsi="Arial"/>
                <w:color w:val="000000"/>
                <w:sz w:val="16"/>
              </w:rPr>
              <w:t>0.000</w:t>
            </w:r>
          </w:p>
        </w:tc>
      </w:tr>
      <w:tr>
        <w:trPr>
          <w:cantSplit/>
        </w:trPr>
        <w:tc>
          <w:tcPr>
            <w:tcW w:type="dxa" w:w="4896"/>
            <w:tcMar>
              <w:top w:w="60" w:type="dxa"/>
              <w:start w:w="65" w:type="dxa"/>
              <w:bottom w:w="60" w:type="dxa"/>
              <w:end w:w="65" w:type="dxa"/>
            </w:tcMar>
            <w:vAlign w:val="center"/>
            <w:shd w:fill="D9EAF7"/>
          </w:tcPr>
          <w:p>
            <w:pPr>
              <w:jc w:val="left"/>
            </w:pPr>
            <w:r>
              <w:rPr>
                <w:rFonts w:ascii="Arial" w:hAnsi="Arial"/>
                <w:b/>
                <w:color w:val="000000"/>
                <w:sz w:val="16"/>
              </w:rPr>
              <w:t>TOTAL</w:t>
            </w:r>
          </w:p>
        </w:tc>
        <w:tc>
          <w:tcPr>
            <w:tcW w:type="dxa" w:w="1584"/>
            <w:tcMar>
              <w:top w:w="60" w:type="dxa"/>
              <w:start w:w="65" w:type="dxa"/>
              <w:bottom w:w="60" w:type="dxa"/>
              <w:end w:w="65" w:type="dxa"/>
            </w:tcMar>
            <w:vAlign w:val="center"/>
            <w:shd w:fill="D9EAF7"/>
          </w:tcPr>
          <w:p>
            <w:pPr>
              <w:jc w:val="left"/>
            </w:pPr>
            <w:r>
              <w:rPr>
                <w:rFonts w:ascii="Arial" w:hAnsi="Arial"/>
                <w:b/>
                <w:color w:val="000000"/>
                <w:sz w:val="16"/>
              </w:rPr>
              <w:t>282.710</w:t>
            </w:r>
          </w:p>
        </w:tc>
        <w:tc>
          <w:tcPr>
            <w:tcW w:type="dxa" w:w="1152"/>
            <w:tcMar>
              <w:top w:w="60" w:type="dxa"/>
              <w:start w:w="65" w:type="dxa"/>
              <w:bottom w:w="60" w:type="dxa"/>
              <w:end w:w="65" w:type="dxa"/>
            </w:tcMar>
            <w:vAlign w:val="center"/>
            <w:shd w:fill="D9EAF7"/>
          </w:tcPr>
          <w:p>
            <w:pPr>
              <w:jc w:val="left"/>
            </w:pPr>
            <w:r>
              <w:rPr>
                <w:rFonts w:ascii="Arial" w:hAnsi="Arial"/>
                <w:b/>
                <w:color w:val="000000"/>
                <w:sz w:val="16"/>
              </w:rPr>
            </w:r>
          </w:p>
        </w:tc>
        <w:tc>
          <w:tcPr>
            <w:tcW w:type="dxa" w:w="1728"/>
            <w:tcMar>
              <w:top w:w="60" w:type="dxa"/>
              <w:start w:w="65" w:type="dxa"/>
              <w:bottom w:w="60" w:type="dxa"/>
              <w:end w:w="65" w:type="dxa"/>
            </w:tcMar>
            <w:vAlign w:val="center"/>
            <w:shd w:fill="D9EAF7"/>
          </w:tcPr>
          <w:p>
            <w:pPr>
              <w:jc w:val="left"/>
            </w:pPr>
            <w:r>
              <w:rPr>
                <w:rFonts w:ascii="Arial" w:hAnsi="Arial"/>
                <w:b/>
                <w:color w:val="000000"/>
                <w:sz w:val="16"/>
              </w:rPr>
              <w:t>28.271</w:t>
            </w:r>
          </w:p>
        </w:tc>
      </w:tr>
    </w:tbl>
    <w:p>
      <w:r>
        <w:rPr>
          <w:rFonts w:ascii="Aptos" w:hAnsi="Aptos"/>
          <w:sz w:val="20"/>
        </w:rPr>
        <w:t>This mechanism reaches the real-estate and entity deferral chain at the point where the economic gain exists. It prevents indefinite nonrecognition while preserving a clear credit system against double taxation.</w:t>
      </w:r>
    </w:p>
    <w:p>
      <w:pPr>
        <w:pStyle w:val="Heading1"/>
      </w:pPr>
      <w:r>
        <w:rPr>
          <w:rFonts w:ascii="Aptos" w:hAnsi="Aptos"/>
          <w:sz w:val="20"/>
        </w:rPr>
        <w:t>4. Corporate Tax Interaction with Data-Licensing Income</w:t>
      </w:r>
    </w:p>
    <w:tbl>
      <w:tblPr>
        <w:tblStyle w:val="TableGrid"/>
        <w:tblW w:type="auto" w:w="0"/>
        <w:jc w:val="center"/>
        <w:tblLayout w:type="fixed"/>
        <w:tblLook w:firstColumn="1" w:firstRow="1" w:lastColumn="0" w:lastRow="0" w:noHBand="0" w:noVBand="1" w:val="04A0"/>
      </w:tblPr>
      <w:tblGrid>
        <w:gridCol w:w="5256"/>
        <w:gridCol w:w="5256"/>
      </w:tblGrid>
      <w:tr>
        <w:trPr>
          <w:tblHeader w:val="true"/>
          <w:cantSplit/>
        </w:trPr>
        <w:tc>
          <w:tcPr>
            <w:tcW w:type="dxa" w:w="7488"/>
            <w:shd w:fill="1F4E78"/>
            <w:vAlign w:val="center"/>
            <w:tcMar>
              <w:top w:w="60" w:type="dxa"/>
              <w:start w:w="65" w:type="dxa"/>
              <w:bottom w:w="60" w:type="dxa"/>
              <w:end w:w="65" w:type="dxa"/>
            </w:tcMar>
          </w:tcPr>
          <w:p>
            <w:pPr>
              <w:jc w:val="center"/>
            </w:pPr>
            <w:r>
              <w:rPr>
                <w:rFonts w:ascii="Arial" w:hAnsi="Arial"/>
                <w:b/>
                <w:color w:val="FFFFFF"/>
                <w:sz w:val="17"/>
              </w:rPr>
              <w:t>Corporate-tax bridge</w:t>
            </w:r>
          </w:p>
        </w:tc>
        <w:tc>
          <w:tcPr>
            <w:tcW w:type="dxa" w:w="2592"/>
            <w:shd w:fill="1F4E78"/>
            <w:vAlign w:val="center"/>
            <w:tcMar>
              <w:top w:w="60" w:type="dxa"/>
              <w:start w:w="65" w:type="dxa"/>
              <w:bottom w:w="60" w:type="dxa"/>
              <w:end w:w="65" w:type="dxa"/>
            </w:tcMar>
          </w:tcPr>
          <w:p>
            <w:pPr>
              <w:jc w:val="center"/>
            </w:pPr>
            <w:r>
              <w:rPr>
                <w:rFonts w:ascii="Arial" w:hAnsi="Arial"/>
                <w:b/>
                <w:color w:val="FFFFFF"/>
                <w:sz w:val="17"/>
              </w:rPr>
              <w:t>Amount ($B)</w:t>
            </w:r>
          </w:p>
        </w:tc>
      </w:tr>
      <w:tr>
        <w:trPr>
          <w:cantSplit/>
        </w:trPr>
        <w:tc>
          <w:tcPr>
            <w:tcW w:type="dxa" w:w="7488"/>
            <w:tcMar>
              <w:top w:w="60" w:type="dxa"/>
              <w:start w:w="65" w:type="dxa"/>
              <w:bottom w:w="60" w:type="dxa"/>
              <w:end w:w="65" w:type="dxa"/>
            </w:tcMar>
            <w:vAlign w:val="center"/>
          </w:tcPr>
          <w:p>
            <w:pPr>
              <w:jc w:val="left"/>
            </w:pPr>
            <w:r>
              <w:rPr>
                <w:rFonts w:ascii="Arial" w:hAnsi="Arial"/>
                <w:color w:val="000000"/>
                <w:sz w:val="17"/>
              </w:rPr>
              <w:t>Gross 2024 corporate-profit base</w:t>
            </w:r>
          </w:p>
        </w:tc>
        <w:tc>
          <w:tcPr>
            <w:tcW w:type="dxa" w:w="2592"/>
            <w:tcMar>
              <w:top w:w="60" w:type="dxa"/>
              <w:start w:w="65" w:type="dxa"/>
              <w:bottom w:w="60" w:type="dxa"/>
              <w:end w:w="65" w:type="dxa"/>
            </w:tcMar>
            <w:vAlign w:val="center"/>
          </w:tcPr>
          <w:p>
            <w:pPr>
              <w:jc w:val="left"/>
            </w:pPr>
            <w:r>
              <w:rPr>
                <w:rFonts w:ascii="Arial" w:hAnsi="Arial"/>
                <w:color w:val="000000"/>
                <w:sz w:val="17"/>
              </w:rPr>
              <w:t>4,179.160</w:t>
            </w:r>
          </w:p>
        </w:tc>
      </w:tr>
      <w:tr>
        <w:trPr>
          <w:cantSplit/>
        </w:trPr>
        <w:tc>
          <w:tcPr>
            <w:tcW w:type="dxa" w:w="7488"/>
            <w:tcMar>
              <w:top w:w="60" w:type="dxa"/>
              <w:start w:w="65" w:type="dxa"/>
              <w:bottom w:w="60" w:type="dxa"/>
              <w:end w:w="65" w:type="dxa"/>
            </w:tcMar>
            <w:vAlign w:val="center"/>
          </w:tcPr>
          <w:p>
            <w:pPr>
              <w:jc w:val="left"/>
            </w:pPr>
            <w:r>
              <w:rPr>
                <w:rFonts w:ascii="Arial" w:hAnsi="Arial"/>
                <w:color w:val="000000"/>
                <w:sz w:val="17"/>
              </w:rPr>
              <w:t>Less data-licensing payments transferred to individuals</w:t>
            </w:r>
          </w:p>
        </w:tc>
        <w:tc>
          <w:tcPr>
            <w:tcW w:type="dxa" w:w="2592"/>
            <w:tcMar>
              <w:top w:w="60" w:type="dxa"/>
              <w:start w:w="65" w:type="dxa"/>
              <w:bottom w:w="60" w:type="dxa"/>
              <w:end w:w="65" w:type="dxa"/>
            </w:tcMar>
            <w:vAlign w:val="center"/>
          </w:tcPr>
          <w:p>
            <w:pPr>
              <w:jc w:val="left"/>
            </w:pPr>
            <w:r>
              <w:rPr>
                <w:rFonts w:ascii="Arial" w:hAnsi="Arial"/>
                <w:color w:val="000000"/>
                <w:sz w:val="17"/>
              </w:rPr>
              <w:t>(275.000)</w:t>
            </w:r>
          </w:p>
        </w:tc>
      </w:tr>
      <w:tr>
        <w:trPr>
          <w:cantSplit/>
        </w:trPr>
        <w:tc>
          <w:tcPr>
            <w:tcW w:type="dxa" w:w="7488"/>
            <w:tcMar>
              <w:top w:w="60" w:type="dxa"/>
              <w:start w:w="65" w:type="dxa"/>
              <w:bottom w:w="60" w:type="dxa"/>
              <w:end w:w="65" w:type="dxa"/>
            </w:tcMar>
            <w:vAlign w:val="center"/>
            <w:shd w:fill="D9EAF7"/>
          </w:tcPr>
          <w:p>
            <w:pPr>
              <w:jc w:val="left"/>
            </w:pPr>
            <w:r>
              <w:rPr>
                <w:rFonts w:ascii="Arial" w:hAnsi="Arial"/>
                <w:b/>
                <w:color w:val="000000"/>
                <w:sz w:val="17"/>
              </w:rPr>
              <w:t>Adjusted central corporate-tax base</w:t>
            </w:r>
          </w:p>
        </w:tc>
        <w:tc>
          <w:tcPr>
            <w:tcW w:type="dxa" w:w="2592"/>
            <w:tcMar>
              <w:top w:w="60" w:type="dxa"/>
              <w:start w:w="65" w:type="dxa"/>
              <w:bottom w:w="60" w:type="dxa"/>
              <w:end w:w="65" w:type="dxa"/>
            </w:tcMar>
            <w:vAlign w:val="center"/>
            <w:shd w:fill="D9EAF7"/>
          </w:tcPr>
          <w:p>
            <w:pPr>
              <w:jc w:val="left"/>
            </w:pPr>
            <w:r>
              <w:rPr>
                <w:rFonts w:ascii="Arial" w:hAnsi="Arial"/>
                <w:b/>
                <w:color w:val="000000"/>
                <w:sz w:val="17"/>
              </w:rPr>
              <w:t>3,904.160</w:t>
            </w:r>
          </w:p>
        </w:tc>
      </w:tr>
      <w:tr>
        <w:trPr>
          <w:cantSplit/>
        </w:trPr>
        <w:tc>
          <w:tcPr>
            <w:tcW w:type="dxa" w:w="7488"/>
            <w:tcMar>
              <w:top w:w="60" w:type="dxa"/>
              <w:start w:w="65" w:type="dxa"/>
              <w:bottom w:w="60" w:type="dxa"/>
              <w:end w:w="65" w:type="dxa"/>
            </w:tcMar>
            <w:vAlign w:val="center"/>
          </w:tcPr>
          <w:p>
            <w:pPr>
              <w:jc w:val="left"/>
            </w:pPr>
            <w:r>
              <w:rPr>
                <w:rFonts w:ascii="Arial" w:hAnsi="Arial"/>
                <w:color w:val="000000"/>
                <w:sz w:val="17"/>
              </w:rPr>
              <w:t>Active central effective Treasury rate</w:t>
            </w:r>
          </w:p>
        </w:tc>
        <w:tc>
          <w:tcPr>
            <w:tcW w:type="dxa" w:w="2592"/>
            <w:tcMar>
              <w:top w:w="60" w:type="dxa"/>
              <w:start w:w="65" w:type="dxa"/>
              <w:bottom w:w="60" w:type="dxa"/>
              <w:end w:w="65" w:type="dxa"/>
            </w:tcMar>
            <w:vAlign w:val="center"/>
          </w:tcPr>
          <w:p>
            <w:pPr>
              <w:jc w:val="left"/>
            </w:pPr>
            <w:r>
              <w:rPr>
                <w:rFonts w:ascii="Arial" w:hAnsi="Arial"/>
                <w:color w:val="000000"/>
                <w:sz w:val="17"/>
              </w:rPr>
              <w:t>10.0%</w:t>
            </w:r>
          </w:p>
        </w:tc>
      </w:tr>
      <w:tr>
        <w:trPr>
          <w:cantSplit/>
        </w:trPr>
        <w:tc>
          <w:tcPr>
            <w:tcW w:type="dxa" w:w="7488"/>
            <w:tcMar>
              <w:top w:w="60" w:type="dxa"/>
              <w:start w:w="65" w:type="dxa"/>
              <w:bottom w:w="60" w:type="dxa"/>
              <w:end w:w="65" w:type="dxa"/>
            </w:tcMar>
            <w:vAlign w:val="center"/>
            <w:shd w:fill="D9EAF7"/>
          </w:tcPr>
          <w:p>
            <w:pPr>
              <w:jc w:val="left"/>
            </w:pPr>
            <w:r>
              <w:rPr>
                <w:rFonts w:ascii="Arial" w:hAnsi="Arial"/>
                <w:b/>
                <w:color w:val="000000"/>
                <w:sz w:val="17"/>
              </w:rPr>
              <w:t>Corporate income-tax revenue</w:t>
            </w:r>
          </w:p>
        </w:tc>
        <w:tc>
          <w:tcPr>
            <w:tcW w:type="dxa" w:w="2592"/>
            <w:tcMar>
              <w:top w:w="60" w:type="dxa"/>
              <w:start w:w="65" w:type="dxa"/>
              <w:bottom w:w="60" w:type="dxa"/>
              <w:end w:w="65" w:type="dxa"/>
            </w:tcMar>
            <w:vAlign w:val="center"/>
            <w:shd w:fill="D9EAF7"/>
          </w:tcPr>
          <w:p>
            <w:pPr>
              <w:jc w:val="left"/>
            </w:pPr>
            <w:r>
              <w:rPr>
                <w:rFonts w:ascii="Arial" w:hAnsi="Arial"/>
                <w:b/>
                <w:color w:val="000000"/>
                <w:sz w:val="17"/>
              </w:rPr>
              <w:t>390.416</w:t>
            </w:r>
          </w:p>
        </w:tc>
      </w:tr>
    </w:tbl>
    <w:p>
      <w:r>
        <w:rPr>
          <w:rFonts w:ascii="Aptos" w:hAnsi="Aptos"/>
          <w:sz w:val="20"/>
        </w:rPr>
        <w:t>The statutory corporate rate remains 15 percent. The mature funding model retains the established 10 percent effective Treasury rate after active PolicyBook reinvestment, bonus, and productive-deployment provisions.</w:t>
      </w:r>
    </w:p>
    <w:p>
      <w:pPr>
        <w:pStyle w:val="Heading1"/>
      </w:pPr>
      <w:r>
        <w:rPr>
          <w:rFonts w:ascii="Aptos" w:hAnsi="Aptos"/>
          <w:sz w:val="20"/>
        </w:rPr>
        <w:t>5. Outsourcing Penalty</w:t>
      </w:r>
    </w:p>
    <w:p>
      <w:r>
        <w:rPr>
          <w:rFonts w:ascii="Aptos" w:hAnsi="Aptos"/>
          <w:sz w:val="20"/>
        </w:rPr>
        <w:t>PolicyBook v86 applies an absolute 10 percent penalty to companies that outsource more than half of their manufacturing. The statutory test aggregates affiliated companies and controlled contractors over a rolling three-year period. The mature public-data proxy uses 2024 related-party manufacturing imports across NAICS 31 through 33.</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rPr>
          <w:tblHeader w:val="true"/>
          <w:cantSplit/>
        </w:trPr>
        <w:tc>
          <w:tcPr>
            <w:tcW w:type="dxa" w:w="1440"/>
            <w:shd w:fill="1F4E78"/>
            <w:vAlign w:val="center"/>
            <w:tcMar>
              <w:top w:w="60" w:type="dxa"/>
              <w:start w:w="65" w:type="dxa"/>
              <w:bottom w:w="60" w:type="dxa"/>
              <w:end w:w="65" w:type="dxa"/>
            </w:tcMar>
          </w:tcPr>
          <w:p>
            <w:pPr>
              <w:jc w:val="center"/>
            </w:pPr>
            <w:r>
              <w:rPr>
                <w:rFonts w:ascii="Arial" w:hAnsi="Arial"/>
                <w:b/>
                <w:color w:val="FFFFFF"/>
                <w:sz w:val="16"/>
              </w:rPr>
              <w:t>Sector</w:t>
            </w:r>
          </w:p>
        </w:tc>
        <w:tc>
          <w:tcPr>
            <w:tcW w:type="dxa" w:w="4896"/>
            <w:shd w:fill="1F4E78"/>
            <w:vAlign w:val="center"/>
            <w:tcMar>
              <w:top w:w="60" w:type="dxa"/>
              <w:start w:w="65" w:type="dxa"/>
              <w:bottom w:w="60" w:type="dxa"/>
              <w:end w:w="65" w:type="dxa"/>
            </w:tcMar>
          </w:tcPr>
          <w:p>
            <w:pPr>
              <w:jc w:val="center"/>
            </w:pPr>
            <w:r>
              <w:rPr>
                <w:rFonts w:ascii="Arial" w:hAnsi="Arial"/>
                <w:b/>
                <w:color w:val="FFFFFF"/>
                <w:sz w:val="16"/>
              </w:rPr>
              <w:t>Coverage</w:t>
            </w:r>
          </w:p>
        </w:tc>
        <w:tc>
          <w:tcPr>
            <w:tcW w:type="dxa" w:w="1728"/>
            <w:shd w:fill="1F4E78"/>
            <w:vAlign w:val="center"/>
            <w:tcMar>
              <w:top w:w="60" w:type="dxa"/>
              <w:start w:w="65" w:type="dxa"/>
              <w:bottom w:w="60" w:type="dxa"/>
              <w:end w:w="65" w:type="dxa"/>
            </w:tcMar>
          </w:tcPr>
          <w:p>
            <w:pPr>
              <w:jc w:val="center"/>
            </w:pPr>
            <w:r>
              <w:rPr>
                <w:rFonts w:ascii="Arial" w:hAnsi="Arial"/>
                <w:b/>
                <w:color w:val="FFFFFF"/>
                <w:sz w:val="16"/>
              </w:rPr>
              <w:t>Import base ($B)</w:t>
            </w:r>
          </w:p>
        </w:tc>
        <w:tc>
          <w:tcPr>
            <w:tcW w:type="dxa" w:w="1872"/>
            <w:shd w:fill="1F4E78"/>
            <w:vAlign w:val="center"/>
            <w:tcMar>
              <w:top w:w="60" w:type="dxa"/>
              <w:start w:w="65" w:type="dxa"/>
              <w:bottom w:w="60" w:type="dxa"/>
              <w:end w:w="65" w:type="dxa"/>
            </w:tcMar>
          </w:tcPr>
          <w:p>
            <w:pPr>
              <w:jc w:val="center"/>
            </w:pPr>
            <w:r>
              <w:rPr>
                <w:rFonts w:ascii="Arial" w:hAnsi="Arial"/>
                <w:b/>
                <w:color w:val="FFFFFF"/>
                <w:sz w:val="16"/>
              </w:rPr>
              <w:t>10% revenue ($B)</w:t>
            </w:r>
          </w:p>
        </w:tc>
      </w:tr>
      <w:tr>
        <w:trPr>
          <w:cantSplit/>
        </w:trPr>
        <w:tc>
          <w:tcPr>
            <w:tcW w:type="dxa" w:w="1440"/>
            <w:tcMar>
              <w:top w:w="60" w:type="dxa"/>
              <w:start w:w="65" w:type="dxa"/>
              <w:bottom w:w="60" w:type="dxa"/>
              <w:end w:w="65" w:type="dxa"/>
            </w:tcMar>
            <w:vAlign w:val="center"/>
          </w:tcPr>
          <w:p>
            <w:pPr>
              <w:jc w:val="left"/>
            </w:pPr>
            <w:r>
              <w:rPr>
                <w:rFonts w:ascii="Arial" w:hAnsi="Arial"/>
                <w:color w:val="000000"/>
                <w:sz w:val="16"/>
              </w:rPr>
              <w:t>NAICS 31</w:t>
            </w:r>
          </w:p>
        </w:tc>
        <w:tc>
          <w:tcPr>
            <w:tcW w:type="dxa" w:w="4896"/>
            <w:tcMar>
              <w:top w:w="60" w:type="dxa"/>
              <w:start w:w="65" w:type="dxa"/>
              <w:bottom w:w="60" w:type="dxa"/>
              <w:end w:w="65" w:type="dxa"/>
            </w:tcMar>
            <w:vAlign w:val="center"/>
          </w:tcPr>
          <w:p>
            <w:pPr>
              <w:jc w:val="left"/>
            </w:pPr>
            <w:r>
              <w:rPr>
                <w:rFonts w:ascii="Arial" w:hAnsi="Arial"/>
                <w:color w:val="000000"/>
                <w:sz w:val="16"/>
              </w:rPr>
              <w:t>Food, textiles, apparel, leather</w:t>
            </w:r>
          </w:p>
        </w:tc>
        <w:tc>
          <w:tcPr>
            <w:tcW w:type="dxa" w:w="1728"/>
            <w:tcMar>
              <w:top w:w="60" w:type="dxa"/>
              <w:start w:w="65" w:type="dxa"/>
              <w:bottom w:w="60" w:type="dxa"/>
              <w:end w:w="65" w:type="dxa"/>
            </w:tcMar>
            <w:vAlign w:val="center"/>
          </w:tcPr>
          <w:p>
            <w:pPr>
              <w:jc w:val="left"/>
            </w:pPr>
            <w:r>
              <w:rPr>
                <w:rFonts w:ascii="Arial" w:hAnsi="Arial"/>
                <w:color w:val="000000"/>
                <w:sz w:val="16"/>
              </w:rPr>
              <w:t>69.875</w:t>
            </w:r>
          </w:p>
        </w:tc>
        <w:tc>
          <w:tcPr>
            <w:tcW w:type="dxa" w:w="1872"/>
            <w:tcMar>
              <w:top w:w="60" w:type="dxa"/>
              <w:start w:w="65" w:type="dxa"/>
              <w:bottom w:w="60" w:type="dxa"/>
              <w:end w:w="65" w:type="dxa"/>
            </w:tcMar>
            <w:vAlign w:val="center"/>
          </w:tcPr>
          <w:p>
            <w:pPr>
              <w:jc w:val="left"/>
            </w:pPr>
            <w:r>
              <w:rPr>
                <w:rFonts w:ascii="Arial" w:hAnsi="Arial"/>
                <w:color w:val="000000"/>
                <w:sz w:val="16"/>
              </w:rPr>
              <w:t>6.987</w:t>
            </w:r>
          </w:p>
        </w:tc>
      </w:tr>
      <w:tr>
        <w:trPr>
          <w:cantSplit/>
        </w:trPr>
        <w:tc>
          <w:tcPr>
            <w:tcW w:type="dxa" w:w="1440"/>
            <w:tcMar>
              <w:top w:w="60" w:type="dxa"/>
              <w:start w:w="65" w:type="dxa"/>
              <w:bottom w:w="60" w:type="dxa"/>
              <w:end w:w="65" w:type="dxa"/>
            </w:tcMar>
            <w:vAlign w:val="center"/>
          </w:tcPr>
          <w:p>
            <w:pPr>
              <w:jc w:val="left"/>
            </w:pPr>
            <w:r>
              <w:rPr>
                <w:rFonts w:ascii="Arial" w:hAnsi="Arial"/>
                <w:color w:val="000000"/>
                <w:sz w:val="16"/>
              </w:rPr>
              <w:t>NAICS 32</w:t>
            </w:r>
          </w:p>
        </w:tc>
        <w:tc>
          <w:tcPr>
            <w:tcW w:type="dxa" w:w="4896"/>
            <w:tcMar>
              <w:top w:w="60" w:type="dxa"/>
              <w:start w:w="65" w:type="dxa"/>
              <w:bottom w:w="60" w:type="dxa"/>
              <w:end w:w="65" w:type="dxa"/>
            </w:tcMar>
            <w:vAlign w:val="center"/>
          </w:tcPr>
          <w:p>
            <w:pPr>
              <w:jc w:val="left"/>
            </w:pPr>
            <w:r>
              <w:rPr>
                <w:rFonts w:ascii="Arial" w:hAnsi="Arial"/>
                <w:color w:val="000000"/>
                <w:sz w:val="16"/>
              </w:rPr>
              <w:t>Chemicals, petroleum, plastics, nonmetallic minerals</w:t>
            </w:r>
          </w:p>
        </w:tc>
        <w:tc>
          <w:tcPr>
            <w:tcW w:type="dxa" w:w="1728"/>
            <w:tcMar>
              <w:top w:w="60" w:type="dxa"/>
              <w:start w:w="65" w:type="dxa"/>
              <w:bottom w:w="60" w:type="dxa"/>
              <w:end w:w="65" w:type="dxa"/>
            </w:tcMar>
            <w:vAlign w:val="center"/>
          </w:tcPr>
          <w:p>
            <w:pPr>
              <w:jc w:val="left"/>
            </w:pPr>
            <w:r>
              <w:rPr>
                <w:rFonts w:ascii="Arial" w:hAnsi="Arial"/>
                <w:color w:val="000000"/>
                <w:sz w:val="16"/>
              </w:rPr>
              <w:t>373.571</w:t>
            </w:r>
          </w:p>
        </w:tc>
        <w:tc>
          <w:tcPr>
            <w:tcW w:type="dxa" w:w="1872"/>
            <w:tcMar>
              <w:top w:w="60" w:type="dxa"/>
              <w:start w:w="65" w:type="dxa"/>
              <w:bottom w:w="60" w:type="dxa"/>
              <w:end w:w="65" w:type="dxa"/>
            </w:tcMar>
            <w:vAlign w:val="center"/>
          </w:tcPr>
          <w:p>
            <w:pPr>
              <w:jc w:val="left"/>
            </w:pPr>
            <w:r>
              <w:rPr>
                <w:rFonts w:ascii="Arial" w:hAnsi="Arial"/>
                <w:color w:val="000000"/>
                <w:sz w:val="16"/>
              </w:rPr>
              <w:t>37.357</w:t>
            </w:r>
          </w:p>
        </w:tc>
      </w:tr>
      <w:tr>
        <w:trPr>
          <w:cantSplit/>
        </w:trPr>
        <w:tc>
          <w:tcPr>
            <w:tcW w:type="dxa" w:w="1440"/>
            <w:tcMar>
              <w:top w:w="60" w:type="dxa"/>
              <w:start w:w="65" w:type="dxa"/>
              <w:bottom w:w="60" w:type="dxa"/>
              <w:end w:w="65" w:type="dxa"/>
            </w:tcMar>
            <w:vAlign w:val="center"/>
          </w:tcPr>
          <w:p>
            <w:pPr>
              <w:jc w:val="left"/>
            </w:pPr>
            <w:r>
              <w:rPr>
                <w:rFonts w:ascii="Arial" w:hAnsi="Arial"/>
                <w:color w:val="000000"/>
                <w:sz w:val="16"/>
              </w:rPr>
              <w:t>NAICS 33</w:t>
            </w:r>
          </w:p>
        </w:tc>
        <w:tc>
          <w:tcPr>
            <w:tcW w:type="dxa" w:w="4896"/>
            <w:tcMar>
              <w:top w:w="60" w:type="dxa"/>
              <w:start w:w="65" w:type="dxa"/>
              <w:bottom w:w="60" w:type="dxa"/>
              <w:end w:w="65" w:type="dxa"/>
            </w:tcMar>
            <w:vAlign w:val="center"/>
          </w:tcPr>
          <w:p>
            <w:pPr>
              <w:jc w:val="left"/>
            </w:pPr>
            <w:r>
              <w:rPr>
                <w:rFonts w:ascii="Arial" w:hAnsi="Arial"/>
                <w:color w:val="000000"/>
                <w:sz w:val="16"/>
              </w:rPr>
              <w:t>Metals, machinery, computers, transportation equipment</w:t>
            </w:r>
          </w:p>
        </w:tc>
        <w:tc>
          <w:tcPr>
            <w:tcW w:type="dxa" w:w="1728"/>
            <w:tcMar>
              <w:top w:w="60" w:type="dxa"/>
              <w:start w:w="65" w:type="dxa"/>
              <w:bottom w:w="60" w:type="dxa"/>
              <w:end w:w="65" w:type="dxa"/>
            </w:tcMar>
            <w:vAlign w:val="center"/>
          </w:tcPr>
          <w:p>
            <w:pPr>
              <w:jc w:val="left"/>
            </w:pPr>
            <w:r>
              <w:rPr>
                <w:rFonts w:ascii="Arial" w:hAnsi="Arial"/>
                <w:color w:val="000000"/>
                <w:sz w:val="16"/>
              </w:rPr>
              <w:t>985.756</w:t>
            </w:r>
          </w:p>
        </w:tc>
        <w:tc>
          <w:tcPr>
            <w:tcW w:type="dxa" w:w="1872"/>
            <w:tcMar>
              <w:top w:w="60" w:type="dxa"/>
              <w:start w:w="65" w:type="dxa"/>
              <w:bottom w:w="60" w:type="dxa"/>
              <w:end w:w="65" w:type="dxa"/>
            </w:tcMar>
            <w:vAlign w:val="center"/>
          </w:tcPr>
          <w:p>
            <w:pPr>
              <w:jc w:val="left"/>
            </w:pPr>
            <w:r>
              <w:rPr>
                <w:rFonts w:ascii="Arial" w:hAnsi="Arial"/>
                <w:color w:val="000000"/>
                <w:sz w:val="16"/>
              </w:rPr>
              <w:t>98.576</w:t>
            </w:r>
          </w:p>
        </w:tc>
      </w:tr>
      <w:tr>
        <w:trPr>
          <w:cantSplit/>
        </w:trPr>
        <w:tc>
          <w:tcPr>
            <w:tcW w:type="dxa" w:w="1440"/>
            <w:tcMar>
              <w:top w:w="60" w:type="dxa"/>
              <w:start w:w="65" w:type="dxa"/>
              <w:bottom w:w="60" w:type="dxa"/>
              <w:end w:w="65" w:type="dxa"/>
            </w:tcMar>
            <w:vAlign w:val="center"/>
            <w:shd w:fill="D9EAF7"/>
          </w:tcPr>
          <w:p>
            <w:pPr>
              <w:jc w:val="left"/>
            </w:pPr>
            <w:r>
              <w:rPr>
                <w:rFonts w:ascii="Arial" w:hAnsi="Arial"/>
                <w:b/>
                <w:color w:val="000000"/>
                <w:sz w:val="16"/>
              </w:rPr>
              <w:t>TOTAL</w:t>
            </w:r>
          </w:p>
        </w:tc>
        <w:tc>
          <w:tcPr>
            <w:tcW w:type="dxa" w:w="4896"/>
            <w:tcMar>
              <w:top w:w="60" w:type="dxa"/>
              <w:start w:w="65" w:type="dxa"/>
              <w:bottom w:w="60" w:type="dxa"/>
              <w:end w:w="65" w:type="dxa"/>
            </w:tcMar>
            <w:vAlign w:val="center"/>
            <w:shd w:fill="D9EAF7"/>
          </w:tcPr>
          <w:p>
            <w:pPr>
              <w:jc w:val="left"/>
            </w:pPr>
            <w:r>
              <w:rPr>
                <w:rFonts w:ascii="Arial" w:hAnsi="Arial"/>
                <w:b/>
                <w:color w:val="000000"/>
                <w:sz w:val="16"/>
              </w:rPr>
              <w:t>Related-party manufacturing imports</w:t>
            </w:r>
          </w:p>
        </w:tc>
        <w:tc>
          <w:tcPr>
            <w:tcW w:type="dxa" w:w="1728"/>
            <w:tcMar>
              <w:top w:w="60" w:type="dxa"/>
              <w:start w:w="65" w:type="dxa"/>
              <w:bottom w:w="60" w:type="dxa"/>
              <w:end w:w="65" w:type="dxa"/>
            </w:tcMar>
            <w:vAlign w:val="center"/>
            <w:shd w:fill="D9EAF7"/>
          </w:tcPr>
          <w:p>
            <w:pPr>
              <w:jc w:val="left"/>
            </w:pPr>
            <w:r>
              <w:rPr>
                <w:rFonts w:ascii="Arial" w:hAnsi="Arial"/>
                <w:b/>
                <w:color w:val="000000"/>
                <w:sz w:val="16"/>
              </w:rPr>
              <w:t>1,429.202</w:t>
            </w:r>
          </w:p>
        </w:tc>
        <w:tc>
          <w:tcPr>
            <w:tcW w:type="dxa" w:w="1872"/>
            <w:tcMar>
              <w:top w:w="60" w:type="dxa"/>
              <w:start w:w="65" w:type="dxa"/>
              <w:bottom w:w="60" w:type="dxa"/>
              <w:end w:w="65" w:type="dxa"/>
            </w:tcMar>
            <w:vAlign w:val="center"/>
            <w:shd w:fill="D9EAF7"/>
          </w:tcPr>
          <w:p>
            <w:pPr>
              <w:jc w:val="left"/>
            </w:pPr>
            <w:r>
              <w:rPr>
                <w:rFonts w:ascii="Arial" w:hAnsi="Arial"/>
                <w:b/>
                <w:color w:val="000000"/>
                <w:sz w:val="16"/>
              </w:rPr>
              <w:t>142.920</w:t>
            </w:r>
          </w:p>
        </w:tc>
      </w:tr>
    </w:tbl>
    <w:p>
      <w:r>
        <w:rPr>
          <w:rFonts w:ascii="Aptos" w:hAnsi="Aptos"/>
          <w:sz w:val="20"/>
        </w:rPr>
        <w:t>Firm-level customs reporting will replace the proxy after implementation. Until then, the active proxy captures affiliated imports while acknowledging that some firms may fall below the 50 percent threshold and some unaffiliated contract manufacturing remains outside public related-party data.</w:t>
      </w:r>
    </w:p>
    <w:p>
      <w:pPr>
        <w:pStyle w:val="Heading1"/>
      </w:pPr>
      <w:r>
        <w:rPr>
          <w:rFonts w:ascii="Aptos" w:hAnsi="Aptos"/>
          <w:sz w:val="20"/>
        </w:rPr>
        <w:t>6. Fair Profit Tax Original Market Study</w:t>
      </w:r>
    </w:p>
    <w:p>
      <w:r>
        <w:rPr>
          <w:rFonts w:ascii="Aptos" w:hAnsi="Aptos"/>
          <w:sz w:val="20"/>
        </w:rPr>
        <w:t>The Fair Profit Tax applies to mass-produced physical products priced above $100 when retail price exceeds ten times the fully loaded unit cost of materials, labor, and amortized research and development. Art, boutique work, custom craft production, software, and SaaS remain excluded.</w:t>
      </w:r>
    </w:p>
    <w:p>
      <w:r>
        <w:rPr>
          <w:rFonts w:ascii="Aptos" w:hAnsi="Aptos"/>
          <w:sz w:val="20"/>
        </w:rPr>
        <w:t>The PolicyBook calculator imposes 0.5 percentage point for each completed multiple above 10x, capped at 50 percent. A 12x product therefore carries a 1 percent surtax on sales, a 20x product carries 5 percent, and a 110x product reaches the 50 percent cap.</w:t>
      </w:r>
    </w:p>
    <w:tbl>
      <w:tblPr>
        <w:tblStyle w:val="TableGrid"/>
        <w:tblW w:type="auto" w:w="0"/>
        <w:jc w:val="center"/>
        <w:tblLayout w:type="fixed"/>
        <w:tblLook w:firstColumn="1" w:firstRow="1" w:lastColumn="0" w:lastRow="0" w:noHBand="0" w:noVBand="1" w:val="04A0"/>
      </w:tblPr>
      <w:tblGrid>
        <w:gridCol w:w="1314"/>
        <w:gridCol w:w="1314"/>
        <w:gridCol w:w="1314"/>
        <w:gridCol w:w="1314"/>
        <w:gridCol w:w="1314"/>
        <w:gridCol w:w="1314"/>
        <w:gridCol w:w="1314"/>
        <w:gridCol w:w="1314"/>
      </w:tblGrid>
      <w:tr>
        <w:trPr>
          <w:tblHeader w:val="true"/>
          <w:cantSplit/>
        </w:trPr>
        <w:tc>
          <w:tcPr>
            <w:tcW w:type="dxa" w:w="2620"/>
            <w:shd w:fill="1F4E78"/>
            <w:vAlign w:val="center"/>
            <w:tcMar>
              <w:top w:w="60" w:type="dxa"/>
              <w:start w:w="65" w:type="dxa"/>
              <w:bottom w:w="60" w:type="dxa"/>
              <w:end w:w="65" w:type="dxa"/>
            </w:tcMar>
          </w:tcPr>
          <w:p>
            <w:pPr>
              <w:jc w:val="center"/>
            </w:pPr>
            <w:r>
              <w:rPr>
                <w:rFonts w:ascii="Arial" w:hAnsi="Arial"/>
                <w:b/>
                <w:color w:val="FFFFFF"/>
                <w:sz w:val="13"/>
              </w:rPr>
              <w:t>Category</w:t>
            </w:r>
          </w:p>
        </w:tc>
        <w:tc>
          <w:tcPr>
            <w:tcW w:type="dxa" w:w="1080"/>
            <w:shd w:fill="1F4E78"/>
            <w:vAlign w:val="center"/>
            <w:tcMar>
              <w:top w:w="60" w:type="dxa"/>
              <w:start w:w="65" w:type="dxa"/>
              <w:bottom w:w="60" w:type="dxa"/>
              <w:end w:w="65" w:type="dxa"/>
            </w:tcMar>
          </w:tcPr>
          <w:p>
            <w:pPr>
              <w:jc w:val="center"/>
            </w:pPr>
            <w:r>
              <w:rPr>
                <w:rFonts w:ascii="Arial" w:hAnsi="Arial"/>
                <w:b/>
                <w:color w:val="FFFFFF"/>
                <w:sz w:val="13"/>
              </w:rPr>
              <w:t>Sales ($B)</w:t>
            </w:r>
          </w:p>
        </w:tc>
        <w:tc>
          <w:tcPr>
            <w:tcW w:type="dxa" w:w="835"/>
            <w:shd w:fill="1F4E78"/>
            <w:vAlign w:val="center"/>
            <w:tcMar>
              <w:top w:w="60" w:type="dxa"/>
              <w:start w:w="65" w:type="dxa"/>
              <w:bottom w:w="60" w:type="dxa"/>
              <w:end w:w="65" w:type="dxa"/>
            </w:tcMar>
          </w:tcPr>
          <w:p>
            <w:pPr>
              <w:jc w:val="center"/>
            </w:pPr>
            <w:r>
              <w:rPr>
                <w:rFonts w:ascii="Arial" w:hAnsi="Arial"/>
                <w:b/>
                <w:color w:val="FFFFFF"/>
                <w:sz w:val="13"/>
              </w:rPr>
              <w:t>Mass</w:t>
            </w:r>
          </w:p>
        </w:tc>
        <w:tc>
          <w:tcPr>
            <w:tcW w:type="dxa" w:w="835"/>
            <w:shd w:fill="1F4E78"/>
            <w:vAlign w:val="center"/>
            <w:tcMar>
              <w:top w:w="60" w:type="dxa"/>
              <w:start w:w="65" w:type="dxa"/>
              <w:bottom w:w="60" w:type="dxa"/>
              <w:end w:w="65" w:type="dxa"/>
            </w:tcMar>
          </w:tcPr>
          <w:p>
            <w:pPr>
              <w:jc w:val="center"/>
            </w:pPr>
            <w:r>
              <w:rPr>
                <w:rFonts w:ascii="Arial" w:hAnsi="Arial"/>
                <w:b/>
                <w:color w:val="FFFFFF"/>
                <w:sz w:val="13"/>
              </w:rPr>
              <w:t>&gt;$100</w:t>
            </w:r>
          </w:p>
        </w:tc>
        <w:tc>
          <w:tcPr>
            <w:tcW w:type="dxa" w:w="835"/>
            <w:shd w:fill="1F4E78"/>
            <w:vAlign w:val="center"/>
            <w:tcMar>
              <w:top w:w="60" w:type="dxa"/>
              <w:start w:w="65" w:type="dxa"/>
              <w:bottom w:w="60" w:type="dxa"/>
              <w:end w:w="65" w:type="dxa"/>
            </w:tcMar>
          </w:tcPr>
          <w:p>
            <w:pPr>
              <w:jc w:val="center"/>
            </w:pPr>
            <w:r>
              <w:rPr>
                <w:rFonts w:ascii="Arial" w:hAnsi="Arial"/>
                <w:b/>
                <w:color w:val="FFFFFF"/>
                <w:sz w:val="13"/>
              </w:rPr>
              <w:t>&gt;10x</w:t>
            </w:r>
          </w:p>
        </w:tc>
        <w:tc>
          <w:tcPr>
            <w:tcW w:type="dxa" w:w="792"/>
            <w:shd w:fill="1F4E78"/>
            <w:vAlign w:val="center"/>
            <w:tcMar>
              <w:top w:w="60" w:type="dxa"/>
              <w:start w:w="65" w:type="dxa"/>
              <w:bottom w:w="60" w:type="dxa"/>
              <w:end w:w="65" w:type="dxa"/>
            </w:tcMar>
          </w:tcPr>
          <w:p>
            <w:pPr>
              <w:jc w:val="center"/>
            </w:pPr>
            <w:r>
              <w:rPr>
                <w:rFonts w:ascii="Arial" w:hAnsi="Arial"/>
                <w:b/>
                <w:color w:val="FFFFFF"/>
                <w:sz w:val="13"/>
              </w:rPr>
              <w:t>Avg x</w:t>
            </w:r>
          </w:p>
        </w:tc>
        <w:tc>
          <w:tcPr>
            <w:tcW w:type="dxa" w:w="835"/>
            <w:shd w:fill="1F4E78"/>
            <w:vAlign w:val="center"/>
            <w:tcMar>
              <w:top w:w="60" w:type="dxa"/>
              <w:start w:w="65" w:type="dxa"/>
              <w:bottom w:w="60" w:type="dxa"/>
              <w:end w:w="65" w:type="dxa"/>
            </w:tcMar>
          </w:tcPr>
          <w:p>
            <w:pPr>
              <w:jc w:val="center"/>
            </w:pPr>
            <w:r>
              <w:rPr>
                <w:rFonts w:ascii="Arial" w:hAnsi="Arial"/>
                <w:b/>
                <w:color w:val="FFFFFF"/>
                <w:sz w:val="13"/>
              </w:rPr>
              <w:t>Rate</w:t>
            </w:r>
          </w:p>
        </w:tc>
        <w:tc>
          <w:tcPr>
            <w:tcW w:type="dxa" w:w="1224"/>
            <w:shd w:fill="1F4E78"/>
            <w:vAlign w:val="center"/>
            <w:tcMar>
              <w:top w:w="60" w:type="dxa"/>
              <w:start w:w="65" w:type="dxa"/>
              <w:bottom w:w="60" w:type="dxa"/>
              <w:end w:w="65" w:type="dxa"/>
            </w:tcMar>
          </w:tcPr>
          <w:p>
            <w:pPr>
              <w:jc w:val="center"/>
            </w:pPr>
            <w:r>
              <w:rPr>
                <w:rFonts w:ascii="Arial" w:hAnsi="Arial"/>
                <w:b/>
                <w:color w:val="FFFFFF"/>
                <w:sz w:val="13"/>
              </w:rPr>
              <w:t>Revenue ($B)</w:t>
            </w:r>
          </w:p>
        </w:tc>
      </w:tr>
      <w:tr>
        <w:trPr>
          <w:cantSplit/>
        </w:trPr>
        <w:tc>
          <w:tcPr>
            <w:tcW w:type="dxa" w:w="2620"/>
            <w:tcMar>
              <w:top w:w="60" w:type="dxa"/>
              <w:start w:w="65" w:type="dxa"/>
              <w:bottom w:w="60" w:type="dxa"/>
              <w:end w:w="65" w:type="dxa"/>
            </w:tcMar>
            <w:vAlign w:val="center"/>
          </w:tcPr>
          <w:p>
            <w:pPr>
              <w:jc w:val="left"/>
            </w:pPr>
            <w:r>
              <w:rPr>
                <w:rFonts w:ascii="Arial" w:hAnsi="Arial"/>
                <w:color w:val="000000"/>
                <w:sz w:val="13"/>
              </w:rPr>
              <w:t>Prescription drugs</w:t>
            </w:r>
          </w:p>
        </w:tc>
        <w:tc>
          <w:tcPr>
            <w:tcW w:type="dxa" w:w="1080"/>
            <w:tcMar>
              <w:top w:w="60" w:type="dxa"/>
              <w:start w:w="65" w:type="dxa"/>
              <w:bottom w:w="60" w:type="dxa"/>
              <w:end w:w="65" w:type="dxa"/>
            </w:tcMar>
            <w:vAlign w:val="center"/>
          </w:tcPr>
          <w:p>
            <w:pPr>
              <w:jc w:val="left"/>
            </w:pPr>
            <w:r>
              <w:rPr>
                <w:rFonts w:ascii="Arial" w:hAnsi="Arial"/>
                <w:color w:val="000000"/>
                <w:sz w:val="13"/>
              </w:rPr>
              <w:t>467.000</w:t>
            </w:r>
          </w:p>
        </w:tc>
        <w:tc>
          <w:tcPr>
            <w:tcW w:type="dxa" w:w="835"/>
            <w:tcMar>
              <w:top w:w="60" w:type="dxa"/>
              <w:start w:w="65" w:type="dxa"/>
              <w:bottom w:w="60" w:type="dxa"/>
              <w:end w:w="65" w:type="dxa"/>
            </w:tcMar>
            <w:vAlign w:val="center"/>
          </w:tcPr>
          <w:p>
            <w:pPr>
              <w:jc w:val="left"/>
            </w:pPr>
            <w:r>
              <w:rPr>
                <w:rFonts w:ascii="Arial" w:hAnsi="Arial"/>
                <w:color w:val="000000"/>
                <w:sz w:val="13"/>
              </w:rPr>
              <w:t>100%</w:t>
            </w:r>
          </w:p>
        </w:tc>
        <w:tc>
          <w:tcPr>
            <w:tcW w:type="dxa" w:w="835"/>
            <w:tcMar>
              <w:top w:w="60" w:type="dxa"/>
              <w:start w:w="65" w:type="dxa"/>
              <w:bottom w:w="60" w:type="dxa"/>
              <w:end w:w="65" w:type="dxa"/>
            </w:tcMar>
            <w:vAlign w:val="center"/>
          </w:tcPr>
          <w:p>
            <w:pPr>
              <w:jc w:val="left"/>
            </w:pPr>
            <w:r>
              <w:rPr>
                <w:rFonts w:ascii="Arial" w:hAnsi="Arial"/>
                <w:color w:val="000000"/>
                <w:sz w:val="13"/>
              </w:rPr>
              <w:t>75%</w:t>
            </w:r>
          </w:p>
        </w:tc>
        <w:tc>
          <w:tcPr>
            <w:tcW w:type="dxa" w:w="835"/>
            <w:tcMar>
              <w:top w:w="60" w:type="dxa"/>
              <w:start w:w="65" w:type="dxa"/>
              <w:bottom w:w="60" w:type="dxa"/>
              <w:end w:w="65" w:type="dxa"/>
            </w:tcMar>
            <w:vAlign w:val="center"/>
          </w:tcPr>
          <w:p>
            <w:pPr>
              <w:jc w:val="left"/>
            </w:pPr>
            <w:r>
              <w:rPr>
                <w:rFonts w:ascii="Arial" w:hAnsi="Arial"/>
                <w:color w:val="000000"/>
                <w:sz w:val="13"/>
              </w:rPr>
              <w:t>18%</w:t>
            </w:r>
          </w:p>
        </w:tc>
        <w:tc>
          <w:tcPr>
            <w:tcW w:type="dxa" w:w="792"/>
            <w:tcMar>
              <w:top w:w="60" w:type="dxa"/>
              <w:start w:w="65" w:type="dxa"/>
              <w:bottom w:w="60" w:type="dxa"/>
              <w:end w:w="65" w:type="dxa"/>
            </w:tcMar>
            <w:vAlign w:val="center"/>
          </w:tcPr>
          <w:p>
            <w:pPr>
              <w:jc w:val="left"/>
            </w:pPr>
            <w:r>
              <w:rPr>
                <w:rFonts w:ascii="Arial" w:hAnsi="Arial"/>
                <w:color w:val="000000"/>
                <w:sz w:val="13"/>
              </w:rPr>
              <w:t>18x</w:t>
            </w:r>
          </w:p>
        </w:tc>
        <w:tc>
          <w:tcPr>
            <w:tcW w:type="dxa" w:w="835"/>
            <w:tcMar>
              <w:top w:w="60" w:type="dxa"/>
              <w:start w:w="65" w:type="dxa"/>
              <w:bottom w:w="60" w:type="dxa"/>
              <w:end w:w="65" w:type="dxa"/>
            </w:tcMar>
            <w:vAlign w:val="center"/>
          </w:tcPr>
          <w:p>
            <w:pPr>
              <w:jc w:val="left"/>
            </w:pPr>
            <w:r>
              <w:rPr>
                <w:rFonts w:ascii="Arial" w:hAnsi="Arial"/>
                <w:color w:val="000000"/>
                <w:sz w:val="13"/>
              </w:rPr>
              <w:t>4.0%</w:t>
            </w:r>
          </w:p>
        </w:tc>
        <w:tc>
          <w:tcPr>
            <w:tcW w:type="dxa" w:w="1224"/>
            <w:tcMar>
              <w:top w:w="60" w:type="dxa"/>
              <w:start w:w="65" w:type="dxa"/>
              <w:bottom w:w="60" w:type="dxa"/>
              <w:end w:w="65" w:type="dxa"/>
            </w:tcMar>
            <w:vAlign w:val="center"/>
          </w:tcPr>
          <w:p>
            <w:pPr>
              <w:jc w:val="left"/>
            </w:pPr>
            <w:r>
              <w:rPr>
                <w:rFonts w:ascii="Arial" w:hAnsi="Arial"/>
                <w:color w:val="000000"/>
                <w:sz w:val="13"/>
              </w:rPr>
              <w:t>2.522</w:t>
            </w:r>
          </w:p>
        </w:tc>
      </w:tr>
      <w:tr>
        <w:trPr>
          <w:cantSplit/>
        </w:trPr>
        <w:tc>
          <w:tcPr>
            <w:tcW w:type="dxa" w:w="2620"/>
            <w:tcMar>
              <w:top w:w="60" w:type="dxa"/>
              <w:start w:w="65" w:type="dxa"/>
              <w:bottom w:w="60" w:type="dxa"/>
              <w:end w:w="65" w:type="dxa"/>
            </w:tcMar>
            <w:vAlign w:val="center"/>
          </w:tcPr>
          <w:p>
            <w:pPr>
              <w:jc w:val="left"/>
            </w:pPr>
            <w:r>
              <w:rPr>
                <w:rFonts w:ascii="Arial" w:hAnsi="Arial"/>
                <w:color w:val="000000"/>
                <w:sz w:val="13"/>
              </w:rPr>
              <w:t>Other health and medical goods</w:t>
            </w:r>
          </w:p>
        </w:tc>
        <w:tc>
          <w:tcPr>
            <w:tcW w:type="dxa" w:w="1080"/>
            <w:tcMar>
              <w:top w:w="60" w:type="dxa"/>
              <w:start w:w="65" w:type="dxa"/>
              <w:bottom w:w="60" w:type="dxa"/>
              <w:end w:w="65" w:type="dxa"/>
            </w:tcMar>
            <w:vAlign w:val="center"/>
          </w:tcPr>
          <w:p>
            <w:pPr>
              <w:jc w:val="left"/>
            </w:pPr>
            <w:r>
              <w:rPr>
                <w:rFonts w:ascii="Arial" w:hAnsi="Arial"/>
                <w:color w:val="000000"/>
                <w:sz w:val="13"/>
              </w:rPr>
              <w:t>65.989</w:t>
            </w:r>
          </w:p>
        </w:tc>
        <w:tc>
          <w:tcPr>
            <w:tcW w:type="dxa" w:w="835"/>
            <w:tcMar>
              <w:top w:w="60" w:type="dxa"/>
              <w:start w:w="65" w:type="dxa"/>
              <w:bottom w:w="60" w:type="dxa"/>
              <w:end w:w="65" w:type="dxa"/>
            </w:tcMar>
            <w:vAlign w:val="center"/>
          </w:tcPr>
          <w:p>
            <w:pPr>
              <w:jc w:val="left"/>
            </w:pPr>
            <w:r>
              <w:rPr>
                <w:rFonts w:ascii="Arial" w:hAnsi="Arial"/>
                <w:color w:val="000000"/>
                <w:sz w:val="13"/>
              </w:rPr>
              <w:t>90%</w:t>
            </w:r>
          </w:p>
        </w:tc>
        <w:tc>
          <w:tcPr>
            <w:tcW w:type="dxa" w:w="835"/>
            <w:tcMar>
              <w:top w:w="60" w:type="dxa"/>
              <w:start w:w="65" w:type="dxa"/>
              <w:bottom w:w="60" w:type="dxa"/>
              <w:end w:w="65" w:type="dxa"/>
            </w:tcMar>
            <w:vAlign w:val="center"/>
          </w:tcPr>
          <w:p>
            <w:pPr>
              <w:jc w:val="left"/>
            </w:pPr>
            <w:r>
              <w:rPr>
                <w:rFonts w:ascii="Arial" w:hAnsi="Arial"/>
                <w:color w:val="000000"/>
                <w:sz w:val="13"/>
              </w:rPr>
              <w:t>35%</w:t>
            </w:r>
          </w:p>
        </w:tc>
        <w:tc>
          <w:tcPr>
            <w:tcW w:type="dxa" w:w="835"/>
            <w:tcMar>
              <w:top w:w="60" w:type="dxa"/>
              <w:start w:w="65" w:type="dxa"/>
              <w:bottom w:w="60" w:type="dxa"/>
              <w:end w:w="65" w:type="dxa"/>
            </w:tcMar>
            <w:vAlign w:val="center"/>
          </w:tcPr>
          <w:p>
            <w:pPr>
              <w:jc w:val="left"/>
            </w:pPr>
            <w:r>
              <w:rPr>
                <w:rFonts w:ascii="Arial" w:hAnsi="Arial"/>
                <w:color w:val="000000"/>
                <w:sz w:val="13"/>
              </w:rPr>
              <w:t>12%</w:t>
            </w:r>
          </w:p>
        </w:tc>
        <w:tc>
          <w:tcPr>
            <w:tcW w:type="dxa" w:w="792"/>
            <w:tcMar>
              <w:top w:w="60" w:type="dxa"/>
              <w:start w:w="65" w:type="dxa"/>
              <w:bottom w:w="60" w:type="dxa"/>
              <w:end w:w="65" w:type="dxa"/>
            </w:tcMar>
            <w:vAlign w:val="center"/>
          </w:tcPr>
          <w:p>
            <w:pPr>
              <w:jc w:val="left"/>
            </w:pPr>
            <w:r>
              <w:rPr>
                <w:rFonts w:ascii="Arial" w:hAnsi="Arial"/>
                <w:color w:val="000000"/>
                <w:sz w:val="13"/>
              </w:rPr>
              <w:t>16x</w:t>
            </w:r>
          </w:p>
        </w:tc>
        <w:tc>
          <w:tcPr>
            <w:tcW w:type="dxa" w:w="835"/>
            <w:tcMar>
              <w:top w:w="60" w:type="dxa"/>
              <w:start w:w="65" w:type="dxa"/>
              <w:bottom w:w="60" w:type="dxa"/>
              <w:end w:w="65" w:type="dxa"/>
            </w:tcMar>
            <w:vAlign w:val="center"/>
          </w:tcPr>
          <w:p>
            <w:pPr>
              <w:jc w:val="left"/>
            </w:pPr>
            <w:r>
              <w:rPr>
                <w:rFonts w:ascii="Arial" w:hAnsi="Arial"/>
                <w:color w:val="000000"/>
                <w:sz w:val="13"/>
              </w:rPr>
              <w:t>3.0%</w:t>
            </w:r>
          </w:p>
        </w:tc>
        <w:tc>
          <w:tcPr>
            <w:tcW w:type="dxa" w:w="1224"/>
            <w:tcMar>
              <w:top w:w="60" w:type="dxa"/>
              <w:start w:w="65" w:type="dxa"/>
              <w:bottom w:w="60" w:type="dxa"/>
              <w:end w:w="65" w:type="dxa"/>
            </w:tcMar>
            <w:vAlign w:val="center"/>
          </w:tcPr>
          <w:p>
            <w:pPr>
              <w:jc w:val="left"/>
            </w:pPr>
            <w:r>
              <w:rPr>
                <w:rFonts w:ascii="Arial" w:hAnsi="Arial"/>
                <w:color w:val="000000"/>
                <w:sz w:val="13"/>
              </w:rPr>
              <w:t>0.075</w:t>
            </w:r>
          </w:p>
        </w:tc>
      </w:tr>
      <w:tr>
        <w:trPr>
          <w:cantSplit/>
        </w:trPr>
        <w:tc>
          <w:tcPr>
            <w:tcW w:type="dxa" w:w="2620"/>
            <w:tcMar>
              <w:top w:w="60" w:type="dxa"/>
              <w:start w:w="65" w:type="dxa"/>
              <w:bottom w:w="60" w:type="dxa"/>
              <w:end w:w="65" w:type="dxa"/>
            </w:tcMar>
            <w:vAlign w:val="center"/>
          </w:tcPr>
          <w:p>
            <w:pPr>
              <w:jc w:val="left"/>
            </w:pPr>
            <w:r>
              <w:rPr>
                <w:rFonts w:ascii="Arial" w:hAnsi="Arial"/>
                <w:color w:val="000000"/>
                <w:sz w:val="13"/>
              </w:rPr>
              <w:t>Electronics and appliances</w:t>
            </w:r>
          </w:p>
        </w:tc>
        <w:tc>
          <w:tcPr>
            <w:tcW w:type="dxa" w:w="1080"/>
            <w:tcMar>
              <w:top w:w="60" w:type="dxa"/>
              <w:start w:w="65" w:type="dxa"/>
              <w:bottom w:w="60" w:type="dxa"/>
              <w:end w:w="65" w:type="dxa"/>
            </w:tcMar>
            <w:vAlign w:val="center"/>
          </w:tcPr>
          <w:p>
            <w:pPr>
              <w:jc w:val="left"/>
            </w:pPr>
            <w:r>
              <w:rPr>
                <w:rFonts w:ascii="Arial" w:hAnsi="Arial"/>
                <w:color w:val="000000"/>
                <w:sz w:val="13"/>
              </w:rPr>
              <w:t>91.183</w:t>
            </w:r>
          </w:p>
        </w:tc>
        <w:tc>
          <w:tcPr>
            <w:tcW w:type="dxa" w:w="835"/>
            <w:tcMar>
              <w:top w:w="60" w:type="dxa"/>
              <w:start w:w="65" w:type="dxa"/>
              <w:bottom w:w="60" w:type="dxa"/>
              <w:end w:w="65" w:type="dxa"/>
            </w:tcMar>
            <w:vAlign w:val="center"/>
          </w:tcPr>
          <w:p>
            <w:pPr>
              <w:jc w:val="left"/>
            </w:pPr>
            <w:r>
              <w:rPr>
                <w:rFonts w:ascii="Arial" w:hAnsi="Arial"/>
                <w:color w:val="000000"/>
                <w:sz w:val="13"/>
              </w:rPr>
              <w:t>95%</w:t>
            </w:r>
          </w:p>
        </w:tc>
        <w:tc>
          <w:tcPr>
            <w:tcW w:type="dxa" w:w="835"/>
            <w:tcMar>
              <w:top w:w="60" w:type="dxa"/>
              <w:start w:w="65" w:type="dxa"/>
              <w:bottom w:w="60" w:type="dxa"/>
              <w:end w:w="65" w:type="dxa"/>
            </w:tcMar>
            <w:vAlign w:val="center"/>
          </w:tcPr>
          <w:p>
            <w:pPr>
              <w:jc w:val="left"/>
            </w:pPr>
            <w:r>
              <w:rPr>
                <w:rFonts w:ascii="Arial" w:hAnsi="Arial"/>
                <w:color w:val="000000"/>
                <w:sz w:val="13"/>
              </w:rPr>
              <w:t>70%</w:t>
            </w:r>
          </w:p>
        </w:tc>
        <w:tc>
          <w:tcPr>
            <w:tcW w:type="dxa" w:w="835"/>
            <w:tcMar>
              <w:top w:w="60" w:type="dxa"/>
              <w:start w:w="65" w:type="dxa"/>
              <w:bottom w:w="60" w:type="dxa"/>
              <w:end w:w="65" w:type="dxa"/>
            </w:tcMar>
            <w:vAlign w:val="center"/>
          </w:tcPr>
          <w:p>
            <w:pPr>
              <w:jc w:val="left"/>
            </w:pPr>
            <w:r>
              <w:rPr>
                <w:rFonts w:ascii="Arial" w:hAnsi="Arial"/>
                <w:color w:val="000000"/>
                <w:sz w:val="13"/>
              </w:rPr>
              <w:t>5%</w:t>
            </w:r>
          </w:p>
        </w:tc>
        <w:tc>
          <w:tcPr>
            <w:tcW w:type="dxa" w:w="792"/>
            <w:tcMar>
              <w:top w:w="60" w:type="dxa"/>
              <w:start w:w="65" w:type="dxa"/>
              <w:bottom w:w="60" w:type="dxa"/>
              <w:end w:w="65" w:type="dxa"/>
            </w:tcMar>
            <w:vAlign w:val="center"/>
          </w:tcPr>
          <w:p>
            <w:pPr>
              <w:jc w:val="left"/>
            </w:pPr>
            <w:r>
              <w:rPr>
                <w:rFonts w:ascii="Arial" w:hAnsi="Arial"/>
                <w:color w:val="000000"/>
                <w:sz w:val="13"/>
              </w:rPr>
              <w:t>14x</w:t>
            </w:r>
          </w:p>
        </w:tc>
        <w:tc>
          <w:tcPr>
            <w:tcW w:type="dxa" w:w="835"/>
            <w:tcMar>
              <w:top w:w="60" w:type="dxa"/>
              <w:start w:w="65" w:type="dxa"/>
              <w:bottom w:w="60" w:type="dxa"/>
              <w:end w:w="65" w:type="dxa"/>
            </w:tcMar>
            <w:vAlign w:val="center"/>
          </w:tcPr>
          <w:p>
            <w:pPr>
              <w:jc w:val="left"/>
            </w:pPr>
            <w:r>
              <w:rPr>
                <w:rFonts w:ascii="Arial" w:hAnsi="Arial"/>
                <w:color w:val="000000"/>
                <w:sz w:val="13"/>
              </w:rPr>
              <w:t>2.0%</w:t>
            </w:r>
          </w:p>
        </w:tc>
        <w:tc>
          <w:tcPr>
            <w:tcW w:type="dxa" w:w="1224"/>
            <w:tcMar>
              <w:top w:w="60" w:type="dxa"/>
              <w:start w:w="65" w:type="dxa"/>
              <w:bottom w:w="60" w:type="dxa"/>
              <w:end w:w="65" w:type="dxa"/>
            </w:tcMar>
            <w:vAlign w:val="center"/>
          </w:tcPr>
          <w:p>
            <w:pPr>
              <w:jc w:val="left"/>
            </w:pPr>
            <w:r>
              <w:rPr>
                <w:rFonts w:ascii="Arial" w:hAnsi="Arial"/>
                <w:color w:val="000000"/>
                <w:sz w:val="13"/>
              </w:rPr>
              <w:t>0.061</w:t>
            </w:r>
          </w:p>
        </w:tc>
      </w:tr>
      <w:tr>
        <w:trPr>
          <w:cantSplit/>
        </w:trPr>
        <w:tc>
          <w:tcPr>
            <w:tcW w:type="dxa" w:w="2620"/>
            <w:tcMar>
              <w:top w:w="60" w:type="dxa"/>
              <w:start w:w="65" w:type="dxa"/>
              <w:bottom w:w="60" w:type="dxa"/>
              <w:end w:w="65" w:type="dxa"/>
            </w:tcMar>
            <w:vAlign w:val="center"/>
          </w:tcPr>
          <w:p>
            <w:pPr>
              <w:jc w:val="left"/>
            </w:pPr>
            <w:r>
              <w:rPr>
                <w:rFonts w:ascii="Arial" w:hAnsi="Arial"/>
                <w:color w:val="000000"/>
                <w:sz w:val="13"/>
              </w:rPr>
              <w:t>Auto parts, accessories, tires</w:t>
            </w:r>
          </w:p>
        </w:tc>
        <w:tc>
          <w:tcPr>
            <w:tcW w:type="dxa" w:w="1080"/>
            <w:tcMar>
              <w:top w:w="60" w:type="dxa"/>
              <w:start w:w="65" w:type="dxa"/>
              <w:bottom w:w="60" w:type="dxa"/>
              <w:end w:w="65" w:type="dxa"/>
            </w:tcMar>
            <w:vAlign w:val="center"/>
          </w:tcPr>
          <w:p>
            <w:pPr>
              <w:jc w:val="left"/>
            </w:pPr>
            <w:r>
              <w:rPr>
                <w:rFonts w:ascii="Arial" w:hAnsi="Arial"/>
                <w:color w:val="000000"/>
                <w:sz w:val="13"/>
              </w:rPr>
              <w:t>134.398</w:t>
            </w:r>
          </w:p>
        </w:tc>
        <w:tc>
          <w:tcPr>
            <w:tcW w:type="dxa" w:w="835"/>
            <w:tcMar>
              <w:top w:w="60" w:type="dxa"/>
              <w:start w:w="65" w:type="dxa"/>
              <w:bottom w:w="60" w:type="dxa"/>
              <w:end w:w="65" w:type="dxa"/>
            </w:tcMar>
            <w:vAlign w:val="center"/>
          </w:tcPr>
          <w:p>
            <w:pPr>
              <w:jc w:val="left"/>
            </w:pPr>
            <w:r>
              <w:rPr>
                <w:rFonts w:ascii="Arial" w:hAnsi="Arial"/>
                <w:color w:val="000000"/>
                <w:sz w:val="13"/>
              </w:rPr>
              <w:t>95%</w:t>
            </w:r>
          </w:p>
        </w:tc>
        <w:tc>
          <w:tcPr>
            <w:tcW w:type="dxa" w:w="835"/>
            <w:tcMar>
              <w:top w:w="60" w:type="dxa"/>
              <w:start w:w="65" w:type="dxa"/>
              <w:bottom w:w="60" w:type="dxa"/>
              <w:end w:w="65" w:type="dxa"/>
            </w:tcMar>
            <w:vAlign w:val="center"/>
          </w:tcPr>
          <w:p>
            <w:pPr>
              <w:jc w:val="left"/>
            </w:pPr>
            <w:r>
              <w:rPr>
                <w:rFonts w:ascii="Arial" w:hAnsi="Arial"/>
                <w:color w:val="000000"/>
                <w:sz w:val="13"/>
              </w:rPr>
              <w:t>55%</w:t>
            </w:r>
          </w:p>
        </w:tc>
        <w:tc>
          <w:tcPr>
            <w:tcW w:type="dxa" w:w="835"/>
            <w:tcMar>
              <w:top w:w="60" w:type="dxa"/>
              <w:start w:w="65" w:type="dxa"/>
              <w:bottom w:w="60" w:type="dxa"/>
              <w:end w:w="65" w:type="dxa"/>
            </w:tcMar>
            <w:vAlign w:val="center"/>
          </w:tcPr>
          <w:p>
            <w:pPr>
              <w:jc w:val="left"/>
            </w:pPr>
            <w:r>
              <w:rPr>
                <w:rFonts w:ascii="Arial" w:hAnsi="Arial"/>
                <w:color w:val="000000"/>
                <w:sz w:val="13"/>
              </w:rPr>
              <w:t>6%</w:t>
            </w:r>
          </w:p>
        </w:tc>
        <w:tc>
          <w:tcPr>
            <w:tcW w:type="dxa" w:w="792"/>
            <w:tcMar>
              <w:top w:w="60" w:type="dxa"/>
              <w:start w:w="65" w:type="dxa"/>
              <w:bottom w:w="60" w:type="dxa"/>
              <w:end w:w="65" w:type="dxa"/>
            </w:tcMar>
            <w:vAlign w:val="center"/>
          </w:tcPr>
          <w:p>
            <w:pPr>
              <w:jc w:val="left"/>
            </w:pPr>
            <w:r>
              <w:rPr>
                <w:rFonts w:ascii="Arial" w:hAnsi="Arial"/>
                <w:color w:val="000000"/>
                <w:sz w:val="13"/>
              </w:rPr>
              <w:t>14x</w:t>
            </w:r>
          </w:p>
        </w:tc>
        <w:tc>
          <w:tcPr>
            <w:tcW w:type="dxa" w:w="835"/>
            <w:tcMar>
              <w:top w:w="60" w:type="dxa"/>
              <w:start w:w="65" w:type="dxa"/>
              <w:bottom w:w="60" w:type="dxa"/>
              <w:end w:w="65" w:type="dxa"/>
            </w:tcMar>
            <w:vAlign w:val="center"/>
          </w:tcPr>
          <w:p>
            <w:pPr>
              <w:jc w:val="left"/>
            </w:pPr>
            <w:r>
              <w:rPr>
                <w:rFonts w:ascii="Arial" w:hAnsi="Arial"/>
                <w:color w:val="000000"/>
                <w:sz w:val="13"/>
              </w:rPr>
              <w:t>2.0%</w:t>
            </w:r>
          </w:p>
        </w:tc>
        <w:tc>
          <w:tcPr>
            <w:tcW w:type="dxa" w:w="1224"/>
            <w:tcMar>
              <w:top w:w="60" w:type="dxa"/>
              <w:start w:w="65" w:type="dxa"/>
              <w:bottom w:w="60" w:type="dxa"/>
              <w:end w:w="65" w:type="dxa"/>
            </w:tcMar>
            <w:vAlign w:val="center"/>
          </w:tcPr>
          <w:p>
            <w:pPr>
              <w:jc w:val="left"/>
            </w:pPr>
            <w:r>
              <w:rPr>
                <w:rFonts w:ascii="Arial" w:hAnsi="Arial"/>
                <w:color w:val="000000"/>
                <w:sz w:val="13"/>
              </w:rPr>
              <w:t>0.084</w:t>
            </w:r>
          </w:p>
        </w:tc>
      </w:tr>
      <w:tr>
        <w:trPr>
          <w:cantSplit/>
        </w:trPr>
        <w:tc>
          <w:tcPr>
            <w:tcW w:type="dxa" w:w="2620"/>
            <w:tcMar>
              <w:top w:w="60" w:type="dxa"/>
              <w:start w:w="65" w:type="dxa"/>
              <w:bottom w:w="60" w:type="dxa"/>
              <w:end w:w="65" w:type="dxa"/>
            </w:tcMar>
            <w:vAlign w:val="center"/>
          </w:tcPr>
          <w:p>
            <w:pPr>
              <w:jc w:val="left"/>
            </w:pPr>
            <w:r>
              <w:rPr>
                <w:rFonts w:ascii="Arial" w:hAnsi="Arial"/>
                <w:color w:val="000000"/>
                <w:sz w:val="13"/>
              </w:rPr>
              <w:t>Hardware</w:t>
            </w:r>
          </w:p>
        </w:tc>
        <w:tc>
          <w:tcPr>
            <w:tcW w:type="dxa" w:w="1080"/>
            <w:tcMar>
              <w:top w:w="60" w:type="dxa"/>
              <w:start w:w="65" w:type="dxa"/>
              <w:bottom w:w="60" w:type="dxa"/>
              <w:end w:w="65" w:type="dxa"/>
            </w:tcMar>
            <w:vAlign w:val="center"/>
          </w:tcPr>
          <w:p>
            <w:pPr>
              <w:jc w:val="left"/>
            </w:pPr>
            <w:r>
              <w:rPr>
                <w:rFonts w:ascii="Arial" w:hAnsi="Arial"/>
                <w:color w:val="000000"/>
                <w:sz w:val="13"/>
              </w:rPr>
              <w:t>41.862</w:t>
            </w:r>
          </w:p>
        </w:tc>
        <w:tc>
          <w:tcPr>
            <w:tcW w:type="dxa" w:w="835"/>
            <w:tcMar>
              <w:top w:w="60" w:type="dxa"/>
              <w:start w:w="65" w:type="dxa"/>
              <w:bottom w:w="60" w:type="dxa"/>
              <w:end w:w="65" w:type="dxa"/>
            </w:tcMar>
            <w:vAlign w:val="center"/>
          </w:tcPr>
          <w:p>
            <w:pPr>
              <w:jc w:val="left"/>
            </w:pPr>
            <w:r>
              <w:rPr>
                <w:rFonts w:ascii="Arial" w:hAnsi="Arial"/>
                <w:color w:val="000000"/>
                <w:sz w:val="13"/>
              </w:rPr>
              <w:t>90%</w:t>
            </w:r>
          </w:p>
        </w:tc>
        <w:tc>
          <w:tcPr>
            <w:tcW w:type="dxa" w:w="835"/>
            <w:tcMar>
              <w:top w:w="60" w:type="dxa"/>
              <w:start w:w="65" w:type="dxa"/>
              <w:bottom w:w="60" w:type="dxa"/>
              <w:end w:w="65" w:type="dxa"/>
            </w:tcMar>
            <w:vAlign w:val="center"/>
          </w:tcPr>
          <w:p>
            <w:pPr>
              <w:jc w:val="left"/>
            </w:pPr>
            <w:r>
              <w:rPr>
                <w:rFonts w:ascii="Arial" w:hAnsi="Arial"/>
                <w:color w:val="000000"/>
                <w:sz w:val="13"/>
              </w:rPr>
              <w:t>25%</w:t>
            </w:r>
          </w:p>
        </w:tc>
        <w:tc>
          <w:tcPr>
            <w:tcW w:type="dxa" w:w="835"/>
            <w:tcMar>
              <w:top w:w="60" w:type="dxa"/>
              <w:start w:w="65" w:type="dxa"/>
              <w:bottom w:w="60" w:type="dxa"/>
              <w:end w:w="65" w:type="dxa"/>
            </w:tcMar>
            <w:vAlign w:val="center"/>
          </w:tcPr>
          <w:p>
            <w:pPr>
              <w:jc w:val="left"/>
            </w:pPr>
            <w:r>
              <w:rPr>
                <w:rFonts w:ascii="Arial" w:hAnsi="Arial"/>
                <w:color w:val="000000"/>
                <w:sz w:val="13"/>
              </w:rPr>
              <w:t>5%</w:t>
            </w:r>
          </w:p>
        </w:tc>
        <w:tc>
          <w:tcPr>
            <w:tcW w:type="dxa" w:w="792"/>
            <w:tcMar>
              <w:top w:w="60" w:type="dxa"/>
              <w:start w:w="65" w:type="dxa"/>
              <w:bottom w:w="60" w:type="dxa"/>
              <w:end w:w="65" w:type="dxa"/>
            </w:tcMar>
            <w:vAlign w:val="center"/>
          </w:tcPr>
          <w:p>
            <w:pPr>
              <w:jc w:val="left"/>
            </w:pPr>
            <w:r>
              <w:rPr>
                <w:rFonts w:ascii="Arial" w:hAnsi="Arial"/>
                <w:color w:val="000000"/>
                <w:sz w:val="13"/>
              </w:rPr>
              <w:t>13x</w:t>
            </w:r>
          </w:p>
        </w:tc>
        <w:tc>
          <w:tcPr>
            <w:tcW w:type="dxa" w:w="835"/>
            <w:tcMar>
              <w:top w:w="60" w:type="dxa"/>
              <w:start w:w="65" w:type="dxa"/>
              <w:bottom w:w="60" w:type="dxa"/>
              <w:end w:w="65" w:type="dxa"/>
            </w:tcMar>
            <w:vAlign w:val="center"/>
          </w:tcPr>
          <w:p>
            <w:pPr>
              <w:jc w:val="left"/>
            </w:pPr>
            <w:r>
              <w:rPr>
                <w:rFonts w:ascii="Arial" w:hAnsi="Arial"/>
                <w:color w:val="000000"/>
                <w:sz w:val="13"/>
              </w:rPr>
              <w:t>1.5%</w:t>
            </w:r>
          </w:p>
        </w:tc>
        <w:tc>
          <w:tcPr>
            <w:tcW w:type="dxa" w:w="1224"/>
            <w:tcMar>
              <w:top w:w="60" w:type="dxa"/>
              <w:start w:w="65" w:type="dxa"/>
              <w:bottom w:w="60" w:type="dxa"/>
              <w:end w:w="65" w:type="dxa"/>
            </w:tcMar>
            <w:vAlign w:val="center"/>
          </w:tcPr>
          <w:p>
            <w:pPr>
              <w:jc w:val="left"/>
            </w:pPr>
            <w:r>
              <w:rPr>
                <w:rFonts w:ascii="Arial" w:hAnsi="Arial"/>
                <w:color w:val="000000"/>
                <w:sz w:val="13"/>
              </w:rPr>
              <w:t>0.007</w:t>
            </w:r>
          </w:p>
        </w:tc>
      </w:tr>
      <w:tr>
        <w:trPr>
          <w:cantSplit/>
        </w:trPr>
        <w:tc>
          <w:tcPr>
            <w:tcW w:type="dxa" w:w="2620"/>
            <w:tcMar>
              <w:top w:w="60" w:type="dxa"/>
              <w:start w:w="65" w:type="dxa"/>
              <w:bottom w:w="60" w:type="dxa"/>
              <w:end w:w="65" w:type="dxa"/>
            </w:tcMar>
            <w:vAlign w:val="center"/>
          </w:tcPr>
          <w:p>
            <w:pPr>
              <w:jc w:val="left"/>
            </w:pPr>
            <w:r>
              <w:rPr>
                <w:rFonts w:ascii="Arial" w:hAnsi="Arial"/>
                <w:color w:val="000000"/>
                <w:sz w:val="13"/>
              </w:rPr>
              <w:t>Furniture</w:t>
            </w:r>
          </w:p>
        </w:tc>
        <w:tc>
          <w:tcPr>
            <w:tcW w:type="dxa" w:w="1080"/>
            <w:tcMar>
              <w:top w:w="60" w:type="dxa"/>
              <w:start w:w="65" w:type="dxa"/>
              <w:bottom w:w="60" w:type="dxa"/>
              <w:end w:w="65" w:type="dxa"/>
            </w:tcMar>
            <w:vAlign w:val="center"/>
          </w:tcPr>
          <w:p>
            <w:pPr>
              <w:jc w:val="left"/>
            </w:pPr>
            <w:r>
              <w:rPr>
                <w:rFonts w:ascii="Arial" w:hAnsi="Arial"/>
                <w:color w:val="000000"/>
                <w:sz w:val="13"/>
              </w:rPr>
              <w:t>71.782</w:t>
            </w:r>
          </w:p>
        </w:tc>
        <w:tc>
          <w:tcPr>
            <w:tcW w:type="dxa" w:w="835"/>
            <w:tcMar>
              <w:top w:w="60" w:type="dxa"/>
              <w:start w:w="65" w:type="dxa"/>
              <w:bottom w:w="60" w:type="dxa"/>
              <w:end w:w="65" w:type="dxa"/>
            </w:tcMar>
            <w:vAlign w:val="center"/>
          </w:tcPr>
          <w:p>
            <w:pPr>
              <w:jc w:val="left"/>
            </w:pPr>
            <w:r>
              <w:rPr>
                <w:rFonts w:ascii="Arial" w:hAnsi="Arial"/>
                <w:color w:val="000000"/>
                <w:sz w:val="13"/>
              </w:rPr>
              <w:t>80%</w:t>
            </w:r>
          </w:p>
        </w:tc>
        <w:tc>
          <w:tcPr>
            <w:tcW w:type="dxa" w:w="835"/>
            <w:tcMar>
              <w:top w:w="60" w:type="dxa"/>
              <w:start w:w="65" w:type="dxa"/>
              <w:bottom w:w="60" w:type="dxa"/>
              <w:end w:w="65" w:type="dxa"/>
            </w:tcMar>
            <w:vAlign w:val="center"/>
          </w:tcPr>
          <w:p>
            <w:pPr>
              <w:jc w:val="left"/>
            </w:pPr>
            <w:r>
              <w:rPr>
                <w:rFonts w:ascii="Arial" w:hAnsi="Arial"/>
                <w:color w:val="000000"/>
                <w:sz w:val="13"/>
              </w:rPr>
              <w:t>90%</w:t>
            </w:r>
          </w:p>
        </w:tc>
        <w:tc>
          <w:tcPr>
            <w:tcW w:type="dxa" w:w="835"/>
            <w:tcMar>
              <w:top w:w="60" w:type="dxa"/>
              <w:start w:w="65" w:type="dxa"/>
              <w:bottom w:w="60" w:type="dxa"/>
              <w:end w:w="65" w:type="dxa"/>
            </w:tcMar>
            <w:vAlign w:val="center"/>
          </w:tcPr>
          <w:p>
            <w:pPr>
              <w:jc w:val="left"/>
            </w:pPr>
            <w:r>
              <w:rPr>
                <w:rFonts w:ascii="Arial" w:hAnsi="Arial"/>
                <w:color w:val="000000"/>
                <w:sz w:val="13"/>
              </w:rPr>
              <w:t>4%</w:t>
            </w:r>
          </w:p>
        </w:tc>
        <w:tc>
          <w:tcPr>
            <w:tcW w:type="dxa" w:w="792"/>
            <w:tcMar>
              <w:top w:w="60" w:type="dxa"/>
              <w:start w:w="65" w:type="dxa"/>
              <w:bottom w:w="60" w:type="dxa"/>
              <w:end w:w="65" w:type="dxa"/>
            </w:tcMar>
            <w:vAlign w:val="center"/>
          </w:tcPr>
          <w:p>
            <w:pPr>
              <w:jc w:val="left"/>
            </w:pPr>
            <w:r>
              <w:rPr>
                <w:rFonts w:ascii="Arial" w:hAnsi="Arial"/>
                <w:color w:val="000000"/>
                <w:sz w:val="13"/>
              </w:rPr>
              <w:t>13x</w:t>
            </w:r>
          </w:p>
        </w:tc>
        <w:tc>
          <w:tcPr>
            <w:tcW w:type="dxa" w:w="835"/>
            <w:tcMar>
              <w:top w:w="60" w:type="dxa"/>
              <w:start w:w="65" w:type="dxa"/>
              <w:bottom w:w="60" w:type="dxa"/>
              <w:end w:w="65" w:type="dxa"/>
            </w:tcMar>
            <w:vAlign w:val="center"/>
          </w:tcPr>
          <w:p>
            <w:pPr>
              <w:jc w:val="left"/>
            </w:pPr>
            <w:r>
              <w:rPr>
                <w:rFonts w:ascii="Arial" w:hAnsi="Arial"/>
                <w:color w:val="000000"/>
                <w:sz w:val="13"/>
              </w:rPr>
              <w:t>1.5%</w:t>
            </w:r>
          </w:p>
        </w:tc>
        <w:tc>
          <w:tcPr>
            <w:tcW w:type="dxa" w:w="1224"/>
            <w:tcMar>
              <w:top w:w="60" w:type="dxa"/>
              <w:start w:w="65" w:type="dxa"/>
              <w:bottom w:w="60" w:type="dxa"/>
              <w:end w:w="65" w:type="dxa"/>
            </w:tcMar>
            <w:vAlign w:val="center"/>
          </w:tcPr>
          <w:p>
            <w:pPr>
              <w:jc w:val="left"/>
            </w:pPr>
            <w:r>
              <w:rPr>
                <w:rFonts w:ascii="Arial" w:hAnsi="Arial"/>
                <w:color w:val="000000"/>
                <w:sz w:val="13"/>
              </w:rPr>
              <w:t>0.031</w:t>
            </w:r>
          </w:p>
        </w:tc>
      </w:tr>
      <w:tr>
        <w:trPr>
          <w:cantSplit/>
        </w:trPr>
        <w:tc>
          <w:tcPr>
            <w:tcW w:type="dxa" w:w="2620"/>
            <w:tcMar>
              <w:top w:w="60" w:type="dxa"/>
              <w:start w:w="65" w:type="dxa"/>
              <w:bottom w:w="60" w:type="dxa"/>
              <w:end w:w="65" w:type="dxa"/>
            </w:tcMar>
            <w:vAlign w:val="center"/>
          </w:tcPr>
          <w:p>
            <w:pPr>
              <w:jc w:val="left"/>
            </w:pPr>
            <w:r>
              <w:rPr>
                <w:rFonts w:ascii="Arial" w:hAnsi="Arial"/>
                <w:color w:val="000000"/>
                <w:sz w:val="13"/>
              </w:rPr>
              <w:t>Clothing</w:t>
            </w:r>
          </w:p>
        </w:tc>
        <w:tc>
          <w:tcPr>
            <w:tcW w:type="dxa" w:w="1080"/>
            <w:tcMar>
              <w:top w:w="60" w:type="dxa"/>
              <w:start w:w="65" w:type="dxa"/>
              <w:bottom w:w="60" w:type="dxa"/>
              <w:end w:w="65" w:type="dxa"/>
            </w:tcMar>
            <w:vAlign w:val="center"/>
          </w:tcPr>
          <w:p>
            <w:pPr>
              <w:jc w:val="left"/>
            </w:pPr>
            <w:r>
              <w:rPr>
                <w:rFonts w:ascii="Arial" w:hAnsi="Arial"/>
                <w:color w:val="000000"/>
                <w:sz w:val="13"/>
              </w:rPr>
              <w:t>214.724</w:t>
            </w:r>
          </w:p>
        </w:tc>
        <w:tc>
          <w:tcPr>
            <w:tcW w:type="dxa" w:w="835"/>
            <w:tcMar>
              <w:top w:w="60" w:type="dxa"/>
              <w:start w:w="65" w:type="dxa"/>
              <w:bottom w:w="60" w:type="dxa"/>
              <w:end w:w="65" w:type="dxa"/>
            </w:tcMar>
            <w:vAlign w:val="center"/>
          </w:tcPr>
          <w:p>
            <w:pPr>
              <w:jc w:val="left"/>
            </w:pPr>
            <w:r>
              <w:rPr>
                <w:rFonts w:ascii="Arial" w:hAnsi="Arial"/>
                <w:color w:val="000000"/>
                <w:sz w:val="13"/>
              </w:rPr>
              <w:t>90%</w:t>
            </w:r>
          </w:p>
        </w:tc>
        <w:tc>
          <w:tcPr>
            <w:tcW w:type="dxa" w:w="835"/>
            <w:tcMar>
              <w:top w:w="60" w:type="dxa"/>
              <w:start w:w="65" w:type="dxa"/>
              <w:bottom w:w="60" w:type="dxa"/>
              <w:end w:w="65" w:type="dxa"/>
            </w:tcMar>
            <w:vAlign w:val="center"/>
          </w:tcPr>
          <w:p>
            <w:pPr>
              <w:jc w:val="left"/>
            </w:pPr>
            <w:r>
              <w:rPr>
                <w:rFonts w:ascii="Arial" w:hAnsi="Arial"/>
                <w:color w:val="000000"/>
                <w:sz w:val="13"/>
              </w:rPr>
              <w:t>20%</w:t>
            </w:r>
          </w:p>
        </w:tc>
        <w:tc>
          <w:tcPr>
            <w:tcW w:type="dxa" w:w="835"/>
            <w:tcMar>
              <w:top w:w="60" w:type="dxa"/>
              <w:start w:w="65" w:type="dxa"/>
              <w:bottom w:w="60" w:type="dxa"/>
              <w:end w:w="65" w:type="dxa"/>
            </w:tcMar>
            <w:vAlign w:val="center"/>
          </w:tcPr>
          <w:p>
            <w:pPr>
              <w:jc w:val="left"/>
            </w:pPr>
            <w:r>
              <w:rPr>
                <w:rFonts w:ascii="Arial" w:hAnsi="Arial"/>
                <w:color w:val="000000"/>
                <w:sz w:val="13"/>
              </w:rPr>
              <w:t>15%</w:t>
            </w:r>
          </w:p>
        </w:tc>
        <w:tc>
          <w:tcPr>
            <w:tcW w:type="dxa" w:w="792"/>
            <w:tcMar>
              <w:top w:w="60" w:type="dxa"/>
              <w:start w:w="65" w:type="dxa"/>
              <w:bottom w:w="60" w:type="dxa"/>
              <w:end w:w="65" w:type="dxa"/>
            </w:tcMar>
            <w:vAlign w:val="center"/>
          </w:tcPr>
          <w:p>
            <w:pPr>
              <w:jc w:val="left"/>
            </w:pPr>
            <w:r>
              <w:rPr>
                <w:rFonts w:ascii="Arial" w:hAnsi="Arial"/>
                <w:color w:val="000000"/>
                <w:sz w:val="13"/>
              </w:rPr>
              <w:t>20x</w:t>
            </w:r>
          </w:p>
        </w:tc>
        <w:tc>
          <w:tcPr>
            <w:tcW w:type="dxa" w:w="835"/>
            <w:tcMar>
              <w:top w:w="60" w:type="dxa"/>
              <w:start w:w="65" w:type="dxa"/>
              <w:bottom w:w="60" w:type="dxa"/>
              <w:end w:w="65" w:type="dxa"/>
            </w:tcMar>
            <w:vAlign w:val="center"/>
          </w:tcPr>
          <w:p>
            <w:pPr>
              <w:jc w:val="left"/>
            </w:pPr>
            <w:r>
              <w:rPr>
                <w:rFonts w:ascii="Arial" w:hAnsi="Arial"/>
                <w:color w:val="000000"/>
                <w:sz w:val="13"/>
              </w:rPr>
              <w:t>5.0%</w:t>
            </w:r>
          </w:p>
        </w:tc>
        <w:tc>
          <w:tcPr>
            <w:tcW w:type="dxa" w:w="1224"/>
            <w:tcMar>
              <w:top w:w="60" w:type="dxa"/>
              <w:start w:w="65" w:type="dxa"/>
              <w:bottom w:w="60" w:type="dxa"/>
              <w:end w:w="65" w:type="dxa"/>
            </w:tcMar>
            <w:vAlign w:val="center"/>
          </w:tcPr>
          <w:p>
            <w:pPr>
              <w:jc w:val="left"/>
            </w:pPr>
            <w:r>
              <w:rPr>
                <w:rFonts w:ascii="Arial" w:hAnsi="Arial"/>
                <w:color w:val="000000"/>
                <w:sz w:val="13"/>
              </w:rPr>
              <w:t>0.290</w:t>
            </w:r>
          </w:p>
        </w:tc>
      </w:tr>
      <w:tr>
        <w:trPr>
          <w:cantSplit/>
        </w:trPr>
        <w:tc>
          <w:tcPr>
            <w:tcW w:type="dxa" w:w="2620"/>
            <w:tcMar>
              <w:top w:w="60" w:type="dxa"/>
              <w:start w:w="65" w:type="dxa"/>
              <w:bottom w:w="60" w:type="dxa"/>
              <w:end w:w="65" w:type="dxa"/>
            </w:tcMar>
            <w:vAlign w:val="center"/>
          </w:tcPr>
          <w:p>
            <w:pPr>
              <w:jc w:val="left"/>
            </w:pPr>
            <w:r>
              <w:rPr>
                <w:rFonts w:ascii="Arial" w:hAnsi="Arial"/>
                <w:color w:val="000000"/>
                <w:sz w:val="13"/>
              </w:rPr>
              <w:t>Shoes</w:t>
            </w:r>
          </w:p>
        </w:tc>
        <w:tc>
          <w:tcPr>
            <w:tcW w:type="dxa" w:w="1080"/>
            <w:tcMar>
              <w:top w:w="60" w:type="dxa"/>
              <w:start w:w="65" w:type="dxa"/>
              <w:bottom w:w="60" w:type="dxa"/>
              <w:end w:w="65" w:type="dxa"/>
            </w:tcMar>
            <w:vAlign w:val="center"/>
          </w:tcPr>
          <w:p>
            <w:pPr>
              <w:jc w:val="left"/>
            </w:pPr>
            <w:r>
              <w:rPr>
                <w:rFonts w:ascii="Arial" w:hAnsi="Arial"/>
                <w:color w:val="000000"/>
                <w:sz w:val="13"/>
              </w:rPr>
              <w:t>38.487</w:t>
            </w:r>
          </w:p>
        </w:tc>
        <w:tc>
          <w:tcPr>
            <w:tcW w:type="dxa" w:w="835"/>
            <w:tcMar>
              <w:top w:w="60" w:type="dxa"/>
              <w:start w:w="65" w:type="dxa"/>
              <w:bottom w:w="60" w:type="dxa"/>
              <w:end w:w="65" w:type="dxa"/>
            </w:tcMar>
            <w:vAlign w:val="center"/>
          </w:tcPr>
          <w:p>
            <w:pPr>
              <w:jc w:val="left"/>
            </w:pPr>
            <w:r>
              <w:rPr>
                <w:rFonts w:ascii="Arial" w:hAnsi="Arial"/>
                <w:color w:val="000000"/>
                <w:sz w:val="13"/>
              </w:rPr>
              <w:t>95%</w:t>
            </w:r>
          </w:p>
        </w:tc>
        <w:tc>
          <w:tcPr>
            <w:tcW w:type="dxa" w:w="835"/>
            <w:tcMar>
              <w:top w:w="60" w:type="dxa"/>
              <w:start w:w="65" w:type="dxa"/>
              <w:bottom w:w="60" w:type="dxa"/>
              <w:end w:w="65" w:type="dxa"/>
            </w:tcMar>
            <w:vAlign w:val="center"/>
          </w:tcPr>
          <w:p>
            <w:pPr>
              <w:jc w:val="left"/>
            </w:pPr>
            <w:r>
              <w:rPr>
                <w:rFonts w:ascii="Arial" w:hAnsi="Arial"/>
                <w:color w:val="000000"/>
                <w:sz w:val="13"/>
              </w:rPr>
              <w:t>40%</w:t>
            </w:r>
          </w:p>
        </w:tc>
        <w:tc>
          <w:tcPr>
            <w:tcW w:type="dxa" w:w="835"/>
            <w:tcMar>
              <w:top w:w="60" w:type="dxa"/>
              <w:start w:w="65" w:type="dxa"/>
              <w:bottom w:w="60" w:type="dxa"/>
              <w:end w:w="65" w:type="dxa"/>
            </w:tcMar>
            <w:vAlign w:val="center"/>
          </w:tcPr>
          <w:p>
            <w:pPr>
              <w:jc w:val="left"/>
            </w:pPr>
            <w:r>
              <w:rPr>
                <w:rFonts w:ascii="Arial" w:hAnsi="Arial"/>
                <w:color w:val="000000"/>
                <w:sz w:val="13"/>
              </w:rPr>
              <w:t>20%</w:t>
            </w:r>
          </w:p>
        </w:tc>
        <w:tc>
          <w:tcPr>
            <w:tcW w:type="dxa" w:w="792"/>
            <w:tcMar>
              <w:top w:w="60" w:type="dxa"/>
              <w:start w:w="65" w:type="dxa"/>
              <w:bottom w:w="60" w:type="dxa"/>
              <w:end w:w="65" w:type="dxa"/>
            </w:tcMar>
            <w:vAlign w:val="center"/>
          </w:tcPr>
          <w:p>
            <w:pPr>
              <w:jc w:val="left"/>
            </w:pPr>
            <w:r>
              <w:rPr>
                <w:rFonts w:ascii="Arial" w:hAnsi="Arial"/>
                <w:color w:val="000000"/>
                <w:sz w:val="13"/>
              </w:rPr>
              <w:t>22x</w:t>
            </w:r>
          </w:p>
        </w:tc>
        <w:tc>
          <w:tcPr>
            <w:tcW w:type="dxa" w:w="835"/>
            <w:tcMar>
              <w:top w:w="60" w:type="dxa"/>
              <w:start w:w="65" w:type="dxa"/>
              <w:bottom w:w="60" w:type="dxa"/>
              <w:end w:w="65" w:type="dxa"/>
            </w:tcMar>
            <w:vAlign w:val="center"/>
          </w:tcPr>
          <w:p>
            <w:pPr>
              <w:jc w:val="left"/>
            </w:pPr>
            <w:r>
              <w:rPr>
                <w:rFonts w:ascii="Arial" w:hAnsi="Arial"/>
                <w:color w:val="000000"/>
                <w:sz w:val="13"/>
              </w:rPr>
              <w:t>6.0%</w:t>
            </w:r>
          </w:p>
        </w:tc>
        <w:tc>
          <w:tcPr>
            <w:tcW w:type="dxa" w:w="1224"/>
            <w:tcMar>
              <w:top w:w="60" w:type="dxa"/>
              <w:start w:w="65" w:type="dxa"/>
              <w:bottom w:w="60" w:type="dxa"/>
              <w:end w:w="65" w:type="dxa"/>
            </w:tcMar>
            <w:vAlign w:val="center"/>
          </w:tcPr>
          <w:p>
            <w:pPr>
              <w:jc w:val="left"/>
            </w:pPr>
            <w:r>
              <w:rPr>
                <w:rFonts w:ascii="Arial" w:hAnsi="Arial"/>
                <w:color w:val="000000"/>
                <w:sz w:val="13"/>
              </w:rPr>
              <w:t>0.176</w:t>
            </w:r>
          </w:p>
        </w:tc>
      </w:tr>
      <w:tr>
        <w:trPr>
          <w:cantSplit/>
        </w:trPr>
        <w:tc>
          <w:tcPr>
            <w:tcW w:type="dxa" w:w="2620"/>
            <w:tcMar>
              <w:top w:w="60" w:type="dxa"/>
              <w:start w:w="65" w:type="dxa"/>
              <w:bottom w:w="60" w:type="dxa"/>
              <w:end w:w="65" w:type="dxa"/>
            </w:tcMar>
            <w:vAlign w:val="center"/>
          </w:tcPr>
          <w:p>
            <w:pPr>
              <w:jc w:val="left"/>
            </w:pPr>
            <w:r>
              <w:rPr>
                <w:rFonts w:ascii="Arial" w:hAnsi="Arial"/>
                <w:color w:val="000000"/>
                <w:sz w:val="13"/>
              </w:rPr>
              <w:t>Sporting goods</w:t>
            </w:r>
          </w:p>
        </w:tc>
        <w:tc>
          <w:tcPr>
            <w:tcW w:type="dxa" w:w="1080"/>
            <w:tcMar>
              <w:top w:w="60" w:type="dxa"/>
              <w:start w:w="65" w:type="dxa"/>
              <w:bottom w:w="60" w:type="dxa"/>
              <w:end w:w="65" w:type="dxa"/>
            </w:tcMar>
            <w:vAlign w:val="center"/>
          </w:tcPr>
          <w:p>
            <w:pPr>
              <w:jc w:val="left"/>
            </w:pPr>
            <w:r>
              <w:rPr>
                <w:rFonts w:ascii="Arial" w:hAnsi="Arial"/>
                <w:color w:val="000000"/>
                <w:sz w:val="13"/>
              </w:rPr>
              <w:t>58.725</w:t>
            </w:r>
          </w:p>
        </w:tc>
        <w:tc>
          <w:tcPr>
            <w:tcW w:type="dxa" w:w="835"/>
            <w:tcMar>
              <w:top w:w="60" w:type="dxa"/>
              <w:start w:w="65" w:type="dxa"/>
              <w:bottom w:w="60" w:type="dxa"/>
              <w:end w:w="65" w:type="dxa"/>
            </w:tcMar>
            <w:vAlign w:val="center"/>
          </w:tcPr>
          <w:p>
            <w:pPr>
              <w:jc w:val="left"/>
            </w:pPr>
            <w:r>
              <w:rPr>
                <w:rFonts w:ascii="Arial" w:hAnsi="Arial"/>
                <w:color w:val="000000"/>
                <w:sz w:val="13"/>
              </w:rPr>
              <w:t>90%</w:t>
            </w:r>
          </w:p>
        </w:tc>
        <w:tc>
          <w:tcPr>
            <w:tcW w:type="dxa" w:w="835"/>
            <w:tcMar>
              <w:top w:w="60" w:type="dxa"/>
              <w:start w:w="65" w:type="dxa"/>
              <w:bottom w:w="60" w:type="dxa"/>
              <w:end w:w="65" w:type="dxa"/>
            </w:tcMar>
            <w:vAlign w:val="center"/>
          </w:tcPr>
          <w:p>
            <w:pPr>
              <w:jc w:val="left"/>
            </w:pPr>
            <w:r>
              <w:rPr>
                <w:rFonts w:ascii="Arial" w:hAnsi="Arial"/>
                <w:color w:val="000000"/>
                <w:sz w:val="13"/>
              </w:rPr>
              <w:t>50%</w:t>
            </w:r>
          </w:p>
        </w:tc>
        <w:tc>
          <w:tcPr>
            <w:tcW w:type="dxa" w:w="835"/>
            <w:tcMar>
              <w:top w:w="60" w:type="dxa"/>
              <w:start w:w="65" w:type="dxa"/>
              <w:bottom w:w="60" w:type="dxa"/>
              <w:end w:w="65" w:type="dxa"/>
            </w:tcMar>
            <w:vAlign w:val="center"/>
          </w:tcPr>
          <w:p>
            <w:pPr>
              <w:jc w:val="left"/>
            </w:pPr>
            <w:r>
              <w:rPr>
                <w:rFonts w:ascii="Arial" w:hAnsi="Arial"/>
                <w:color w:val="000000"/>
                <w:sz w:val="13"/>
              </w:rPr>
              <w:t>7%</w:t>
            </w:r>
          </w:p>
        </w:tc>
        <w:tc>
          <w:tcPr>
            <w:tcW w:type="dxa" w:w="792"/>
            <w:tcMar>
              <w:top w:w="60" w:type="dxa"/>
              <w:start w:w="65" w:type="dxa"/>
              <w:bottom w:w="60" w:type="dxa"/>
              <w:end w:w="65" w:type="dxa"/>
            </w:tcMar>
            <w:vAlign w:val="center"/>
          </w:tcPr>
          <w:p>
            <w:pPr>
              <w:jc w:val="left"/>
            </w:pPr>
            <w:r>
              <w:rPr>
                <w:rFonts w:ascii="Arial" w:hAnsi="Arial"/>
                <w:color w:val="000000"/>
                <w:sz w:val="13"/>
              </w:rPr>
              <w:t>15x</w:t>
            </w:r>
          </w:p>
        </w:tc>
        <w:tc>
          <w:tcPr>
            <w:tcW w:type="dxa" w:w="835"/>
            <w:tcMar>
              <w:top w:w="60" w:type="dxa"/>
              <w:start w:w="65" w:type="dxa"/>
              <w:bottom w:w="60" w:type="dxa"/>
              <w:end w:w="65" w:type="dxa"/>
            </w:tcMar>
            <w:vAlign w:val="center"/>
          </w:tcPr>
          <w:p>
            <w:pPr>
              <w:jc w:val="left"/>
            </w:pPr>
            <w:r>
              <w:rPr>
                <w:rFonts w:ascii="Arial" w:hAnsi="Arial"/>
                <w:color w:val="000000"/>
                <w:sz w:val="13"/>
              </w:rPr>
              <w:t>2.5%</w:t>
            </w:r>
          </w:p>
        </w:tc>
        <w:tc>
          <w:tcPr>
            <w:tcW w:type="dxa" w:w="1224"/>
            <w:tcMar>
              <w:top w:w="60" w:type="dxa"/>
              <w:start w:w="65" w:type="dxa"/>
              <w:bottom w:w="60" w:type="dxa"/>
              <w:end w:w="65" w:type="dxa"/>
            </w:tcMar>
            <w:vAlign w:val="center"/>
          </w:tcPr>
          <w:p>
            <w:pPr>
              <w:jc w:val="left"/>
            </w:pPr>
            <w:r>
              <w:rPr>
                <w:rFonts w:ascii="Arial" w:hAnsi="Arial"/>
                <w:color w:val="000000"/>
                <w:sz w:val="13"/>
              </w:rPr>
              <w:t>0.046</w:t>
            </w:r>
          </w:p>
        </w:tc>
      </w:tr>
      <w:tr>
        <w:trPr>
          <w:cantSplit/>
        </w:trPr>
        <w:tc>
          <w:tcPr>
            <w:tcW w:type="dxa" w:w="2620"/>
            <w:tcMar>
              <w:top w:w="60" w:type="dxa"/>
              <w:start w:w="65" w:type="dxa"/>
              <w:bottom w:w="60" w:type="dxa"/>
              <w:end w:w="65" w:type="dxa"/>
            </w:tcMar>
            <w:vAlign w:val="center"/>
          </w:tcPr>
          <w:p>
            <w:pPr>
              <w:jc w:val="left"/>
            </w:pPr>
            <w:r>
              <w:rPr>
                <w:rFonts w:ascii="Arial" w:hAnsi="Arial"/>
                <w:color w:val="000000"/>
                <w:sz w:val="13"/>
              </w:rPr>
              <w:t>Office supplies and stationery</w:t>
            </w:r>
          </w:p>
        </w:tc>
        <w:tc>
          <w:tcPr>
            <w:tcW w:type="dxa" w:w="1080"/>
            <w:tcMar>
              <w:top w:w="60" w:type="dxa"/>
              <w:start w:w="65" w:type="dxa"/>
              <w:bottom w:w="60" w:type="dxa"/>
              <w:end w:w="65" w:type="dxa"/>
            </w:tcMar>
            <w:vAlign w:val="center"/>
          </w:tcPr>
          <w:p>
            <w:pPr>
              <w:jc w:val="left"/>
            </w:pPr>
            <w:r>
              <w:rPr>
                <w:rFonts w:ascii="Arial" w:hAnsi="Arial"/>
                <w:color w:val="000000"/>
                <w:sz w:val="13"/>
              </w:rPr>
              <w:t>7.812</w:t>
            </w:r>
          </w:p>
        </w:tc>
        <w:tc>
          <w:tcPr>
            <w:tcW w:type="dxa" w:w="835"/>
            <w:tcMar>
              <w:top w:w="60" w:type="dxa"/>
              <w:start w:w="65" w:type="dxa"/>
              <w:bottom w:w="60" w:type="dxa"/>
              <w:end w:w="65" w:type="dxa"/>
            </w:tcMar>
            <w:vAlign w:val="center"/>
          </w:tcPr>
          <w:p>
            <w:pPr>
              <w:jc w:val="left"/>
            </w:pPr>
            <w:r>
              <w:rPr>
                <w:rFonts w:ascii="Arial" w:hAnsi="Arial"/>
                <w:color w:val="000000"/>
                <w:sz w:val="13"/>
              </w:rPr>
              <w:t>90%</w:t>
            </w:r>
          </w:p>
        </w:tc>
        <w:tc>
          <w:tcPr>
            <w:tcW w:type="dxa" w:w="835"/>
            <w:tcMar>
              <w:top w:w="60" w:type="dxa"/>
              <w:start w:w="65" w:type="dxa"/>
              <w:bottom w:w="60" w:type="dxa"/>
              <w:end w:w="65" w:type="dxa"/>
            </w:tcMar>
            <w:vAlign w:val="center"/>
          </w:tcPr>
          <w:p>
            <w:pPr>
              <w:jc w:val="left"/>
            </w:pPr>
            <w:r>
              <w:rPr>
                <w:rFonts w:ascii="Arial" w:hAnsi="Arial"/>
                <w:color w:val="000000"/>
                <w:sz w:val="13"/>
              </w:rPr>
              <w:t>20%</w:t>
            </w:r>
          </w:p>
        </w:tc>
        <w:tc>
          <w:tcPr>
            <w:tcW w:type="dxa" w:w="835"/>
            <w:tcMar>
              <w:top w:w="60" w:type="dxa"/>
              <w:start w:w="65" w:type="dxa"/>
              <w:bottom w:w="60" w:type="dxa"/>
              <w:end w:w="65" w:type="dxa"/>
            </w:tcMar>
            <w:vAlign w:val="center"/>
          </w:tcPr>
          <w:p>
            <w:pPr>
              <w:jc w:val="left"/>
            </w:pPr>
            <w:r>
              <w:rPr>
                <w:rFonts w:ascii="Arial" w:hAnsi="Arial"/>
                <w:color w:val="000000"/>
                <w:sz w:val="13"/>
              </w:rPr>
              <w:t>15%</w:t>
            </w:r>
          </w:p>
        </w:tc>
        <w:tc>
          <w:tcPr>
            <w:tcW w:type="dxa" w:w="792"/>
            <w:tcMar>
              <w:top w:w="60" w:type="dxa"/>
              <w:start w:w="65" w:type="dxa"/>
              <w:bottom w:w="60" w:type="dxa"/>
              <w:end w:w="65" w:type="dxa"/>
            </w:tcMar>
            <w:vAlign w:val="center"/>
          </w:tcPr>
          <w:p>
            <w:pPr>
              <w:jc w:val="left"/>
            </w:pPr>
            <w:r>
              <w:rPr>
                <w:rFonts w:ascii="Arial" w:hAnsi="Arial"/>
                <w:color w:val="000000"/>
                <w:sz w:val="13"/>
              </w:rPr>
              <w:t>25x</w:t>
            </w:r>
          </w:p>
        </w:tc>
        <w:tc>
          <w:tcPr>
            <w:tcW w:type="dxa" w:w="835"/>
            <w:tcMar>
              <w:top w:w="60" w:type="dxa"/>
              <w:start w:w="65" w:type="dxa"/>
              <w:bottom w:w="60" w:type="dxa"/>
              <w:end w:w="65" w:type="dxa"/>
            </w:tcMar>
            <w:vAlign w:val="center"/>
          </w:tcPr>
          <w:p>
            <w:pPr>
              <w:jc w:val="left"/>
            </w:pPr>
            <w:r>
              <w:rPr>
                <w:rFonts w:ascii="Arial" w:hAnsi="Arial"/>
                <w:color w:val="000000"/>
                <w:sz w:val="13"/>
              </w:rPr>
              <w:t>7.5%</w:t>
            </w:r>
          </w:p>
        </w:tc>
        <w:tc>
          <w:tcPr>
            <w:tcW w:type="dxa" w:w="1224"/>
            <w:tcMar>
              <w:top w:w="60" w:type="dxa"/>
              <w:start w:w="65" w:type="dxa"/>
              <w:bottom w:w="60" w:type="dxa"/>
              <w:end w:w="65" w:type="dxa"/>
            </w:tcMar>
            <w:vAlign w:val="center"/>
          </w:tcPr>
          <w:p>
            <w:pPr>
              <w:jc w:val="left"/>
            </w:pPr>
            <w:r>
              <w:rPr>
                <w:rFonts w:ascii="Arial" w:hAnsi="Arial"/>
                <w:color w:val="000000"/>
                <w:sz w:val="13"/>
              </w:rPr>
              <w:t>0.016</w:t>
            </w:r>
          </w:p>
        </w:tc>
      </w:tr>
      <w:tr>
        <w:trPr>
          <w:cantSplit/>
        </w:trPr>
        <w:tc>
          <w:tcPr>
            <w:tcW w:type="dxa" w:w="2620"/>
            <w:tcMar>
              <w:top w:w="60" w:type="dxa"/>
              <w:start w:w="65" w:type="dxa"/>
              <w:bottom w:w="60" w:type="dxa"/>
              <w:end w:w="65" w:type="dxa"/>
            </w:tcMar>
            <w:vAlign w:val="center"/>
            <w:shd w:fill="D9EAF7"/>
          </w:tcPr>
          <w:p>
            <w:pPr>
              <w:jc w:val="left"/>
            </w:pPr>
            <w:r>
              <w:rPr>
                <w:rFonts w:ascii="Arial" w:hAnsi="Arial"/>
                <w:b/>
                <w:color w:val="000000"/>
                <w:sz w:val="13"/>
              </w:rPr>
              <w:t>TOTAL</w:t>
            </w:r>
          </w:p>
        </w:tc>
        <w:tc>
          <w:tcPr>
            <w:tcW w:type="dxa" w:w="1080"/>
            <w:tcMar>
              <w:top w:w="60" w:type="dxa"/>
              <w:start w:w="65" w:type="dxa"/>
              <w:bottom w:w="60" w:type="dxa"/>
              <w:end w:w="65" w:type="dxa"/>
            </w:tcMar>
            <w:vAlign w:val="center"/>
            <w:shd w:fill="D9EAF7"/>
          </w:tcPr>
          <w:p>
            <w:pPr>
              <w:jc w:val="left"/>
            </w:pPr>
            <w:r>
              <w:rPr>
                <w:rFonts w:ascii="Arial" w:hAnsi="Arial"/>
                <w:b/>
                <w:color w:val="000000"/>
                <w:sz w:val="13"/>
              </w:rPr>
              <w:t>1,191.962</w:t>
            </w:r>
          </w:p>
        </w:tc>
        <w:tc>
          <w:tcPr>
            <w:tcW w:type="dxa" w:w="835"/>
            <w:tcMar>
              <w:top w:w="60" w:type="dxa"/>
              <w:start w:w="65" w:type="dxa"/>
              <w:bottom w:w="60" w:type="dxa"/>
              <w:end w:w="65" w:type="dxa"/>
            </w:tcMar>
            <w:vAlign w:val="center"/>
            <w:shd w:fill="D9EAF7"/>
          </w:tcPr>
          <w:p>
            <w:pPr>
              <w:jc w:val="left"/>
            </w:pPr>
            <w:r>
              <w:rPr>
                <w:rFonts w:ascii="Arial" w:hAnsi="Arial"/>
                <w:b/>
                <w:color w:val="000000"/>
                <w:sz w:val="13"/>
              </w:rPr>
            </w:r>
          </w:p>
        </w:tc>
        <w:tc>
          <w:tcPr>
            <w:tcW w:type="dxa" w:w="835"/>
            <w:tcMar>
              <w:top w:w="60" w:type="dxa"/>
              <w:start w:w="65" w:type="dxa"/>
              <w:bottom w:w="60" w:type="dxa"/>
              <w:end w:w="65" w:type="dxa"/>
            </w:tcMar>
            <w:vAlign w:val="center"/>
            <w:shd w:fill="D9EAF7"/>
          </w:tcPr>
          <w:p>
            <w:pPr>
              <w:jc w:val="left"/>
            </w:pPr>
            <w:r>
              <w:rPr>
                <w:rFonts w:ascii="Arial" w:hAnsi="Arial"/>
                <w:b/>
                <w:color w:val="000000"/>
                <w:sz w:val="13"/>
              </w:rPr>
            </w:r>
          </w:p>
        </w:tc>
        <w:tc>
          <w:tcPr>
            <w:tcW w:type="dxa" w:w="835"/>
            <w:tcMar>
              <w:top w:w="60" w:type="dxa"/>
              <w:start w:w="65" w:type="dxa"/>
              <w:bottom w:w="60" w:type="dxa"/>
              <w:end w:w="65" w:type="dxa"/>
            </w:tcMar>
            <w:vAlign w:val="center"/>
            <w:shd w:fill="D9EAF7"/>
          </w:tcPr>
          <w:p>
            <w:pPr>
              <w:jc w:val="left"/>
            </w:pPr>
            <w:r>
              <w:rPr>
                <w:rFonts w:ascii="Arial" w:hAnsi="Arial"/>
                <w:b/>
                <w:color w:val="000000"/>
                <w:sz w:val="13"/>
              </w:rPr>
            </w:r>
          </w:p>
        </w:tc>
        <w:tc>
          <w:tcPr>
            <w:tcW w:type="dxa" w:w="792"/>
            <w:tcMar>
              <w:top w:w="60" w:type="dxa"/>
              <w:start w:w="65" w:type="dxa"/>
              <w:bottom w:w="60" w:type="dxa"/>
              <w:end w:w="65" w:type="dxa"/>
            </w:tcMar>
            <w:vAlign w:val="center"/>
            <w:shd w:fill="D9EAF7"/>
          </w:tcPr>
          <w:p>
            <w:pPr>
              <w:jc w:val="left"/>
            </w:pPr>
            <w:r>
              <w:rPr>
                <w:rFonts w:ascii="Arial" w:hAnsi="Arial"/>
                <w:b/>
                <w:color w:val="000000"/>
                <w:sz w:val="13"/>
              </w:rPr>
            </w:r>
          </w:p>
        </w:tc>
        <w:tc>
          <w:tcPr>
            <w:tcW w:type="dxa" w:w="835"/>
            <w:tcMar>
              <w:top w:w="60" w:type="dxa"/>
              <w:start w:w="65" w:type="dxa"/>
              <w:bottom w:w="60" w:type="dxa"/>
              <w:end w:w="65" w:type="dxa"/>
            </w:tcMar>
            <w:vAlign w:val="center"/>
            <w:shd w:fill="D9EAF7"/>
          </w:tcPr>
          <w:p>
            <w:pPr>
              <w:jc w:val="left"/>
            </w:pPr>
            <w:r>
              <w:rPr>
                <w:rFonts w:ascii="Arial" w:hAnsi="Arial"/>
                <w:b/>
                <w:color w:val="000000"/>
                <w:sz w:val="13"/>
              </w:rPr>
            </w:r>
          </w:p>
        </w:tc>
        <w:tc>
          <w:tcPr>
            <w:tcW w:type="dxa" w:w="1224"/>
            <w:tcMar>
              <w:top w:w="60" w:type="dxa"/>
              <w:start w:w="65" w:type="dxa"/>
              <w:bottom w:w="60" w:type="dxa"/>
              <w:end w:w="65" w:type="dxa"/>
            </w:tcMar>
            <w:vAlign w:val="center"/>
            <w:shd w:fill="D9EAF7"/>
          </w:tcPr>
          <w:p>
            <w:pPr>
              <w:jc w:val="left"/>
            </w:pPr>
            <w:r>
              <w:rPr>
                <w:rFonts w:ascii="Arial" w:hAnsi="Arial"/>
                <w:b/>
                <w:color w:val="000000"/>
                <w:sz w:val="13"/>
              </w:rPr>
              <w:t>3.307</w:t>
            </w:r>
          </w:p>
        </w:tc>
      </w:tr>
    </w:tbl>
    <w:tbl>
      <w:tblPr>
        <w:tblW w:type="auto" w:w="0"/>
        <w:jc w:val="center"/>
        <w:tblLook w:firstColumn="1" w:firstRow="1" w:lastColumn="0" w:lastRow="0" w:noHBand="0" w:noVBand="1" w:val="04A0"/>
      </w:tblPr>
      <w:tblGrid>
        <w:gridCol w:w="10512"/>
      </w:tblGrid>
      <w:tr>
        <w:trPr>
          <w:cantSplit/>
        </w:trPr>
        <w:tc>
          <w:tcPr>
            <w:tcW w:type="dxa" w:w="10512"/>
            <w:shd w:fill="FFF2CC"/>
            <w:tcMar>
              <w:top w:w="90" w:type="dxa"/>
              <w:start w:w="110" w:type="dxa"/>
              <w:bottom w:w="90" w:type="dxa"/>
              <w:end w:w="110" w:type="dxa"/>
            </w:tcMar>
          </w:tcPr>
          <w:p>
            <w:pPr>
              <w:spacing w:after="0"/>
            </w:pPr>
            <w:r>
              <w:rPr>
                <w:rFonts w:ascii="Arial" w:hAnsi="Arial"/>
                <w:i/>
                <w:color w:val="3C3C3C"/>
                <w:sz w:val="17"/>
              </w:rPr>
              <w:t>This original screening study combines official 2024 market sales with explicit model-authored category assumptions. Annual product filings will replace the screens with reported price, units, materials, labor, and amortized R&amp;D.</w:t>
            </w:r>
          </w:p>
        </w:tc>
      </w:tr>
    </w:tbl>
    <w:p>
      <w:pPr>
        <w:pStyle w:val="Heading1"/>
      </w:pPr>
      <w:r>
        <w:rPr>
          <w:rFonts w:ascii="Aptos" w:hAnsi="Aptos"/>
          <w:sz w:val="20"/>
        </w:rPr>
        <w:t>7. Loan Scumming Taxes</w:t>
      </w:r>
    </w:p>
    <w:p>
      <w:r>
        <w:rPr>
          <w:rFonts w:ascii="Aptos" w:hAnsi="Aptos"/>
          <w:sz w:val="20"/>
        </w:rPr>
        <w:t>The Loan Scumming policy reaches asset-backed borrowing used to live on appreciated wealth without realizing taxable income. It uses two active mechanisms: a 5 percent transfer tax on large debt payoff and a 10 percent retroactive income tax when the automatic 10-year audit finds avoidance.</w:t>
      </w:r>
    </w:p>
    <w:tbl>
      <w:tblPr>
        <w:tblStyle w:val="TableGrid"/>
        <w:tblW w:type="auto" w:w="0"/>
        <w:jc w:val="center"/>
        <w:tblLayout w:type="fixed"/>
        <w:tblLook w:firstColumn="1" w:firstRow="1" w:lastColumn="0" w:lastRow="0" w:noHBand="0" w:noVBand="1" w:val="04A0"/>
      </w:tblPr>
      <w:tblGrid>
        <w:gridCol w:w="5256"/>
        <w:gridCol w:w="5256"/>
      </w:tblGrid>
      <w:tr>
        <w:trPr>
          <w:tblHeader w:val="true"/>
          <w:cantSplit/>
        </w:trPr>
        <w:tc>
          <w:tcPr>
            <w:tcW w:type="dxa" w:w="7632"/>
            <w:shd w:fill="1F4E78"/>
            <w:vAlign w:val="center"/>
            <w:tcMar>
              <w:top w:w="60" w:type="dxa"/>
              <w:start w:w="65" w:type="dxa"/>
              <w:bottom w:w="60" w:type="dxa"/>
              <w:end w:w="65" w:type="dxa"/>
            </w:tcMar>
          </w:tcPr>
          <w:p>
            <w:pPr>
              <w:jc w:val="center"/>
            </w:pPr>
            <w:r>
              <w:rPr>
                <w:rFonts w:ascii="Arial" w:hAnsi="Arial"/>
                <w:b/>
                <w:color w:val="FFFFFF"/>
                <w:sz w:val="17"/>
              </w:rPr>
              <w:t>Loan Scumming line</w:t>
            </w:r>
          </w:p>
        </w:tc>
        <w:tc>
          <w:tcPr>
            <w:tcW w:type="dxa" w:w="2448"/>
            <w:shd w:fill="1F4E78"/>
            <w:vAlign w:val="center"/>
            <w:tcMar>
              <w:top w:w="60" w:type="dxa"/>
              <w:start w:w="65" w:type="dxa"/>
              <w:bottom w:w="60" w:type="dxa"/>
              <w:end w:w="65" w:type="dxa"/>
            </w:tcMar>
          </w:tcPr>
          <w:p>
            <w:pPr>
              <w:jc w:val="center"/>
            </w:pPr>
            <w:r>
              <w:rPr>
                <w:rFonts w:ascii="Arial" w:hAnsi="Arial"/>
                <w:b/>
                <w:color w:val="FFFFFF"/>
                <w:sz w:val="17"/>
              </w:rPr>
              <w:t>Amount / rate</w:t>
            </w:r>
          </w:p>
        </w:tc>
      </w:tr>
      <w:tr>
        <w:trPr>
          <w:cantSplit/>
        </w:trPr>
        <w:tc>
          <w:tcPr>
            <w:tcW w:type="dxa" w:w="7632"/>
            <w:tcMar>
              <w:top w:w="60" w:type="dxa"/>
              <w:start w:w="65" w:type="dxa"/>
              <w:bottom w:w="60" w:type="dxa"/>
              <w:end w:w="65" w:type="dxa"/>
            </w:tcMar>
            <w:vAlign w:val="center"/>
          </w:tcPr>
          <w:p>
            <w:pPr>
              <w:jc w:val="left"/>
            </w:pPr>
            <w:r>
              <w:rPr>
                <w:rFonts w:ascii="Arial" w:hAnsi="Arial"/>
                <w:color w:val="000000"/>
                <w:sz w:val="17"/>
              </w:rPr>
              <w:t>Securities-backed personal-use loans</w:t>
            </w:r>
          </w:p>
        </w:tc>
        <w:tc>
          <w:tcPr>
            <w:tcW w:type="dxa" w:w="2448"/>
            <w:tcMar>
              <w:top w:w="60" w:type="dxa"/>
              <w:start w:w="65" w:type="dxa"/>
              <w:bottom w:w="60" w:type="dxa"/>
              <w:end w:w="65" w:type="dxa"/>
            </w:tcMar>
            <w:vAlign w:val="center"/>
          </w:tcPr>
          <w:p>
            <w:pPr>
              <w:jc w:val="left"/>
            </w:pPr>
            <w:r>
              <w:rPr>
                <w:rFonts w:ascii="Arial" w:hAnsi="Arial"/>
                <w:color w:val="000000"/>
                <w:sz w:val="17"/>
              </w:rPr>
              <w:t>138.000</w:t>
            </w:r>
          </w:p>
        </w:tc>
      </w:tr>
      <w:tr>
        <w:trPr>
          <w:cantSplit/>
        </w:trPr>
        <w:tc>
          <w:tcPr>
            <w:tcW w:type="dxa" w:w="7632"/>
            <w:tcMar>
              <w:top w:w="60" w:type="dxa"/>
              <w:start w:w="65" w:type="dxa"/>
              <w:bottom w:w="60" w:type="dxa"/>
              <w:end w:w="65" w:type="dxa"/>
            </w:tcMar>
            <w:vAlign w:val="center"/>
          </w:tcPr>
          <w:p>
            <w:pPr>
              <w:jc w:val="left"/>
            </w:pPr>
            <w:r>
              <w:rPr>
                <w:rFonts w:ascii="Arial" w:hAnsi="Arial"/>
                <w:color w:val="000000"/>
                <w:sz w:val="17"/>
              </w:rPr>
              <w:t>Margin loans</w:t>
            </w:r>
          </w:p>
        </w:tc>
        <w:tc>
          <w:tcPr>
            <w:tcW w:type="dxa" w:w="2448"/>
            <w:tcMar>
              <w:top w:w="60" w:type="dxa"/>
              <w:start w:w="65" w:type="dxa"/>
              <w:bottom w:w="60" w:type="dxa"/>
              <w:end w:w="65" w:type="dxa"/>
            </w:tcMar>
            <w:vAlign w:val="center"/>
          </w:tcPr>
          <w:p>
            <w:pPr>
              <w:jc w:val="left"/>
            </w:pPr>
            <w:r>
              <w:rPr>
                <w:rFonts w:ascii="Arial" w:hAnsi="Arial"/>
                <w:color w:val="000000"/>
                <w:sz w:val="17"/>
              </w:rPr>
              <w:t>180.000</w:t>
            </w:r>
          </w:p>
        </w:tc>
      </w:tr>
      <w:tr>
        <w:trPr>
          <w:cantSplit/>
        </w:trPr>
        <w:tc>
          <w:tcPr>
            <w:tcW w:type="dxa" w:w="7632"/>
            <w:tcMar>
              <w:top w:w="60" w:type="dxa"/>
              <w:start w:w="65" w:type="dxa"/>
              <w:bottom w:w="60" w:type="dxa"/>
              <w:end w:w="65" w:type="dxa"/>
            </w:tcMar>
            <w:vAlign w:val="center"/>
          </w:tcPr>
          <w:p>
            <w:pPr>
              <w:jc w:val="left"/>
            </w:pPr>
            <w:r>
              <w:rPr>
                <w:rFonts w:ascii="Arial" w:hAnsi="Arial"/>
                <w:color w:val="000000"/>
                <w:sz w:val="17"/>
              </w:rPr>
              <w:t>Combined asset-backed borrowing stock</w:t>
            </w:r>
          </w:p>
        </w:tc>
        <w:tc>
          <w:tcPr>
            <w:tcW w:type="dxa" w:w="2448"/>
            <w:tcMar>
              <w:top w:w="60" w:type="dxa"/>
              <w:start w:w="65" w:type="dxa"/>
              <w:bottom w:w="60" w:type="dxa"/>
              <w:end w:w="65" w:type="dxa"/>
            </w:tcMar>
            <w:vAlign w:val="center"/>
          </w:tcPr>
          <w:p>
            <w:pPr>
              <w:jc w:val="left"/>
            </w:pPr>
            <w:r>
              <w:rPr>
                <w:rFonts w:ascii="Arial" w:hAnsi="Arial"/>
                <w:color w:val="000000"/>
                <w:sz w:val="17"/>
              </w:rPr>
              <w:t>318.000</w:t>
            </w:r>
          </w:p>
        </w:tc>
      </w:tr>
      <w:tr>
        <w:trPr>
          <w:cantSplit/>
        </w:trPr>
        <w:tc>
          <w:tcPr>
            <w:tcW w:type="dxa" w:w="7632"/>
            <w:tcMar>
              <w:top w:w="60" w:type="dxa"/>
              <w:start w:w="65" w:type="dxa"/>
              <w:bottom w:w="60" w:type="dxa"/>
              <w:end w:w="65" w:type="dxa"/>
            </w:tcMar>
            <w:vAlign w:val="center"/>
          </w:tcPr>
          <w:p>
            <w:pPr>
              <w:jc w:val="left"/>
            </w:pPr>
            <w:r>
              <w:rPr>
                <w:rFonts w:ascii="Arial" w:hAnsi="Arial"/>
                <w:color w:val="000000"/>
                <w:sz w:val="17"/>
              </w:rPr>
              <w:t>Annual payoff turnover assumption</w:t>
            </w:r>
          </w:p>
        </w:tc>
        <w:tc>
          <w:tcPr>
            <w:tcW w:type="dxa" w:w="2448"/>
            <w:tcMar>
              <w:top w:w="60" w:type="dxa"/>
              <w:start w:w="65" w:type="dxa"/>
              <w:bottom w:w="60" w:type="dxa"/>
              <w:end w:w="65" w:type="dxa"/>
            </w:tcMar>
            <w:vAlign w:val="center"/>
          </w:tcPr>
          <w:p>
            <w:pPr>
              <w:jc w:val="left"/>
            </w:pPr>
            <w:r>
              <w:rPr>
                <w:rFonts w:ascii="Arial" w:hAnsi="Arial"/>
                <w:color w:val="000000"/>
                <w:sz w:val="17"/>
              </w:rPr>
              <w:t>25.0%</w:t>
            </w:r>
          </w:p>
        </w:tc>
      </w:tr>
      <w:tr>
        <w:trPr>
          <w:cantSplit/>
        </w:trPr>
        <w:tc>
          <w:tcPr>
            <w:tcW w:type="dxa" w:w="7632"/>
            <w:tcMar>
              <w:top w:w="60" w:type="dxa"/>
              <w:start w:w="65" w:type="dxa"/>
              <w:bottom w:w="60" w:type="dxa"/>
              <w:end w:w="65" w:type="dxa"/>
            </w:tcMar>
            <w:vAlign w:val="center"/>
          </w:tcPr>
          <w:p>
            <w:pPr>
              <w:jc w:val="left"/>
            </w:pPr>
            <w:r>
              <w:rPr>
                <w:rFonts w:ascii="Arial" w:hAnsi="Arial"/>
                <w:color w:val="000000"/>
                <w:sz w:val="17"/>
              </w:rPr>
              <w:t>Annual payoff base</w:t>
            </w:r>
          </w:p>
        </w:tc>
        <w:tc>
          <w:tcPr>
            <w:tcW w:type="dxa" w:w="2448"/>
            <w:tcMar>
              <w:top w:w="60" w:type="dxa"/>
              <w:start w:w="65" w:type="dxa"/>
              <w:bottom w:w="60" w:type="dxa"/>
              <w:end w:w="65" w:type="dxa"/>
            </w:tcMar>
            <w:vAlign w:val="center"/>
          </w:tcPr>
          <w:p>
            <w:pPr>
              <w:jc w:val="left"/>
            </w:pPr>
            <w:r>
              <w:rPr>
                <w:rFonts w:ascii="Arial" w:hAnsi="Arial"/>
                <w:color w:val="000000"/>
                <w:sz w:val="17"/>
              </w:rPr>
              <w:t>79.500</w:t>
            </w:r>
          </w:p>
        </w:tc>
      </w:tr>
      <w:tr>
        <w:trPr>
          <w:cantSplit/>
        </w:trPr>
        <w:tc>
          <w:tcPr>
            <w:tcW w:type="dxa" w:w="7632"/>
            <w:tcMar>
              <w:top w:w="60" w:type="dxa"/>
              <w:start w:w="65" w:type="dxa"/>
              <w:bottom w:w="60" w:type="dxa"/>
              <w:end w:w="65" w:type="dxa"/>
            </w:tcMar>
            <w:vAlign w:val="center"/>
          </w:tcPr>
          <w:p>
            <w:pPr>
              <w:jc w:val="left"/>
            </w:pPr>
            <w:r>
              <w:rPr>
                <w:rFonts w:ascii="Arial" w:hAnsi="Arial"/>
                <w:color w:val="000000"/>
                <w:sz w:val="17"/>
              </w:rPr>
              <w:t>5% payoff tax</w:t>
            </w:r>
          </w:p>
        </w:tc>
        <w:tc>
          <w:tcPr>
            <w:tcW w:type="dxa" w:w="2448"/>
            <w:tcMar>
              <w:top w:w="60" w:type="dxa"/>
              <w:start w:w="65" w:type="dxa"/>
              <w:bottom w:w="60" w:type="dxa"/>
              <w:end w:w="65" w:type="dxa"/>
            </w:tcMar>
            <w:vAlign w:val="center"/>
          </w:tcPr>
          <w:p>
            <w:pPr>
              <w:jc w:val="left"/>
            </w:pPr>
            <w:r>
              <w:rPr>
                <w:rFonts w:ascii="Arial" w:hAnsi="Arial"/>
                <w:color w:val="000000"/>
                <w:sz w:val="17"/>
              </w:rPr>
              <w:t>3.975</w:t>
            </w:r>
          </w:p>
        </w:tc>
      </w:tr>
      <w:tr>
        <w:trPr>
          <w:cantSplit/>
        </w:trPr>
        <w:tc>
          <w:tcPr>
            <w:tcW w:type="dxa" w:w="7632"/>
            <w:tcMar>
              <w:top w:w="60" w:type="dxa"/>
              <w:start w:w="65" w:type="dxa"/>
              <w:bottom w:w="60" w:type="dxa"/>
              <w:end w:w="65" w:type="dxa"/>
            </w:tcMar>
            <w:vAlign w:val="center"/>
          </w:tcPr>
          <w:p>
            <w:pPr>
              <w:jc w:val="left"/>
            </w:pPr>
            <w:r>
              <w:rPr>
                <w:rFonts w:ascii="Arial" w:hAnsi="Arial"/>
                <w:color w:val="000000"/>
                <w:sz w:val="17"/>
              </w:rPr>
              <w:t>10+ year audit-eligible share</w:t>
            </w:r>
          </w:p>
        </w:tc>
        <w:tc>
          <w:tcPr>
            <w:tcW w:type="dxa" w:w="2448"/>
            <w:tcMar>
              <w:top w:w="60" w:type="dxa"/>
              <w:start w:w="65" w:type="dxa"/>
              <w:bottom w:w="60" w:type="dxa"/>
              <w:end w:w="65" w:type="dxa"/>
            </w:tcMar>
            <w:vAlign w:val="center"/>
          </w:tcPr>
          <w:p>
            <w:pPr>
              <w:jc w:val="left"/>
            </w:pPr>
            <w:r>
              <w:rPr>
                <w:rFonts w:ascii="Arial" w:hAnsi="Arial"/>
                <w:color w:val="000000"/>
                <w:sz w:val="17"/>
              </w:rPr>
              <w:t>25.0%</w:t>
            </w:r>
          </w:p>
        </w:tc>
      </w:tr>
      <w:tr>
        <w:trPr>
          <w:cantSplit/>
        </w:trPr>
        <w:tc>
          <w:tcPr>
            <w:tcW w:type="dxa" w:w="7632"/>
            <w:tcMar>
              <w:top w:w="60" w:type="dxa"/>
              <w:start w:w="65" w:type="dxa"/>
              <w:bottom w:w="60" w:type="dxa"/>
              <w:end w:w="65" w:type="dxa"/>
            </w:tcMar>
            <w:vAlign w:val="center"/>
          </w:tcPr>
          <w:p>
            <w:pPr>
              <w:jc w:val="left"/>
            </w:pPr>
            <w:r>
              <w:rPr>
                <w:rFonts w:ascii="Arial" w:hAnsi="Arial"/>
                <w:color w:val="000000"/>
                <w:sz w:val="17"/>
              </w:rPr>
              <w:t>Avoidance finding rate</w:t>
            </w:r>
          </w:p>
        </w:tc>
        <w:tc>
          <w:tcPr>
            <w:tcW w:type="dxa" w:w="2448"/>
            <w:tcMar>
              <w:top w:w="60" w:type="dxa"/>
              <w:start w:w="65" w:type="dxa"/>
              <w:bottom w:w="60" w:type="dxa"/>
              <w:end w:w="65" w:type="dxa"/>
            </w:tcMar>
            <w:vAlign w:val="center"/>
          </w:tcPr>
          <w:p>
            <w:pPr>
              <w:jc w:val="left"/>
            </w:pPr>
            <w:r>
              <w:rPr>
                <w:rFonts w:ascii="Arial" w:hAnsi="Arial"/>
                <w:color w:val="000000"/>
                <w:sz w:val="17"/>
              </w:rPr>
              <w:t>50.0%</w:t>
            </w:r>
          </w:p>
        </w:tc>
      </w:tr>
      <w:tr>
        <w:trPr>
          <w:cantSplit/>
        </w:trPr>
        <w:tc>
          <w:tcPr>
            <w:tcW w:type="dxa" w:w="7632"/>
            <w:tcMar>
              <w:top w:w="60" w:type="dxa"/>
              <w:start w:w="65" w:type="dxa"/>
              <w:bottom w:w="60" w:type="dxa"/>
              <w:end w:w="65" w:type="dxa"/>
            </w:tcMar>
            <w:vAlign w:val="center"/>
          </w:tcPr>
          <w:p>
            <w:pPr>
              <w:jc w:val="left"/>
            </w:pPr>
            <w:r>
              <w:rPr>
                <w:rFonts w:ascii="Arial" w:hAnsi="Arial"/>
                <w:color w:val="000000"/>
                <w:sz w:val="17"/>
              </w:rPr>
              <w:t>Retroactively recharacterized income</w:t>
            </w:r>
          </w:p>
        </w:tc>
        <w:tc>
          <w:tcPr>
            <w:tcW w:type="dxa" w:w="2448"/>
            <w:tcMar>
              <w:top w:w="60" w:type="dxa"/>
              <w:start w:w="65" w:type="dxa"/>
              <w:bottom w:w="60" w:type="dxa"/>
              <w:end w:w="65" w:type="dxa"/>
            </w:tcMar>
            <w:vAlign w:val="center"/>
          </w:tcPr>
          <w:p>
            <w:pPr>
              <w:jc w:val="left"/>
            </w:pPr>
            <w:r>
              <w:rPr>
                <w:rFonts w:ascii="Arial" w:hAnsi="Arial"/>
                <w:color w:val="000000"/>
                <w:sz w:val="17"/>
              </w:rPr>
              <w:t>39.750</w:t>
            </w:r>
          </w:p>
        </w:tc>
      </w:tr>
      <w:tr>
        <w:trPr>
          <w:cantSplit/>
        </w:trPr>
        <w:tc>
          <w:tcPr>
            <w:tcW w:type="dxa" w:w="7632"/>
            <w:tcMar>
              <w:top w:w="60" w:type="dxa"/>
              <w:start w:w="65" w:type="dxa"/>
              <w:bottom w:w="60" w:type="dxa"/>
              <w:end w:w="65" w:type="dxa"/>
            </w:tcMar>
            <w:vAlign w:val="center"/>
          </w:tcPr>
          <w:p>
            <w:pPr>
              <w:jc w:val="left"/>
            </w:pPr>
            <w:r>
              <w:rPr>
                <w:rFonts w:ascii="Arial" w:hAnsi="Arial"/>
                <w:color w:val="000000"/>
                <w:sz w:val="17"/>
              </w:rPr>
              <w:t>10% retroactive income tax</w:t>
            </w:r>
          </w:p>
        </w:tc>
        <w:tc>
          <w:tcPr>
            <w:tcW w:type="dxa" w:w="2448"/>
            <w:tcMar>
              <w:top w:w="60" w:type="dxa"/>
              <w:start w:w="65" w:type="dxa"/>
              <w:bottom w:w="60" w:type="dxa"/>
              <w:end w:w="65" w:type="dxa"/>
            </w:tcMar>
            <w:vAlign w:val="center"/>
          </w:tcPr>
          <w:p>
            <w:pPr>
              <w:jc w:val="left"/>
            </w:pPr>
            <w:r>
              <w:rPr>
                <w:rFonts w:ascii="Arial" w:hAnsi="Arial"/>
                <w:color w:val="000000"/>
                <w:sz w:val="17"/>
              </w:rPr>
              <w:t>3.975</w:t>
            </w:r>
          </w:p>
        </w:tc>
      </w:tr>
      <w:tr>
        <w:trPr>
          <w:cantSplit/>
        </w:trPr>
        <w:tc>
          <w:tcPr>
            <w:tcW w:type="dxa" w:w="7632"/>
            <w:tcMar>
              <w:top w:w="60" w:type="dxa"/>
              <w:start w:w="65" w:type="dxa"/>
              <w:bottom w:w="60" w:type="dxa"/>
              <w:end w:w="65" w:type="dxa"/>
            </w:tcMar>
            <w:vAlign w:val="center"/>
            <w:shd w:fill="D9EAF7"/>
          </w:tcPr>
          <w:p>
            <w:pPr>
              <w:jc w:val="left"/>
            </w:pPr>
            <w:r>
              <w:rPr>
                <w:rFonts w:ascii="Arial" w:hAnsi="Arial"/>
                <w:b/>
                <w:color w:val="000000"/>
                <w:sz w:val="17"/>
              </w:rPr>
              <w:t>TOTAL ACTIVE REVENUE</w:t>
            </w:r>
          </w:p>
        </w:tc>
        <w:tc>
          <w:tcPr>
            <w:tcW w:type="dxa" w:w="2448"/>
            <w:tcMar>
              <w:top w:w="60" w:type="dxa"/>
              <w:start w:w="65" w:type="dxa"/>
              <w:bottom w:w="60" w:type="dxa"/>
              <w:end w:w="65" w:type="dxa"/>
            </w:tcMar>
            <w:vAlign w:val="center"/>
            <w:shd w:fill="D9EAF7"/>
          </w:tcPr>
          <w:p>
            <w:pPr>
              <w:jc w:val="left"/>
            </w:pPr>
            <w:r>
              <w:rPr>
                <w:rFonts w:ascii="Arial" w:hAnsi="Arial"/>
                <w:b/>
                <w:color w:val="000000"/>
                <w:sz w:val="17"/>
              </w:rPr>
              <w:t>7.950</w:t>
            </w:r>
          </w:p>
        </w:tc>
      </w:tr>
    </w:tbl>
    <w:p>
      <w:r>
        <w:rPr>
          <w:rFonts w:ascii="Aptos" w:hAnsi="Aptos"/>
          <w:sz w:val="20"/>
        </w:rPr>
        <w:t>The implementation aggregates related loans and lenders by taxpayer so repayments cannot be fragmented below the threshold. Primary-home acquisition mortgages and ordinary operating-business loans remain outside the audit unless the facts show tax avoidance.</w:t>
      </w:r>
    </w:p>
    <w:p>
      <w:pPr>
        <w:pStyle w:val="Heading1"/>
      </w:pPr>
      <w:r>
        <w:rPr>
          <w:rFonts w:ascii="Aptos" w:hAnsi="Aptos"/>
          <w:sz w:val="20"/>
        </w:rPr>
        <w:t>8. Protectorate Fee</w:t>
      </w:r>
    </w:p>
    <w:p>
      <w:r>
        <w:rPr>
          <w:rFonts w:ascii="Aptos" w:hAnsi="Aptos"/>
          <w:sz w:val="20"/>
        </w:rPr>
        <w:t>The older Tax Study ModelSheet is restored as the active base. Seventy-seven covered countries carry combined government expenditure of $15.140 trillion. A 1 percent Protectorate Fee produces $151.404 billion in General Treasury revenue.</w:t>
      </w:r>
    </w:p>
    <w:tbl>
      <w:tblPr>
        <w:tblStyle w:val="TableGrid"/>
        <w:tblW w:type="auto" w:w="0"/>
        <w:jc w:val="center"/>
        <w:tblLayout w:type="fixed"/>
        <w:tblLook w:firstColumn="1" w:firstRow="1" w:lastColumn="0" w:lastRow="0" w:noHBand="0" w:noVBand="1" w:val="04A0"/>
      </w:tblPr>
      <w:tblGrid>
        <w:gridCol w:w="3504"/>
        <w:gridCol w:w="3504"/>
        <w:gridCol w:w="3504"/>
      </w:tblGrid>
      <w:tr>
        <w:trPr>
          <w:tblHeader w:val="true"/>
          <w:cantSplit/>
        </w:trPr>
        <w:tc>
          <w:tcPr>
            <w:tcW w:type="dxa" w:w="4752"/>
            <w:shd w:fill="1F4E78"/>
            <w:vAlign w:val="center"/>
            <w:tcMar>
              <w:top w:w="60" w:type="dxa"/>
              <w:start w:w="65" w:type="dxa"/>
              <w:bottom w:w="60" w:type="dxa"/>
              <w:end w:w="65" w:type="dxa"/>
            </w:tcMar>
          </w:tcPr>
          <w:p>
            <w:pPr>
              <w:jc w:val="center"/>
            </w:pPr>
            <w:r>
              <w:rPr>
                <w:rFonts w:ascii="Arial" w:hAnsi="Arial"/>
                <w:b/>
                <w:color w:val="FFFFFF"/>
                <w:sz w:val="16"/>
              </w:rPr>
              <w:t>Selected covered country</w:t>
            </w:r>
          </w:p>
        </w:tc>
        <w:tc>
          <w:tcPr>
            <w:tcW w:type="dxa" w:w="2880"/>
            <w:shd w:fill="1F4E78"/>
            <w:vAlign w:val="center"/>
            <w:tcMar>
              <w:top w:w="60" w:type="dxa"/>
              <w:start w:w="65" w:type="dxa"/>
              <w:bottom w:w="60" w:type="dxa"/>
              <w:end w:w="65" w:type="dxa"/>
            </w:tcMar>
          </w:tcPr>
          <w:p>
            <w:pPr>
              <w:jc w:val="center"/>
            </w:pPr>
            <w:r>
              <w:rPr>
                <w:rFonts w:ascii="Arial" w:hAnsi="Arial"/>
                <w:b/>
                <w:color w:val="FFFFFF"/>
                <w:sz w:val="16"/>
              </w:rPr>
              <w:t>Government expenditure ($B)</w:t>
            </w:r>
          </w:p>
        </w:tc>
        <w:tc>
          <w:tcPr>
            <w:tcW w:type="dxa" w:w="2015"/>
            <w:shd w:fill="1F4E78"/>
            <w:vAlign w:val="center"/>
            <w:tcMar>
              <w:top w:w="60" w:type="dxa"/>
              <w:start w:w="65" w:type="dxa"/>
              <w:bottom w:w="60" w:type="dxa"/>
              <w:end w:w="65" w:type="dxa"/>
            </w:tcMar>
          </w:tcPr>
          <w:p>
            <w:pPr>
              <w:jc w:val="center"/>
            </w:pPr>
            <w:r>
              <w:rPr>
                <w:rFonts w:ascii="Arial" w:hAnsi="Arial"/>
                <w:b/>
                <w:color w:val="FFFFFF"/>
                <w:sz w:val="16"/>
              </w:rPr>
              <w:t>1% fee ($B)</w:t>
            </w:r>
          </w:p>
        </w:tc>
      </w:tr>
      <w:tr>
        <w:trPr>
          <w:cantSplit/>
        </w:trPr>
        <w:tc>
          <w:tcPr>
            <w:tcW w:type="dxa" w:w="4752"/>
            <w:tcMar>
              <w:top w:w="60" w:type="dxa"/>
              <w:start w:w="65" w:type="dxa"/>
              <w:bottom w:w="60" w:type="dxa"/>
              <w:end w:w="65" w:type="dxa"/>
            </w:tcMar>
            <w:vAlign w:val="center"/>
          </w:tcPr>
          <w:p>
            <w:pPr>
              <w:jc w:val="left"/>
            </w:pPr>
            <w:r>
              <w:rPr>
                <w:rFonts w:ascii="Arial" w:hAnsi="Arial"/>
                <w:color w:val="000000"/>
                <w:sz w:val="16"/>
              </w:rPr>
              <w:t>Japan</w:t>
            </w:r>
          </w:p>
        </w:tc>
        <w:tc>
          <w:tcPr>
            <w:tcW w:type="dxa" w:w="2880"/>
            <w:tcMar>
              <w:top w:w="60" w:type="dxa"/>
              <w:start w:w="65" w:type="dxa"/>
              <w:bottom w:w="60" w:type="dxa"/>
              <w:end w:w="65" w:type="dxa"/>
            </w:tcMar>
            <w:vAlign w:val="center"/>
          </w:tcPr>
          <w:p>
            <w:pPr>
              <w:jc w:val="left"/>
            </w:pPr>
            <w:r>
              <w:rPr>
                <w:rFonts w:ascii="Arial" w:hAnsi="Arial"/>
                <w:color w:val="000000"/>
                <w:sz w:val="16"/>
              </w:rPr>
              <w:t>2,140.220</w:t>
            </w:r>
          </w:p>
        </w:tc>
        <w:tc>
          <w:tcPr>
            <w:tcW w:type="dxa" w:w="2015"/>
            <w:tcMar>
              <w:top w:w="60" w:type="dxa"/>
              <w:start w:w="65" w:type="dxa"/>
              <w:bottom w:w="60" w:type="dxa"/>
              <w:end w:w="65" w:type="dxa"/>
            </w:tcMar>
            <w:vAlign w:val="center"/>
          </w:tcPr>
          <w:p>
            <w:pPr>
              <w:jc w:val="left"/>
            </w:pPr>
            <w:r>
              <w:rPr>
                <w:rFonts w:ascii="Arial" w:hAnsi="Arial"/>
                <w:color w:val="000000"/>
                <w:sz w:val="16"/>
              </w:rPr>
              <w:t>21.402</w:t>
            </w:r>
          </w:p>
        </w:tc>
      </w:tr>
      <w:tr>
        <w:trPr>
          <w:cantSplit/>
        </w:trPr>
        <w:tc>
          <w:tcPr>
            <w:tcW w:type="dxa" w:w="4752"/>
            <w:tcMar>
              <w:top w:w="60" w:type="dxa"/>
              <w:start w:w="65" w:type="dxa"/>
              <w:bottom w:w="60" w:type="dxa"/>
              <w:end w:w="65" w:type="dxa"/>
            </w:tcMar>
            <w:vAlign w:val="center"/>
          </w:tcPr>
          <w:p>
            <w:pPr>
              <w:jc w:val="left"/>
            </w:pPr>
            <w:r>
              <w:rPr>
                <w:rFonts w:ascii="Arial" w:hAnsi="Arial"/>
                <w:color w:val="000000"/>
                <w:sz w:val="16"/>
              </w:rPr>
              <w:t>Germany</w:t>
            </w:r>
          </w:p>
        </w:tc>
        <w:tc>
          <w:tcPr>
            <w:tcW w:type="dxa" w:w="2880"/>
            <w:tcMar>
              <w:top w:w="60" w:type="dxa"/>
              <w:start w:w="65" w:type="dxa"/>
              <w:bottom w:w="60" w:type="dxa"/>
              <w:end w:w="65" w:type="dxa"/>
            </w:tcMar>
            <w:vAlign w:val="center"/>
          </w:tcPr>
          <w:p>
            <w:pPr>
              <w:jc w:val="left"/>
            </w:pPr>
            <w:r>
              <w:rPr>
                <w:rFonts w:ascii="Arial" w:hAnsi="Arial"/>
                <w:color w:val="000000"/>
                <w:sz w:val="16"/>
              </w:rPr>
              <w:t>2,025.630</w:t>
            </w:r>
          </w:p>
        </w:tc>
        <w:tc>
          <w:tcPr>
            <w:tcW w:type="dxa" w:w="2015"/>
            <w:tcMar>
              <w:top w:w="60" w:type="dxa"/>
              <w:start w:w="65" w:type="dxa"/>
              <w:bottom w:w="60" w:type="dxa"/>
              <w:end w:w="65" w:type="dxa"/>
            </w:tcMar>
            <w:vAlign w:val="center"/>
          </w:tcPr>
          <w:p>
            <w:pPr>
              <w:jc w:val="left"/>
            </w:pPr>
            <w:r>
              <w:rPr>
                <w:rFonts w:ascii="Arial" w:hAnsi="Arial"/>
                <w:color w:val="000000"/>
                <w:sz w:val="16"/>
              </w:rPr>
              <w:t>20.256</w:t>
            </w:r>
          </w:p>
        </w:tc>
      </w:tr>
      <w:tr>
        <w:trPr>
          <w:cantSplit/>
        </w:trPr>
        <w:tc>
          <w:tcPr>
            <w:tcW w:type="dxa" w:w="4752"/>
            <w:tcMar>
              <w:top w:w="60" w:type="dxa"/>
              <w:start w:w="65" w:type="dxa"/>
              <w:bottom w:w="60" w:type="dxa"/>
              <w:end w:w="65" w:type="dxa"/>
            </w:tcMar>
            <w:vAlign w:val="center"/>
          </w:tcPr>
          <w:p>
            <w:pPr>
              <w:jc w:val="left"/>
            </w:pPr>
            <w:r>
              <w:rPr>
                <w:rFonts w:ascii="Arial" w:hAnsi="Arial"/>
                <w:color w:val="000000"/>
                <w:sz w:val="16"/>
              </w:rPr>
              <w:t>United Kingdom</w:t>
            </w:r>
          </w:p>
        </w:tc>
        <w:tc>
          <w:tcPr>
            <w:tcW w:type="dxa" w:w="2880"/>
            <w:tcMar>
              <w:top w:w="60" w:type="dxa"/>
              <w:start w:w="65" w:type="dxa"/>
              <w:bottom w:w="60" w:type="dxa"/>
              <w:end w:w="65" w:type="dxa"/>
            </w:tcMar>
            <w:vAlign w:val="center"/>
          </w:tcPr>
          <w:p>
            <w:pPr>
              <w:jc w:val="left"/>
            </w:pPr>
            <w:r>
              <w:rPr>
                <w:rFonts w:ascii="Arial" w:hAnsi="Arial"/>
                <w:color w:val="000000"/>
                <w:sz w:val="16"/>
              </w:rPr>
              <w:t>1,386.190</w:t>
            </w:r>
          </w:p>
        </w:tc>
        <w:tc>
          <w:tcPr>
            <w:tcW w:type="dxa" w:w="2015"/>
            <w:tcMar>
              <w:top w:w="60" w:type="dxa"/>
              <w:start w:w="65" w:type="dxa"/>
              <w:bottom w:w="60" w:type="dxa"/>
              <w:end w:w="65" w:type="dxa"/>
            </w:tcMar>
            <w:vAlign w:val="center"/>
          </w:tcPr>
          <w:p>
            <w:pPr>
              <w:jc w:val="left"/>
            </w:pPr>
            <w:r>
              <w:rPr>
                <w:rFonts w:ascii="Arial" w:hAnsi="Arial"/>
                <w:color w:val="000000"/>
                <w:sz w:val="16"/>
              </w:rPr>
              <w:t>13.862</w:t>
            </w:r>
          </w:p>
        </w:tc>
      </w:tr>
      <w:tr>
        <w:trPr>
          <w:cantSplit/>
        </w:trPr>
        <w:tc>
          <w:tcPr>
            <w:tcW w:type="dxa" w:w="4752"/>
            <w:tcMar>
              <w:top w:w="60" w:type="dxa"/>
              <w:start w:w="65" w:type="dxa"/>
              <w:bottom w:w="60" w:type="dxa"/>
              <w:end w:w="65" w:type="dxa"/>
            </w:tcMar>
            <w:vAlign w:val="center"/>
          </w:tcPr>
          <w:p>
            <w:pPr>
              <w:jc w:val="left"/>
            </w:pPr>
            <w:r>
              <w:rPr>
                <w:rFonts w:ascii="Arial" w:hAnsi="Arial"/>
                <w:color w:val="000000"/>
                <w:sz w:val="16"/>
              </w:rPr>
              <w:t>Italy</w:t>
            </w:r>
          </w:p>
        </w:tc>
        <w:tc>
          <w:tcPr>
            <w:tcW w:type="dxa" w:w="2880"/>
            <w:tcMar>
              <w:top w:w="60" w:type="dxa"/>
              <w:start w:w="65" w:type="dxa"/>
              <w:bottom w:w="60" w:type="dxa"/>
              <w:end w:w="65" w:type="dxa"/>
            </w:tcMar>
            <w:vAlign w:val="center"/>
          </w:tcPr>
          <w:p>
            <w:pPr>
              <w:jc w:val="left"/>
            </w:pPr>
            <w:r>
              <w:rPr>
                <w:rFonts w:ascii="Arial" w:hAnsi="Arial"/>
                <w:color w:val="000000"/>
                <w:sz w:val="16"/>
              </w:rPr>
              <w:t>1,143.330</w:t>
            </w:r>
          </w:p>
        </w:tc>
        <w:tc>
          <w:tcPr>
            <w:tcW w:type="dxa" w:w="2015"/>
            <w:tcMar>
              <w:top w:w="60" w:type="dxa"/>
              <w:start w:w="65" w:type="dxa"/>
              <w:bottom w:w="60" w:type="dxa"/>
              <w:end w:w="65" w:type="dxa"/>
            </w:tcMar>
            <w:vAlign w:val="center"/>
          </w:tcPr>
          <w:p>
            <w:pPr>
              <w:jc w:val="left"/>
            </w:pPr>
            <w:r>
              <w:rPr>
                <w:rFonts w:ascii="Arial" w:hAnsi="Arial"/>
                <w:color w:val="000000"/>
                <w:sz w:val="16"/>
              </w:rPr>
              <w:t>11.433</w:t>
            </w:r>
          </w:p>
        </w:tc>
      </w:tr>
      <w:tr>
        <w:trPr>
          <w:cantSplit/>
        </w:trPr>
        <w:tc>
          <w:tcPr>
            <w:tcW w:type="dxa" w:w="4752"/>
            <w:tcMar>
              <w:top w:w="60" w:type="dxa"/>
              <w:start w:w="65" w:type="dxa"/>
              <w:bottom w:w="60" w:type="dxa"/>
              <w:end w:w="65" w:type="dxa"/>
            </w:tcMar>
            <w:vAlign w:val="center"/>
          </w:tcPr>
          <w:p>
            <w:pPr>
              <w:jc w:val="left"/>
            </w:pPr>
            <w:r>
              <w:rPr>
                <w:rFonts w:ascii="Arial" w:hAnsi="Arial"/>
                <w:color w:val="000000"/>
                <w:sz w:val="16"/>
              </w:rPr>
              <w:t>Canada</w:t>
            </w:r>
          </w:p>
        </w:tc>
        <w:tc>
          <w:tcPr>
            <w:tcW w:type="dxa" w:w="2880"/>
            <w:tcMar>
              <w:top w:w="60" w:type="dxa"/>
              <w:start w:w="65" w:type="dxa"/>
              <w:bottom w:w="60" w:type="dxa"/>
              <w:end w:w="65" w:type="dxa"/>
            </w:tcMar>
            <w:vAlign w:val="center"/>
          </w:tcPr>
          <w:p>
            <w:pPr>
              <w:jc w:val="left"/>
            </w:pPr>
            <w:r>
              <w:rPr>
                <w:rFonts w:ascii="Arial" w:hAnsi="Arial"/>
                <w:color w:val="000000"/>
                <w:sz w:val="16"/>
              </w:rPr>
              <w:t>887.520</w:t>
            </w:r>
          </w:p>
        </w:tc>
        <w:tc>
          <w:tcPr>
            <w:tcW w:type="dxa" w:w="2015"/>
            <w:tcMar>
              <w:top w:w="60" w:type="dxa"/>
              <w:start w:w="65" w:type="dxa"/>
              <w:bottom w:w="60" w:type="dxa"/>
              <w:end w:w="65" w:type="dxa"/>
            </w:tcMar>
            <w:vAlign w:val="center"/>
          </w:tcPr>
          <w:p>
            <w:pPr>
              <w:jc w:val="left"/>
            </w:pPr>
            <w:r>
              <w:rPr>
                <w:rFonts w:ascii="Arial" w:hAnsi="Arial"/>
                <w:color w:val="000000"/>
                <w:sz w:val="16"/>
              </w:rPr>
              <w:t>8.875</w:t>
            </w:r>
          </w:p>
        </w:tc>
      </w:tr>
      <w:tr>
        <w:trPr>
          <w:cantSplit/>
        </w:trPr>
        <w:tc>
          <w:tcPr>
            <w:tcW w:type="dxa" w:w="4752"/>
            <w:tcMar>
              <w:top w:w="60" w:type="dxa"/>
              <w:start w:w="65" w:type="dxa"/>
              <w:bottom w:w="60" w:type="dxa"/>
              <w:end w:w="65" w:type="dxa"/>
            </w:tcMar>
            <w:vAlign w:val="center"/>
          </w:tcPr>
          <w:p>
            <w:pPr>
              <w:jc w:val="left"/>
            </w:pPr>
            <w:r>
              <w:rPr>
                <w:rFonts w:ascii="Arial" w:hAnsi="Arial"/>
                <w:color w:val="000000"/>
                <w:sz w:val="16"/>
              </w:rPr>
              <w:t>Brazil</w:t>
            </w:r>
          </w:p>
        </w:tc>
        <w:tc>
          <w:tcPr>
            <w:tcW w:type="dxa" w:w="2880"/>
            <w:tcMar>
              <w:top w:w="60" w:type="dxa"/>
              <w:start w:w="65" w:type="dxa"/>
              <w:bottom w:w="60" w:type="dxa"/>
              <w:end w:w="65" w:type="dxa"/>
            </w:tcMar>
            <w:vAlign w:val="center"/>
          </w:tcPr>
          <w:p>
            <w:pPr>
              <w:jc w:val="left"/>
            </w:pPr>
            <w:r>
              <w:rPr>
                <w:rFonts w:ascii="Arial" w:hAnsi="Arial"/>
                <w:color w:val="000000"/>
                <w:sz w:val="16"/>
              </w:rPr>
              <w:t>833.570</w:t>
            </w:r>
          </w:p>
        </w:tc>
        <w:tc>
          <w:tcPr>
            <w:tcW w:type="dxa" w:w="2015"/>
            <w:tcMar>
              <w:top w:w="60" w:type="dxa"/>
              <w:start w:w="65" w:type="dxa"/>
              <w:bottom w:w="60" w:type="dxa"/>
              <w:end w:w="65" w:type="dxa"/>
            </w:tcMar>
            <w:vAlign w:val="center"/>
          </w:tcPr>
          <w:p>
            <w:pPr>
              <w:jc w:val="left"/>
            </w:pPr>
            <w:r>
              <w:rPr>
                <w:rFonts w:ascii="Arial" w:hAnsi="Arial"/>
                <w:color w:val="000000"/>
                <w:sz w:val="16"/>
              </w:rPr>
              <w:t>8.336</w:t>
            </w:r>
          </w:p>
        </w:tc>
      </w:tr>
      <w:tr>
        <w:trPr>
          <w:cantSplit/>
        </w:trPr>
        <w:tc>
          <w:tcPr>
            <w:tcW w:type="dxa" w:w="4752"/>
            <w:tcMar>
              <w:top w:w="60" w:type="dxa"/>
              <w:start w:w="65" w:type="dxa"/>
              <w:bottom w:w="60" w:type="dxa"/>
              <w:end w:w="65" w:type="dxa"/>
            </w:tcMar>
            <w:vAlign w:val="center"/>
          </w:tcPr>
          <w:p>
            <w:pPr>
              <w:jc w:val="left"/>
            </w:pPr>
            <w:r>
              <w:rPr>
                <w:rFonts w:ascii="Arial" w:hAnsi="Arial"/>
                <w:color w:val="000000"/>
                <w:sz w:val="16"/>
              </w:rPr>
              <w:t>Spain</w:t>
            </w:r>
          </w:p>
        </w:tc>
        <w:tc>
          <w:tcPr>
            <w:tcW w:type="dxa" w:w="2880"/>
            <w:tcMar>
              <w:top w:w="60" w:type="dxa"/>
              <w:start w:w="65" w:type="dxa"/>
              <w:bottom w:w="60" w:type="dxa"/>
              <w:end w:w="65" w:type="dxa"/>
            </w:tcMar>
            <w:vAlign w:val="center"/>
          </w:tcPr>
          <w:p>
            <w:pPr>
              <w:jc w:val="left"/>
            </w:pPr>
            <w:r>
              <w:rPr>
                <w:rFonts w:ascii="Arial" w:hAnsi="Arial"/>
                <w:color w:val="000000"/>
                <w:sz w:val="16"/>
              </w:rPr>
              <w:t>722.980</w:t>
            </w:r>
          </w:p>
        </w:tc>
        <w:tc>
          <w:tcPr>
            <w:tcW w:type="dxa" w:w="2015"/>
            <w:tcMar>
              <w:top w:w="60" w:type="dxa"/>
              <w:start w:w="65" w:type="dxa"/>
              <w:bottom w:w="60" w:type="dxa"/>
              <w:end w:w="65" w:type="dxa"/>
            </w:tcMar>
            <w:vAlign w:val="center"/>
          </w:tcPr>
          <w:p>
            <w:pPr>
              <w:jc w:val="left"/>
            </w:pPr>
            <w:r>
              <w:rPr>
                <w:rFonts w:ascii="Arial" w:hAnsi="Arial"/>
                <w:color w:val="000000"/>
                <w:sz w:val="16"/>
              </w:rPr>
              <w:t>7.230</w:t>
            </w:r>
          </w:p>
        </w:tc>
      </w:tr>
      <w:tr>
        <w:trPr>
          <w:cantSplit/>
        </w:trPr>
        <w:tc>
          <w:tcPr>
            <w:tcW w:type="dxa" w:w="4752"/>
            <w:tcMar>
              <w:top w:w="60" w:type="dxa"/>
              <w:start w:w="65" w:type="dxa"/>
              <w:bottom w:w="60" w:type="dxa"/>
              <w:end w:w="65" w:type="dxa"/>
            </w:tcMar>
            <w:vAlign w:val="center"/>
          </w:tcPr>
          <w:p>
            <w:pPr>
              <w:jc w:val="left"/>
            </w:pPr>
            <w:r>
              <w:rPr>
                <w:rFonts w:ascii="Arial" w:hAnsi="Arial"/>
                <w:color w:val="000000"/>
                <w:sz w:val="16"/>
              </w:rPr>
              <w:t>Australia</w:t>
            </w:r>
          </w:p>
        </w:tc>
        <w:tc>
          <w:tcPr>
            <w:tcW w:type="dxa" w:w="2880"/>
            <w:tcMar>
              <w:top w:w="60" w:type="dxa"/>
              <w:start w:w="65" w:type="dxa"/>
              <w:bottom w:w="60" w:type="dxa"/>
              <w:end w:w="65" w:type="dxa"/>
            </w:tcMar>
            <w:vAlign w:val="center"/>
          </w:tcPr>
          <w:p>
            <w:pPr>
              <w:jc w:val="left"/>
            </w:pPr>
            <w:r>
              <w:rPr>
                <w:rFonts w:ascii="Arial" w:hAnsi="Arial"/>
                <w:color w:val="000000"/>
                <w:sz w:val="16"/>
              </w:rPr>
              <w:t>694.600</w:t>
            </w:r>
          </w:p>
        </w:tc>
        <w:tc>
          <w:tcPr>
            <w:tcW w:type="dxa" w:w="2015"/>
            <w:tcMar>
              <w:top w:w="60" w:type="dxa"/>
              <w:start w:w="65" w:type="dxa"/>
              <w:bottom w:w="60" w:type="dxa"/>
              <w:end w:w="65" w:type="dxa"/>
            </w:tcMar>
            <w:vAlign w:val="center"/>
          </w:tcPr>
          <w:p>
            <w:pPr>
              <w:jc w:val="left"/>
            </w:pPr>
            <w:r>
              <w:rPr>
                <w:rFonts w:ascii="Arial" w:hAnsi="Arial"/>
                <w:color w:val="000000"/>
                <w:sz w:val="16"/>
              </w:rPr>
              <w:t>6.946</w:t>
            </w:r>
          </w:p>
        </w:tc>
      </w:tr>
      <w:tr>
        <w:trPr>
          <w:cantSplit/>
        </w:trPr>
        <w:tc>
          <w:tcPr>
            <w:tcW w:type="dxa" w:w="4752"/>
            <w:tcMar>
              <w:top w:w="60" w:type="dxa"/>
              <w:start w:w="65" w:type="dxa"/>
              <w:bottom w:w="60" w:type="dxa"/>
              <w:end w:w="65" w:type="dxa"/>
            </w:tcMar>
            <w:vAlign w:val="center"/>
          </w:tcPr>
          <w:p>
            <w:pPr>
              <w:jc w:val="left"/>
            </w:pPr>
            <w:r>
              <w:rPr>
                <w:rFonts w:ascii="Arial" w:hAnsi="Arial"/>
                <w:color w:val="000000"/>
                <w:sz w:val="16"/>
              </w:rPr>
              <w:t>South Korea</w:t>
            </w:r>
          </w:p>
        </w:tc>
        <w:tc>
          <w:tcPr>
            <w:tcW w:type="dxa" w:w="2880"/>
            <w:tcMar>
              <w:top w:w="60" w:type="dxa"/>
              <w:start w:w="65" w:type="dxa"/>
              <w:bottom w:w="60" w:type="dxa"/>
              <w:end w:w="65" w:type="dxa"/>
            </w:tcMar>
            <w:vAlign w:val="center"/>
          </w:tcPr>
          <w:p>
            <w:pPr>
              <w:jc w:val="left"/>
            </w:pPr>
            <w:r>
              <w:rPr>
                <w:rFonts w:ascii="Arial" w:hAnsi="Arial"/>
                <w:color w:val="000000"/>
                <w:sz w:val="16"/>
              </w:rPr>
              <w:t>468.040</w:t>
            </w:r>
          </w:p>
        </w:tc>
        <w:tc>
          <w:tcPr>
            <w:tcW w:type="dxa" w:w="2015"/>
            <w:tcMar>
              <w:top w:w="60" w:type="dxa"/>
              <w:start w:w="65" w:type="dxa"/>
              <w:bottom w:w="60" w:type="dxa"/>
              <w:end w:w="65" w:type="dxa"/>
            </w:tcMar>
            <w:vAlign w:val="center"/>
          </w:tcPr>
          <w:p>
            <w:pPr>
              <w:jc w:val="left"/>
            </w:pPr>
            <w:r>
              <w:rPr>
                <w:rFonts w:ascii="Arial" w:hAnsi="Arial"/>
                <w:color w:val="000000"/>
                <w:sz w:val="16"/>
              </w:rPr>
              <w:t>4.680</w:t>
            </w:r>
          </w:p>
        </w:tc>
      </w:tr>
      <w:tr>
        <w:trPr>
          <w:cantSplit/>
        </w:trPr>
        <w:tc>
          <w:tcPr>
            <w:tcW w:type="dxa" w:w="4752"/>
            <w:tcMar>
              <w:top w:w="60" w:type="dxa"/>
              <w:start w:w="65" w:type="dxa"/>
              <w:bottom w:w="60" w:type="dxa"/>
              <w:end w:w="65" w:type="dxa"/>
            </w:tcMar>
            <w:vAlign w:val="center"/>
          </w:tcPr>
          <w:p>
            <w:pPr>
              <w:jc w:val="left"/>
            </w:pPr>
            <w:r>
              <w:rPr>
                <w:rFonts w:ascii="Arial" w:hAnsi="Arial"/>
                <w:color w:val="000000"/>
                <w:sz w:val="16"/>
              </w:rPr>
              <w:t>Netherlands</w:t>
            </w:r>
          </w:p>
        </w:tc>
        <w:tc>
          <w:tcPr>
            <w:tcW w:type="dxa" w:w="2880"/>
            <w:tcMar>
              <w:top w:w="60" w:type="dxa"/>
              <w:start w:w="65" w:type="dxa"/>
              <w:bottom w:w="60" w:type="dxa"/>
              <w:end w:w="65" w:type="dxa"/>
            </w:tcMar>
            <w:vAlign w:val="center"/>
          </w:tcPr>
          <w:p>
            <w:pPr>
              <w:jc w:val="left"/>
            </w:pPr>
            <w:r>
              <w:rPr>
                <w:rFonts w:ascii="Arial" w:hAnsi="Arial"/>
                <w:color w:val="000000"/>
                <w:sz w:val="16"/>
              </w:rPr>
              <w:t>464.330</w:t>
            </w:r>
          </w:p>
        </w:tc>
        <w:tc>
          <w:tcPr>
            <w:tcW w:type="dxa" w:w="2015"/>
            <w:tcMar>
              <w:top w:w="60" w:type="dxa"/>
              <w:start w:w="65" w:type="dxa"/>
              <w:bottom w:w="60" w:type="dxa"/>
              <w:end w:w="65" w:type="dxa"/>
            </w:tcMar>
            <w:vAlign w:val="center"/>
          </w:tcPr>
          <w:p>
            <w:pPr>
              <w:jc w:val="left"/>
            </w:pPr>
            <w:r>
              <w:rPr>
                <w:rFonts w:ascii="Arial" w:hAnsi="Arial"/>
                <w:color w:val="000000"/>
                <w:sz w:val="16"/>
              </w:rPr>
              <w:t>4.643</w:t>
            </w:r>
          </w:p>
        </w:tc>
      </w:tr>
      <w:tr>
        <w:trPr>
          <w:cantSplit/>
        </w:trPr>
        <w:tc>
          <w:tcPr>
            <w:tcW w:type="dxa" w:w="4752"/>
            <w:tcMar>
              <w:top w:w="60" w:type="dxa"/>
              <w:start w:w="65" w:type="dxa"/>
              <w:bottom w:w="60" w:type="dxa"/>
              <w:end w:w="65" w:type="dxa"/>
            </w:tcMar>
            <w:vAlign w:val="center"/>
            <w:shd w:fill="D9EAF7"/>
          </w:tcPr>
          <w:p>
            <w:pPr>
              <w:jc w:val="left"/>
            </w:pPr>
            <w:r>
              <w:rPr>
                <w:rFonts w:ascii="Arial" w:hAnsi="Arial"/>
                <w:b/>
                <w:color w:val="000000"/>
                <w:sz w:val="16"/>
              </w:rPr>
              <w:t>All 77 countries</w:t>
            </w:r>
          </w:p>
        </w:tc>
        <w:tc>
          <w:tcPr>
            <w:tcW w:type="dxa" w:w="2880"/>
            <w:tcMar>
              <w:top w:w="60" w:type="dxa"/>
              <w:start w:w="65" w:type="dxa"/>
              <w:bottom w:w="60" w:type="dxa"/>
              <w:end w:w="65" w:type="dxa"/>
            </w:tcMar>
            <w:vAlign w:val="center"/>
            <w:shd w:fill="D9EAF7"/>
          </w:tcPr>
          <w:p>
            <w:pPr>
              <w:jc w:val="left"/>
            </w:pPr>
            <w:r>
              <w:rPr>
                <w:rFonts w:ascii="Arial" w:hAnsi="Arial"/>
                <w:b/>
                <w:color w:val="000000"/>
                <w:sz w:val="16"/>
              </w:rPr>
              <w:t>15,140.380</w:t>
            </w:r>
          </w:p>
        </w:tc>
        <w:tc>
          <w:tcPr>
            <w:tcW w:type="dxa" w:w="2015"/>
            <w:tcMar>
              <w:top w:w="60" w:type="dxa"/>
              <w:start w:w="65" w:type="dxa"/>
              <w:bottom w:w="60" w:type="dxa"/>
              <w:end w:w="65" w:type="dxa"/>
            </w:tcMar>
            <w:vAlign w:val="center"/>
            <w:shd w:fill="D9EAF7"/>
          </w:tcPr>
          <w:p>
            <w:pPr>
              <w:jc w:val="left"/>
            </w:pPr>
            <w:r>
              <w:rPr>
                <w:rFonts w:ascii="Arial" w:hAnsi="Arial"/>
                <w:b/>
                <w:color w:val="000000"/>
                <w:sz w:val="16"/>
              </w:rPr>
              <w:t>151.404</w:t>
            </w:r>
          </w:p>
        </w:tc>
      </w:tr>
    </w:tbl>
    <w:p>
      <w:r>
        <w:rPr>
          <w:rFonts w:ascii="Aptos" w:hAnsi="Aptos"/>
          <w:sz w:val="20"/>
        </w:rPr>
        <w:t>The companion workbook contains the full 77-country table and preserves the original 2018 through 2022 base years. Later country-year updates may refresh the data without changing the 1 percent formula.</w:t>
      </w:r>
    </w:p>
    <w:p>
      <w:pPr>
        <w:pStyle w:val="Heading1"/>
      </w:pPr>
      <w:r>
        <w:rPr>
          <w:rFonts w:ascii="Aptos" w:hAnsi="Aptos"/>
          <w:sz w:val="20"/>
        </w:rPr>
        <w:t>9. Citizen Data Royalty and Flat Luxury Tax</w:t>
      </w:r>
    </w:p>
    <w:p>
      <w:pPr>
        <w:pStyle w:val="Heading2"/>
      </w:pPr>
      <w:r>
        <w:rPr>
          <w:rFonts w:ascii="Aptos" w:hAnsi="Aptos"/>
          <w:sz w:val="20"/>
        </w:rPr>
        <w:t>9.1 Citizen Data Royalty</w:t>
      </w:r>
    </w:p>
    <w:p>
      <w:r>
        <w:rPr>
          <w:rFonts w:ascii="Aptos" w:hAnsi="Aptos"/>
          <w:sz w:val="20"/>
        </w:rPr>
        <w:t>The Citizen Data Tax is renamed the Citizen Data Royalty. A 30 percent royalty applies to covered gross United States revenue attributable to collecting, compiling, profiling, licensing, targeting with, or otherwise commercially monetizing citizen data. The royalty does not apply to all advertising. Contextual advertising, internal operational analytics, cybersecurity logs, noncommercial research, government records, and industrial telemetry unrelated to people remain outside the base.</w:t>
      </w:r>
    </w:p>
    <w:p>
      <w:r>
        <w:rPr>
          <w:rFonts w:ascii="Aptos" w:hAnsi="Aptos"/>
          <w:sz w:val="20"/>
        </w:rPr>
        <w:t>The original market build examines $623.010 billion in gross revenue channels, excludes $376.478 billion for non-data-dependent activity and overlap, and produces a net taxable base of $246.532 billion. The active annual royalty is $73.960 billion. General Government administers collection and transfers the full amount to the Citizen Wealth Fund. The collection and transfer therefore net to zero in the ordinary General Government operating balance.</w:t>
      </w:r>
    </w:p>
    <w:tbl>
      <w:tblPr>
        <w:tblStyle w:val="TableGrid"/>
        <w:tblW w:type="auto" w:w="0"/>
        <w:jc w:val="center"/>
        <w:tblLook w:firstColumn="1" w:firstRow="1" w:lastColumn="0" w:lastRow="0" w:noHBand="0" w:noVBand="1" w:val="04A0"/>
      </w:tblPr>
      <w:tblGrid>
        <w:gridCol w:w="3504"/>
        <w:gridCol w:w="3504"/>
        <w:gridCol w:w="3504"/>
      </w:tblGrid>
      <w:tr>
        <w:tc>
          <w:tcPr>
            <w:tcW w:type="dxa" w:w="5040"/>
            <w:vAlign w:val="center"/>
            <w:shd w:fill="1F4E78"/>
          </w:tcPr>
          <w:p>
            <w:pPr>
              <w:spacing w:after="0"/>
            </w:pPr>
            <w:r>
              <w:rPr>
                <w:rFonts w:ascii="Arial" w:hAnsi="Arial"/>
                <w:b/>
                <w:color w:val="FFFFFF"/>
                <w:sz w:val="17"/>
              </w:rPr>
              <w:t>Covered market channel</w:t>
            </w:r>
          </w:p>
        </w:tc>
        <w:tc>
          <w:tcPr>
            <w:tcW w:type="dxa" w:w="1728"/>
            <w:vAlign w:val="center"/>
            <w:shd w:fill="1F4E78"/>
          </w:tcPr>
          <w:p>
            <w:pPr>
              <w:spacing w:after="0"/>
            </w:pPr>
            <w:r>
              <w:rPr>
                <w:rFonts w:ascii="Arial" w:hAnsi="Arial"/>
                <w:b/>
                <w:color w:val="FFFFFF"/>
                <w:sz w:val="17"/>
              </w:rPr>
              <w:t>Net base ($B)</w:t>
            </w:r>
          </w:p>
        </w:tc>
        <w:tc>
          <w:tcPr>
            <w:tcW w:type="dxa" w:w="1872"/>
            <w:vAlign w:val="center"/>
            <w:shd w:fill="1F4E78"/>
          </w:tcPr>
          <w:p>
            <w:pPr>
              <w:spacing w:after="0"/>
            </w:pPr>
            <w:r>
              <w:rPr>
                <w:rFonts w:ascii="Arial" w:hAnsi="Arial"/>
                <w:b/>
                <w:color w:val="FFFFFF"/>
                <w:sz w:val="17"/>
              </w:rPr>
              <w:t>30% royalty ($B)</w:t>
            </w:r>
          </w:p>
        </w:tc>
      </w:tr>
      <w:tr>
        <w:tc>
          <w:tcPr>
            <w:tcW w:type="dxa" w:w="5040"/>
            <w:vAlign w:val="center"/>
          </w:tcPr>
          <w:p>
            <w:pPr>
              <w:spacing w:after="0"/>
            </w:pPr>
            <w:r>
              <w:rPr>
                <w:rFonts w:ascii="Arial" w:hAnsi="Arial"/>
                <w:sz w:val="17"/>
              </w:rPr>
              <w:t>Data-dependent digital advertising</w:t>
            </w:r>
          </w:p>
        </w:tc>
        <w:tc>
          <w:tcPr>
            <w:tcW w:type="dxa" w:w="1728"/>
            <w:vAlign w:val="center"/>
          </w:tcPr>
          <w:p>
            <w:pPr>
              <w:spacing w:after="0"/>
            </w:pPr>
            <w:r>
              <w:rPr>
                <w:rFonts w:ascii="Arial" w:hAnsi="Arial"/>
                <w:sz w:val="17"/>
              </w:rPr>
              <w:t>147.550</w:t>
            </w:r>
          </w:p>
        </w:tc>
        <w:tc>
          <w:tcPr>
            <w:tcW w:type="dxa" w:w="1872"/>
            <w:vAlign w:val="center"/>
          </w:tcPr>
          <w:p>
            <w:pPr>
              <w:spacing w:after="0"/>
            </w:pPr>
            <w:r>
              <w:rPr>
                <w:rFonts w:ascii="Arial" w:hAnsi="Arial"/>
                <w:sz w:val="17"/>
              </w:rPr>
              <w:t>44.265</w:t>
            </w:r>
          </w:p>
        </w:tc>
      </w:tr>
      <w:tr>
        <w:tc>
          <w:tcPr>
            <w:tcW w:type="dxa" w:w="5040"/>
            <w:vAlign w:val="center"/>
          </w:tcPr>
          <w:p>
            <w:pPr>
              <w:spacing w:after="0"/>
            </w:pPr>
            <w:r>
              <w:rPr>
                <w:rFonts w:ascii="Arial" w:hAnsi="Arial"/>
                <w:sz w:val="17"/>
              </w:rPr>
              <w:t>Data brokers and commercial licensing</w:t>
            </w:r>
          </w:p>
        </w:tc>
        <w:tc>
          <w:tcPr>
            <w:tcW w:type="dxa" w:w="1728"/>
            <w:vAlign w:val="center"/>
          </w:tcPr>
          <w:p>
            <w:pPr>
              <w:spacing w:after="0"/>
            </w:pPr>
            <w:r>
              <w:rPr>
                <w:rFonts w:ascii="Arial" w:hAnsi="Arial"/>
                <w:sz w:val="17"/>
              </w:rPr>
              <w:t>66.996</w:t>
            </w:r>
          </w:p>
        </w:tc>
        <w:tc>
          <w:tcPr>
            <w:tcW w:type="dxa" w:w="1872"/>
            <w:vAlign w:val="center"/>
          </w:tcPr>
          <w:p>
            <w:pPr>
              <w:spacing w:after="0"/>
            </w:pPr>
            <w:r>
              <w:rPr>
                <w:rFonts w:ascii="Arial" w:hAnsi="Arial"/>
                <w:sz w:val="17"/>
              </w:rPr>
              <w:t>20.099</w:t>
            </w:r>
          </w:p>
        </w:tc>
      </w:tr>
      <w:tr>
        <w:tc>
          <w:tcPr>
            <w:tcW w:type="dxa" w:w="5040"/>
            <w:vAlign w:val="center"/>
          </w:tcPr>
          <w:p>
            <w:pPr>
              <w:spacing w:after="0"/>
            </w:pPr>
            <w:r>
              <w:rPr>
                <w:rFonts w:ascii="Arial" w:hAnsi="Arial"/>
                <w:sz w:val="17"/>
              </w:rPr>
              <w:t>Credit, workforce, and identity data</w:t>
            </w:r>
          </w:p>
        </w:tc>
        <w:tc>
          <w:tcPr>
            <w:tcW w:type="dxa" w:w="1728"/>
            <w:vAlign w:val="center"/>
          </w:tcPr>
          <w:p>
            <w:pPr>
              <w:spacing w:after="0"/>
            </w:pPr>
            <w:r>
              <w:rPr>
                <w:rFonts w:ascii="Arial" w:hAnsi="Arial"/>
                <w:sz w:val="17"/>
              </w:rPr>
              <w:t>11.077</w:t>
            </w:r>
          </w:p>
        </w:tc>
        <w:tc>
          <w:tcPr>
            <w:tcW w:type="dxa" w:w="1872"/>
            <w:vAlign w:val="center"/>
          </w:tcPr>
          <w:p>
            <w:pPr>
              <w:spacing w:after="0"/>
            </w:pPr>
            <w:r>
              <w:rPr>
                <w:rFonts w:ascii="Arial" w:hAnsi="Arial"/>
                <w:sz w:val="17"/>
              </w:rPr>
              <w:t>3.323</w:t>
            </w:r>
          </w:p>
        </w:tc>
      </w:tr>
      <w:tr>
        <w:tc>
          <w:tcPr>
            <w:tcW w:type="dxa" w:w="5040"/>
            <w:vAlign w:val="center"/>
          </w:tcPr>
          <w:p>
            <w:pPr>
              <w:spacing w:after="0"/>
            </w:pPr>
            <w:r>
              <w:rPr>
                <w:rFonts w:ascii="Arial" w:hAnsi="Arial"/>
                <w:sz w:val="17"/>
              </w:rPr>
              <w:t>Market research and audience measurement</w:t>
            </w:r>
          </w:p>
        </w:tc>
        <w:tc>
          <w:tcPr>
            <w:tcW w:type="dxa" w:w="1728"/>
            <w:vAlign w:val="center"/>
          </w:tcPr>
          <w:p>
            <w:pPr>
              <w:spacing w:after="0"/>
            </w:pPr>
            <w:r>
              <w:rPr>
                <w:rFonts w:ascii="Arial" w:hAnsi="Arial"/>
                <w:sz w:val="17"/>
              </w:rPr>
              <w:t>15.814</w:t>
            </w:r>
          </w:p>
        </w:tc>
        <w:tc>
          <w:tcPr>
            <w:tcW w:type="dxa" w:w="1872"/>
            <w:vAlign w:val="center"/>
          </w:tcPr>
          <w:p>
            <w:pPr>
              <w:spacing w:after="0"/>
            </w:pPr>
            <w:r>
              <w:rPr>
                <w:rFonts w:ascii="Arial" w:hAnsi="Arial"/>
                <w:sz w:val="17"/>
              </w:rPr>
              <w:t>4.744</w:t>
            </w:r>
          </w:p>
        </w:tc>
      </w:tr>
      <w:tr>
        <w:tc>
          <w:tcPr>
            <w:tcW w:type="dxa" w:w="5040"/>
            <w:vAlign w:val="center"/>
          </w:tcPr>
          <w:p>
            <w:pPr>
              <w:spacing w:after="0"/>
            </w:pPr>
            <w:r>
              <w:rPr>
                <w:rFonts w:ascii="Arial" w:hAnsi="Arial"/>
                <w:sz w:val="17"/>
              </w:rPr>
              <w:t>Location intelligence</w:t>
            </w:r>
          </w:p>
        </w:tc>
        <w:tc>
          <w:tcPr>
            <w:tcW w:type="dxa" w:w="1728"/>
            <w:vAlign w:val="center"/>
          </w:tcPr>
          <w:p>
            <w:pPr>
              <w:spacing w:after="0"/>
            </w:pPr>
            <w:r>
              <w:rPr>
                <w:rFonts w:ascii="Arial" w:hAnsi="Arial"/>
                <w:sz w:val="17"/>
              </w:rPr>
              <w:t>2.294</w:t>
            </w:r>
          </w:p>
        </w:tc>
        <w:tc>
          <w:tcPr>
            <w:tcW w:type="dxa" w:w="1872"/>
            <w:vAlign w:val="center"/>
          </w:tcPr>
          <w:p>
            <w:pPr>
              <w:spacing w:after="0"/>
            </w:pPr>
            <w:r>
              <w:rPr>
                <w:rFonts w:ascii="Arial" w:hAnsi="Arial"/>
                <w:sz w:val="17"/>
              </w:rPr>
              <w:t>0.688</w:t>
            </w:r>
          </w:p>
        </w:tc>
      </w:tr>
      <w:tr>
        <w:tc>
          <w:tcPr>
            <w:tcW w:type="dxa" w:w="5040"/>
            <w:vAlign w:val="center"/>
          </w:tcPr>
          <w:p>
            <w:pPr>
              <w:spacing w:after="0"/>
            </w:pPr>
            <w:r>
              <w:rPr>
                <w:rFonts w:ascii="Arial" w:hAnsi="Arial"/>
                <w:sz w:val="17"/>
              </w:rPr>
              <w:t>Vehicle telematics data services</w:t>
            </w:r>
          </w:p>
        </w:tc>
        <w:tc>
          <w:tcPr>
            <w:tcW w:type="dxa" w:w="1728"/>
            <w:vAlign w:val="center"/>
          </w:tcPr>
          <w:p>
            <w:pPr>
              <w:spacing w:after="0"/>
            </w:pPr>
            <w:r>
              <w:rPr>
                <w:rFonts w:ascii="Arial" w:hAnsi="Arial"/>
                <w:sz w:val="17"/>
              </w:rPr>
              <w:t>1.358</w:t>
            </w:r>
          </w:p>
        </w:tc>
        <w:tc>
          <w:tcPr>
            <w:tcW w:type="dxa" w:w="1872"/>
            <w:vAlign w:val="center"/>
          </w:tcPr>
          <w:p>
            <w:pPr>
              <w:spacing w:after="0"/>
            </w:pPr>
            <w:r>
              <w:rPr>
                <w:rFonts w:ascii="Arial" w:hAnsi="Arial"/>
                <w:sz w:val="17"/>
              </w:rPr>
              <w:t>0.407</w:t>
            </w:r>
          </w:p>
        </w:tc>
      </w:tr>
      <w:tr>
        <w:tc>
          <w:tcPr>
            <w:tcW w:type="dxa" w:w="5040"/>
            <w:vAlign w:val="center"/>
          </w:tcPr>
          <w:p>
            <w:pPr>
              <w:spacing w:after="0"/>
            </w:pPr>
            <w:r>
              <w:rPr>
                <w:rFonts w:ascii="Arial" w:hAnsi="Arial"/>
                <w:sz w:val="17"/>
              </w:rPr>
              <w:t>People-based lead generation</w:t>
            </w:r>
          </w:p>
        </w:tc>
        <w:tc>
          <w:tcPr>
            <w:tcW w:type="dxa" w:w="1728"/>
            <w:vAlign w:val="center"/>
          </w:tcPr>
          <w:p>
            <w:pPr>
              <w:spacing w:after="0"/>
            </w:pPr>
            <w:r>
              <w:rPr>
                <w:rFonts w:ascii="Arial" w:hAnsi="Arial"/>
                <w:sz w:val="17"/>
              </w:rPr>
              <w:t>1.443</w:t>
            </w:r>
          </w:p>
        </w:tc>
        <w:tc>
          <w:tcPr>
            <w:tcW w:type="dxa" w:w="1872"/>
            <w:vAlign w:val="center"/>
          </w:tcPr>
          <w:p>
            <w:pPr>
              <w:spacing w:after="0"/>
            </w:pPr>
            <w:r>
              <w:rPr>
                <w:rFonts w:ascii="Arial" w:hAnsi="Arial"/>
                <w:sz w:val="17"/>
              </w:rPr>
              <w:t>0.433</w:t>
            </w:r>
          </w:p>
        </w:tc>
      </w:tr>
      <w:tr>
        <w:tc>
          <w:tcPr>
            <w:tcW w:type="dxa" w:w="5040"/>
            <w:vAlign w:val="center"/>
          </w:tcPr>
          <w:p>
            <w:pPr>
              <w:spacing w:after="0"/>
            </w:pPr>
            <w:r>
              <w:rPr>
                <w:rFonts w:ascii="Arial" w:hAnsi="Arial"/>
                <w:sz w:val="17"/>
              </w:rPr>
              <w:t>TOTAL</w:t>
            </w:r>
          </w:p>
        </w:tc>
        <w:tc>
          <w:tcPr>
            <w:tcW w:type="dxa" w:w="1728"/>
            <w:vAlign w:val="center"/>
          </w:tcPr>
          <w:p>
            <w:pPr>
              <w:spacing w:after="0"/>
            </w:pPr>
            <w:r>
              <w:rPr>
                <w:rFonts w:ascii="Arial" w:hAnsi="Arial"/>
                <w:sz w:val="17"/>
              </w:rPr>
              <w:t>246.532</w:t>
            </w:r>
          </w:p>
        </w:tc>
        <w:tc>
          <w:tcPr>
            <w:tcW w:type="dxa" w:w="1872"/>
            <w:vAlign w:val="center"/>
          </w:tcPr>
          <w:p>
            <w:pPr>
              <w:spacing w:after="0"/>
            </w:pPr>
            <w:r>
              <w:rPr>
                <w:rFonts w:ascii="Arial" w:hAnsi="Arial"/>
                <w:sz w:val="17"/>
              </w:rPr>
              <w:t>73.960</w:t>
            </w:r>
          </w:p>
        </w:tc>
      </w:tr>
    </w:tbl>
    <w:p>
      <w:pPr>
        <w:pStyle w:val="Heading2"/>
      </w:pPr>
      <w:r>
        <w:rPr>
          <w:rFonts w:ascii="Aptos" w:hAnsi="Aptos"/>
          <w:sz w:val="20"/>
        </w:rPr>
        <w:t>9.2 Flat Luxury Tax</w:t>
      </w:r>
    </w:p>
    <w:p>
      <w:r>
        <w:rPr>
          <w:rFonts w:ascii="Aptos" w:hAnsi="Aptos"/>
          <w:sz w:val="20"/>
        </w:rPr>
        <w:t>A flat 5 percent Luxury Tax applies at retail sale, commercial auction, registration, or import to qualifying nonproductive luxury purchases. The tax excludes verified productive business equipment, industrial machinery, agricultural assets, medical and educational purchases, ordinary household goods, and private household resale. Related purchases and installment transfers aggregate to the full transaction price.</w:t>
      </w:r>
    </w:p>
    <w:p>
      <w:r>
        <w:rPr>
          <w:rFonts w:ascii="Aptos" w:hAnsi="Aptos"/>
          <w:sz w:val="20"/>
        </w:rPr>
        <w:t>The active 2024 base combines $115.220 billion in United States personal luxury goods, $110.000 billion in luxury and exotic vehicles, $3.400 billion in luxury yachts, and $12.655 billion in United States business jets. The resulting $241.275 billion base produces $12.064 billion in General Treasury revenue.</w:t>
      </w:r>
    </w:p>
    <w:tbl>
      <w:tblPr>
        <w:tblStyle w:val="TableGrid"/>
        <w:tblW w:type="auto" w:w="0"/>
        <w:jc w:val="center"/>
        <w:tblLook w:firstColumn="1" w:firstRow="1" w:lastColumn="0" w:lastRow="0" w:noHBand="0" w:noVBand="1" w:val="04A0"/>
      </w:tblPr>
      <w:tblGrid>
        <w:gridCol w:w="3504"/>
        <w:gridCol w:w="3504"/>
        <w:gridCol w:w="3504"/>
      </w:tblGrid>
      <w:tr>
        <w:tc>
          <w:tcPr>
            <w:tcW w:type="dxa" w:w="5040"/>
            <w:vAlign w:val="center"/>
            <w:shd w:fill="1F4E78"/>
          </w:tcPr>
          <w:p>
            <w:pPr>
              <w:spacing w:after="0"/>
            </w:pPr>
            <w:r>
              <w:rPr>
                <w:rFonts w:ascii="Arial" w:hAnsi="Arial"/>
                <w:b/>
                <w:color w:val="FFFFFF"/>
                <w:sz w:val="17"/>
              </w:rPr>
              <w:t>Luxury-market component</w:t>
            </w:r>
          </w:p>
        </w:tc>
        <w:tc>
          <w:tcPr>
            <w:tcW w:type="dxa" w:w="1728"/>
            <w:vAlign w:val="center"/>
            <w:shd w:fill="1F4E78"/>
          </w:tcPr>
          <w:p>
            <w:pPr>
              <w:spacing w:after="0"/>
            </w:pPr>
            <w:r>
              <w:rPr>
                <w:rFonts w:ascii="Arial" w:hAnsi="Arial"/>
                <w:b/>
                <w:color w:val="FFFFFF"/>
                <w:sz w:val="17"/>
              </w:rPr>
              <w:t>Taxable base ($B)</w:t>
            </w:r>
          </w:p>
        </w:tc>
        <w:tc>
          <w:tcPr>
            <w:tcW w:type="dxa" w:w="1872"/>
            <w:vAlign w:val="center"/>
            <w:shd w:fill="1F4E78"/>
          </w:tcPr>
          <w:p>
            <w:pPr>
              <w:spacing w:after="0"/>
            </w:pPr>
            <w:r>
              <w:rPr>
                <w:rFonts w:ascii="Arial" w:hAnsi="Arial"/>
                <w:b/>
                <w:color w:val="FFFFFF"/>
                <w:sz w:val="17"/>
              </w:rPr>
              <w:t>5% revenue ($B)</w:t>
            </w:r>
          </w:p>
        </w:tc>
      </w:tr>
      <w:tr>
        <w:tc>
          <w:tcPr>
            <w:tcW w:type="dxa" w:w="5040"/>
            <w:vAlign w:val="center"/>
          </w:tcPr>
          <w:p>
            <w:pPr>
              <w:spacing w:after="0"/>
            </w:pPr>
            <w:r>
              <w:rPr>
                <w:rFonts w:ascii="Arial" w:hAnsi="Arial"/>
                <w:sz w:val="17"/>
              </w:rPr>
              <w:t>Personal luxury goods</w:t>
            </w:r>
          </w:p>
        </w:tc>
        <w:tc>
          <w:tcPr>
            <w:tcW w:type="dxa" w:w="1728"/>
            <w:vAlign w:val="center"/>
          </w:tcPr>
          <w:p>
            <w:pPr>
              <w:spacing w:after="0"/>
            </w:pPr>
            <w:r>
              <w:rPr>
                <w:rFonts w:ascii="Arial" w:hAnsi="Arial"/>
                <w:sz w:val="17"/>
              </w:rPr>
              <w:t>115.220</w:t>
            </w:r>
          </w:p>
        </w:tc>
        <w:tc>
          <w:tcPr>
            <w:tcW w:type="dxa" w:w="1872"/>
            <w:vAlign w:val="center"/>
          </w:tcPr>
          <w:p>
            <w:pPr>
              <w:spacing w:after="0"/>
            </w:pPr>
            <w:r>
              <w:rPr>
                <w:rFonts w:ascii="Arial" w:hAnsi="Arial"/>
                <w:sz w:val="17"/>
              </w:rPr>
              <w:t>5.761</w:t>
            </w:r>
          </w:p>
        </w:tc>
      </w:tr>
      <w:tr>
        <w:tc>
          <w:tcPr>
            <w:tcW w:type="dxa" w:w="5040"/>
            <w:vAlign w:val="center"/>
          </w:tcPr>
          <w:p>
            <w:pPr>
              <w:spacing w:after="0"/>
            </w:pPr>
            <w:r>
              <w:rPr>
                <w:rFonts w:ascii="Arial" w:hAnsi="Arial"/>
                <w:sz w:val="17"/>
              </w:rPr>
              <w:t>Luxury and exotic vehicles</w:t>
            </w:r>
          </w:p>
        </w:tc>
        <w:tc>
          <w:tcPr>
            <w:tcW w:type="dxa" w:w="1728"/>
            <w:vAlign w:val="center"/>
          </w:tcPr>
          <w:p>
            <w:pPr>
              <w:spacing w:after="0"/>
            </w:pPr>
            <w:r>
              <w:rPr>
                <w:rFonts w:ascii="Arial" w:hAnsi="Arial"/>
                <w:sz w:val="17"/>
              </w:rPr>
              <w:t>110.000</w:t>
            </w:r>
          </w:p>
        </w:tc>
        <w:tc>
          <w:tcPr>
            <w:tcW w:type="dxa" w:w="1872"/>
            <w:vAlign w:val="center"/>
          </w:tcPr>
          <w:p>
            <w:pPr>
              <w:spacing w:after="0"/>
            </w:pPr>
            <w:r>
              <w:rPr>
                <w:rFonts w:ascii="Arial" w:hAnsi="Arial"/>
                <w:sz w:val="17"/>
              </w:rPr>
              <w:t>5.500</w:t>
            </w:r>
          </w:p>
        </w:tc>
      </w:tr>
      <w:tr>
        <w:tc>
          <w:tcPr>
            <w:tcW w:type="dxa" w:w="5040"/>
            <w:vAlign w:val="center"/>
          </w:tcPr>
          <w:p>
            <w:pPr>
              <w:spacing w:after="0"/>
            </w:pPr>
            <w:r>
              <w:rPr>
                <w:rFonts w:ascii="Arial" w:hAnsi="Arial"/>
                <w:sz w:val="17"/>
              </w:rPr>
              <w:t>Luxury yachts</w:t>
            </w:r>
          </w:p>
        </w:tc>
        <w:tc>
          <w:tcPr>
            <w:tcW w:type="dxa" w:w="1728"/>
            <w:vAlign w:val="center"/>
          </w:tcPr>
          <w:p>
            <w:pPr>
              <w:spacing w:after="0"/>
            </w:pPr>
            <w:r>
              <w:rPr>
                <w:rFonts w:ascii="Arial" w:hAnsi="Arial"/>
                <w:sz w:val="17"/>
              </w:rPr>
              <w:t>3.400</w:t>
            </w:r>
          </w:p>
        </w:tc>
        <w:tc>
          <w:tcPr>
            <w:tcW w:type="dxa" w:w="1872"/>
            <w:vAlign w:val="center"/>
          </w:tcPr>
          <w:p>
            <w:pPr>
              <w:spacing w:after="0"/>
            </w:pPr>
            <w:r>
              <w:rPr>
                <w:rFonts w:ascii="Arial" w:hAnsi="Arial"/>
                <w:sz w:val="17"/>
              </w:rPr>
              <w:t>0.170</w:t>
            </w:r>
          </w:p>
        </w:tc>
      </w:tr>
      <w:tr>
        <w:tc>
          <w:tcPr>
            <w:tcW w:type="dxa" w:w="5040"/>
            <w:vAlign w:val="center"/>
          </w:tcPr>
          <w:p>
            <w:pPr>
              <w:spacing w:after="0"/>
            </w:pPr>
            <w:r>
              <w:rPr>
                <w:rFonts w:ascii="Arial" w:hAnsi="Arial"/>
                <w:sz w:val="17"/>
              </w:rPr>
              <w:t>United States business jets</w:t>
            </w:r>
          </w:p>
        </w:tc>
        <w:tc>
          <w:tcPr>
            <w:tcW w:type="dxa" w:w="1728"/>
            <w:vAlign w:val="center"/>
          </w:tcPr>
          <w:p>
            <w:pPr>
              <w:spacing w:after="0"/>
            </w:pPr>
            <w:r>
              <w:rPr>
                <w:rFonts w:ascii="Arial" w:hAnsi="Arial"/>
                <w:sz w:val="17"/>
              </w:rPr>
              <w:t>12.655</w:t>
            </w:r>
          </w:p>
        </w:tc>
        <w:tc>
          <w:tcPr>
            <w:tcW w:type="dxa" w:w="1872"/>
            <w:vAlign w:val="center"/>
          </w:tcPr>
          <w:p>
            <w:pPr>
              <w:spacing w:after="0"/>
            </w:pPr>
            <w:r>
              <w:rPr>
                <w:rFonts w:ascii="Arial" w:hAnsi="Arial"/>
                <w:sz w:val="17"/>
              </w:rPr>
              <w:t>0.633</w:t>
            </w:r>
          </w:p>
        </w:tc>
      </w:tr>
      <w:tr>
        <w:tc>
          <w:tcPr>
            <w:tcW w:type="dxa" w:w="5040"/>
            <w:vAlign w:val="center"/>
          </w:tcPr>
          <w:p>
            <w:pPr>
              <w:spacing w:after="0"/>
            </w:pPr>
            <w:r>
              <w:rPr>
                <w:rFonts w:ascii="Arial" w:hAnsi="Arial"/>
                <w:sz w:val="17"/>
              </w:rPr>
              <w:t>TOTAL</w:t>
            </w:r>
          </w:p>
        </w:tc>
        <w:tc>
          <w:tcPr>
            <w:tcW w:type="dxa" w:w="1728"/>
            <w:vAlign w:val="center"/>
          </w:tcPr>
          <w:p>
            <w:pPr>
              <w:spacing w:after="0"/>
            </w:pPr>
            <w:r>
              <w:rPr>
                <w:rFonts w:ascii="Arial" w:hAnsi="Arial"/>
                <w:sz w:val="17"/>
              </w:rPr>
              <w:t>241.275</w:t>
            </w:r>
          </w:p>
        </w:tc>
        <w:tc>
          <w:tcPr>
            <w:tcW w:type="dxa" w:w="1872"/>
            <w:vAlign w:val="center"/>
          </w:tcPr>
          <w:p>
            <w:pPr>
              <w:spacing w:after="0"/>
            </w:pPr>
            <w:r>
              <w:rPr>
                <w:rFonts w:ascii="Arial" w:hAnsi="Arial"/>
                <w:sz w:val="17"/>
              </w:rPr>
              <w:t>12.064</w:t>
            </w:r>
          </w:p>
        </w:tc>
      </w:tr>
    </w:tbl>
    <w:p>
      <w:pPr>
        <w:pStyle w:val="Heading1"/>
      </w:pPr>
      <w:r>
        <w:t>10. National Continuity Contribution and Independent NHDC</w:t>
      </w:r>
    </w:p>
    <w:p>
      <w:r>
        <w:rPr>
          <w:b/>
        </w:rPr>
        <w:t xml:space="preserve">Policy alignment. </w:t>
      </w:r>
      <w:r>
        <w:t>This section supersedes the earlier healthcare-to-Social-Security transfer structure. It aligns the tax and fiscal model with Policy Book v89 and the subsequently adopted National Continuity Contribution.</w:t>
      </w:r>
    </w:p>
    <w:p>
      <w:pPr>
        <w:pStyle w:val="Heading2"/>
      </w:pPr>
      <w:r>
        <w:t>10.1 National Continuity Contribution</w:t>
      </w:r>
    </w:p>
    <w:p>
      <w:r>
        <w:rPr>
          <w:b/>
        </w:rPr>
        <w:t xml:space="preserve">Rate and threshold. </w:t>
      </w:r>
      <w:r>
        <w:t>Every publicly or privately held company assessed above $1 million in enterprise value shall pay a flat annual contribution equal to 0.73 percent of assessed enterprise value at federal business registration.</w:t>
      </w:r>
    </w:p>
    <w:p>
      <w:pPr>
        <w:pStyle w:val="ListBullet"/>
      </w:pPr>
      <w:r>
        <w:rPr>
          <w:b/>
        </w:rPr>
        <w:t xml:space="preserve">Revenue destination: </w:t>
      </w:r>
      <w:r>
        <w:t>Proceeds flow first to Social Security until the annual Social Security ledger reaches breakeven. Any remaining proceeds transfer to the National Inheritance and Reserve Fund.</w:t>
      </w:r>
    </w:p>
    <w:p>
      <w:pPr>
        <w:pStyle w:val="ListBullet"/>
      </w:pPr>
      <w:r>
        <w:rPr>
          <w:b/>
        </w:rPr>
        <w:t xml:space="preserve">Public-company valuation: </w:t>
      </w:r>
      <w:r>
        <w:t>Use average annual market capitalization plus interest-bearing debt less unrestricted cash and cash equivalents.</w:t>
      </w:r>
    </w:p>
    <w:p>
      <w:pPr>
        <w:pStyle w:val="ListBullet"/>
      </w:pPr>
      <w:r>
        <w:rPr>
          <w:b/>
        </w:rPr>
        <w:t xml:space="preserve">Private-company valuation: </w:t>
      </w:r>
      <w:r>
        <w:t>Use the latest arm's-length sale or financing valuation, audited lender or investor valuation, standardized sector earnings or revenue multiples, adjusted net assets, and federal appraisal in that order.</w:t>
      </w:r>
    </w:p>
    <w:p>
      <w:pPr>
        <w:pStyle w:val="ListBullet"/>
      </w:pPr>
      <w:r>
        <w:rPr>
          <w:b/>
        </w:rPr>
        <w:t xml:space="preserve">Anti-avoidance: </w:t>
      </w:r>
      <w:r>
        <w:t>Aggregate commonly controlled entities and disregard artificial fragmentation, related-party financing, offshore holding arrangements, or registration-date valuation manipulation.</w:t>
      </w:r>
    </w:p>
    <w:p>
      <w:pPr>
        <w:pStyle w:val="ListBullet"/>
      </w:pPr>
      <w:r>
        <w:rPr>
          <w:b/>
        </w:rPr>
        <w:t xml:space="preserve">Liquidity protection: </w:t>
      </w:r>
      <w:r>
        <w:t>Qualified private firms may use quarterly installments or secured deferral. Deferral postpones payment and does not erase liability.</w:t>
      </w:r>
    </w:p>
    <w:p>
      <w:pPr>
        <w:pStyle w:val="Heading2"/>
      </w:pPr>
      <w:r>
        <w:t>10.2 Why Enterprise Value Supports Social Security</w:t>
      </w:r>
    </w:p>
    <w:p>
      <w:r>
        <w:t>Social Security weakens when payroll shrinks even as productive enterprise value rises. Automation, artificial intelligence, software, capital equipment, offshore labor, and concentrated intellectual property can increase company value while reducing the number of covered domestic workers. The National Continuity Contribution keeps growing enterprises connected to national retirement security regardless of how they organize production.</w:t>
      </w:r>
    </w:p>
    <w:p>
      <w:pPr>
        <w:pStyle w:val="Heading2"/>
      </w:pPr>
      <w:r>
        <w:t>10.3 Revenue Model</w:t>
      </w:r>
    </w:p>
    <w:tbl>
      <w:tblPr>
        <w:tblStyle w:val="TableGrid"/>
        <w:tblW w:type="auto" w:w="0"/>
        <w:jc w:val="center"/>
        <w:tblLook w:firstColumn="1" w:firstRow="1" w:lastColumn="0" w:lastRow="0" w:noHBand="0" w:noVBand="1" w:val="04A0"/>
      </w:tblPr>
      <w:tblGrid>
        <w:gridCol w:w="3504"/>
        <w:gridCol w:w="3504"/>
        <w:gridCol w:w="3504"/>
      </w:tblGrid>
      <w:tr>
        <w:tc>
          <w:tcPr>
            <w:tcW w:type="dxa" w:w="3504"/>
          </w:tcPr>
          <w:p>
            <w:r>
              <w:rPr>
                <w:b/>
              </w:rPr>
              <w:t>Input or result</w:t>
            </w:r>
          </w:p>
        </w:tc>
        <w:tc>
          <w:tcPr>
            <w:tcW w:type="dxa" w:w="3504"/>
          </w:tcPr>
          <w:p>
            <w:r>
              <w:rPr>
                <w:b/>
              </w:rPr>
              <w:t>Central value</w:t>
            </w:r>
          </w:p>
        </w:tc>
        <w:tc>
          <w:tcPr>
            <w:tcW w:type="dxa" w:w="3504"/>
          </w:tcPr>
          <w:p>
            <w:r>
              <w:rPr>
                <w:b/>
              </w:rPr>
              <w:t>Treatment</w:t>
            </w:r>
          </w:p>
        </w:tc>
      </w:tr>
      <w:tr>
        <w:tc>
          <w:tcPr>
            <w:tcW w:type="dxa" w:w="3504"/>
          </w:tcPr>
          <w:p>
            <w:r>
              <w:t>Central covered enterprise valuation</w:t>
            </w:r>
          </w:p>
        </w:tc>
        <w:tc>
          <w:tcPr>
            <w:tcW w:type="dxa" w:w="3504"/>
          </w:tcPr>
          <w:p>
            <w:r>
              <w:t>$68.000T</w:t>
            </w:r>
          </w:p>
        </w:tc>
        <w:tc>
          <w:tcPr>
            <w:tcW w:type="dxa" w:w="3504"/>
          </w:tcPr>
          <w:p>
            <w:r>
              <w:t>Studied central assessable base pending the federal valuation registry</w:t>
            </w:r>
          </w:p>
        </w:tc>
      </w:tr>
      <w:tr>
        <w:tc>
          <w:tcPr>
            <w:tcW w:type="dxa" w:w="3504"/>
          </w:tcPr>
          <w:p>
            <w:r>
              <w:t>Annual NCC rate</w:t>
            </w:r>
          </w:p>
        </w:tc>
        <w:tc>
          <w:tcPr>
            <w:tcW w:type="dxa" w:w="3504"/>
          </w:tcPr>
          <w:p>
            <w:r>
              <w:t>0.73%</w:t>
            </w:r>
          </w:p>
        </w:tc>
        <w:tc>
          <w:tcPr>
            <w:tcW w:type="dxa" w:w="3504"/>
          </w:tcPr>
          <w:p>
            <w:r>
              <w:t>Flat enterprise-valuation contribution</w:t>
            </w:r>
          </w:p>
        </w:tc>
      </w:tr>
      <w:tr>
        <w:tc>
          <w:tcPr>
            <w:tcW w:type="dxa" w:w="3504"/>
          </w:tcPr>
          <w:p>
            <w:r>
              <w:t>Gross Year 0 NCC revenue</w:t>
            </w:r>
          </w:p>
        </w:tc>
        <w:tc>
          <w:tcPr>
            <w:tcW w:type="dxa" w:w="3504"/>
          </w:tcPr>
          <w:p>
            <w:r>
              <w:t>$496.400B</w:t>
            </w:r>
          </w:p>
        </w:tc>
        <w:tc>
          <w:tcPr>
            <w:tcW w:type="dxa" w:w="3504"/>
          </w:tcPr>
          <w:p>
            <w:r>
              <w:t>$7.3B for every $1T of covered value</w:t>
            </w:r>
          </w:p>
        </w:tc>
      </w:tr>
      <w:tr>
        <w:tc>
          <w:tcPr>
            <w:tcW w:type="dxa" w:w="3504"/>
          </w:tcPr>
          <w:p>
            <w:r>
              <w:t>Year 0 Social Security requirement</w:t>
            </w:r>
          </w:p>
        </w:tc>
        <w:tc>
          <w:tcPr>
            <w:tcW w:type="dxa" w:w="3504"/>
          </w:tcPr>
          <w:p>
            <w:r>
              <w:t>$205.680B</w:t>
            </w:r>
          </w:p>
        </w:tc>
        <w:tc>
          <w:tcPr>
            <w:tcW w:type="dxa" w:w="3504"/>
          </w:tcPr>
          <w:p>
            <w:r>
              <w:t>After startup NLA profit, Resident Contributor revenue, payment accuracy, and institutional NLA earnings</w:t>
            </w:r>
          </w:p>
        </w:tc>
      </w:tr>
      <w:tr>
        <w:tc>
          <w:tcPr>
            <w:tcW w:type="dxa" w:w="3504"/>
          </w:tcPr>
          <w:p>
            <w:r>
              <w:t>Year 0 NIRF residual</w:t>
            </w:r>
          </w:p>
        </w:tc>
        <w:tc>
          <w:tcPr>
            <w:tcW w:type="dxa" w:w="3504"/>
          </w:tcPr>
          <w:p>
            <w:r>
              <w:t>$290.720B</w:t>
            </w:r>
          </w:p>
        </w:tc>
        <w:tc>
          <w:tcPr>
            <w:tcW w:type="dxa" w:w="3504"/>
          </w:tcPr>
          <w:p>
            <w:r>
              <w:t>Revenue remaining after Social Security breakeven</w:t>
            </w:r>
          </w:p>
        </w:tc>
      </w:tr>
    </w:tbl>
    <w:p>
      <w:pPr>
        <w:pStyle w:val="Heading2"/>
      </w:pPr>
      <w:r>
        <w:t>10.4 Year 0, Year 4, and Year 10 NLA Ramp</w:t>
      </w:r>
    </w:p>
    <w:p>
      <w:r>
        <w:t>The projection no longer applies mature NLA profit at startup. Year 0 books $21.472 billion of domestic distributable profit, Year 4 books $67.713 billion, and Year 10 books $154.137 billion. Citizen and employer contribution bases grow at 1.2 percent annually while the NLA follows these discrete operating stages.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tcPr>
          <w:p>
            <w:r>
              <w:rPr>
                <w:b/>
              </w:rPr>
              <w:t>Measure</w:t>
            </w:r>
          </w:p>
        </w:tc>
        <w:tc>
          <w:tcPr>
            <w:tcW w:type="dxa" w:w="2628"/>
          </w:tcPr>
          <w:p>
            <w:r>
              <w:rPr>
                <w:b/>
              </w:rPr>
              <w:t>Year 0</w:t>
            </w:r>
          </w:p>
        </w:tc>
        <w:tc>
          <w:tcPr>
            <w:tcW w:type="dxa" w:w="2628"/>
          </w:tcPr>
          <w:p>
            <w:r>
              <w:rPr>
                <w:b/>
              </w:rPr>
              <w:t>Year 4</w:t>
            </w:r>
          </w:p>
        </w:tc>
        <w:tc>
          <w:tcPr>
            <w:tcW w:type="dxa" w:w="2628"/>
          </w:tcPr>
          <w:p>
            <w:r>
              <w:rPr>
                <w:b/>
              </w:rPr>
              <w:t>Year 10</w:t>
            </w:r>
          </w:p>
        </w:tc>
      </w:tr>
      <w:tr>
        <w:tc>
          <w:tcPr>
            <w:tcW w:type="dxa" w:w="2628"/>
          </w:tcPr>
          <w:p>
            <w:r>
              <w:t>Gross NCC revenue</w:t>
            </w:r>
          </w:p>
        </w:tc>
        <w:tc>
          <w:tcPr>
            <w:tcW w:type="dxa" w:w="2628"/>
          </w:tcPr>
          <w:p>
            <w:r>
              <w:t>$496.400B</w:t>
            </w:r>
          </w:p>
        </w:tc>
        <w:tc>
          <w:tcPr>
            <w:tcW w:type="dxa" w:w="2628"/>
          </w:tcPr>
          <w:p>
            <w:r>
              <w:t>$520.660B</w:t>
            </w:r>
          </w:p>
        </w:tc>
        <w:tc>
          <w:tcPr>
            <w:tcW w:type="dxa" w:w="2628"/>
          </w:tcPr>
          <w:p>
            <w:r>
              <w:t>$559.290B</w:t>
            </w:r>
          </w:p>
        </w:tc>
      </w:tr>
      <w:tr>
        <w:tc>
          <w:tcPr>
            <w:tcW w:type="dxa" w:w="2628"/>
          </w:tcPr>
          <w:p>
            <w:r>
              <w:t>SS gap before NCC</w:t>
            </w:r>
          </w:p>
        </w:tc>
        <w:tc>
          <w:tcPr>
            <w:tcW w:type="dxa" w:w="2628"/>
          </w:tcPr>
          <w:p>
            <w:r>
              <w:t>$205.680B</w:t>
            </w:r>
          </w:p>
        </w:tc>
        <w:tc>
          <w:tcPr>
            <w:tcW w:type="dxa" w:w="2628"/>
          </w:tcPr>
          <w:p>
            <w:r>
              <w:t>$217.895B</w:t>
            </w:r>
          </w:p>
        </w:tc>
        <w:tc>
          <w:tcPr>
            <w:tcW w:type="dxa" w:w="2628"/>
          </w:tcPr>
          <w:p>
            <w:r>
              <w:t>$181.224B</w:t>
            </w:r>
          </w:p>
        </w:tc>
      </w:tr>
      <w:tr>
        <w:tc>
          <w:tcPr>
            <w:tcW w:type="dxa" w:w="2628"/>
          </w:tcPr>
          <w:p>
            <w:r>
              <w:t>NCC transfer to Social Security</w:t>
            </w:r>
          </w:p>
        </w:tc>
        <w:tc>
          <w:tcPr>
            <w:tcW w:type="dxa" w:w="2628"/>
          </w:tcPr>
          <w:p>
            <w:r>
              <w:t>$205.680B</w:t>
            </w:r>
          </w:p>
        </w:tc>
        <w:tc>
          <w:tcPr>
            <w:tcW w:type="dxa" w:w="2628"/>
          </w:tcPr>
          <w:p>
            <w:r>
              <w:t>$217.895B</w:t>
            </w:r>
          </w:p>
        </w:tc>
        <w:tc>
          <w:tcPr>
            <w:tcW w:type="dxa" w:w="2628"/>
          </w:tcPr>
          <w:p>
            <w:r>
              <w:t>$181.224B</w:t>
            </w:r>
          </w:p>
        </w:tc>
      </w:tr>
      <w:tr>
        <w:tc>
          <w:tcPr>
            <w:tcW w:type="dxa" w:w="2628"/>
          </w:tcPr>
          <w:p>
            <w:r>
              <w:t>Social Security ending balance</w:t>
            </w:r>
          </w:p>
        </w:tc>
        <w:tc>
          <w:tcPr>
            <w:tcW w:type="dxa" w:w="2628"/>
          </w:tcPr>
          <w:p>
            <w:r>
              <w:t>$0</w:t>
            </w:r>
          </w:p>
        </w:tc>
        <w:tc>
          <w:tcPr>
            <w:tcW w:type="dxa" w:w="2628"/>
          </w:tcPr>
          <w:p>
            <w:r>
              <w:t>$0</w:t>
            </w:r>
          </w:p>
        </w:tc>
        <w:tc>
          <w:tcPr>
            <w:tcW w:type="dxa" w:w="2628"/>
          </w:tcPr>
          <w:p>
            <w:r>
              <w:t>$0</w:t>
            </w:r>
          </w:p>
        </w:tc>
      </w:tr>
      <w:tr>
        <w:tc>
          <w:tcPr>
            <w:tcW w:type="dxa" w:w="2628"/>
          </w:tcPr>
          <w:p>
            <w:r>
              <w:t>NIRF residual from NCC</w:t>
            </w:r>
          </w:p>
        </w:tc>
        <w:tc>
          <w:tcPr>
            <w:tcW w:type="dxa" w:w="2628"/>
          </w:tcPr>
          <w:p>
            <w:r>
              <w:t>$290.720B</w:t>
            </w:r>
          </w:p>
        </w:tc>
        <w:tc>
          <w:tcPr>
            <w:tcW w:type="dxa" w:w="2628"/>
          </w:tcPr>
          <w:p>
            <w:r>
              <w:t>$302.765B</w:t>
            </w:r>
          </w:p>
        </w:tc>
        <w:tc>
          <w:tcPr>
            <w:tcW w:type="dxa" w:w="2628"/>
          </w:tcPr>
          <w:p>
            <w:r>
              <w:t>$378.065B</w:t>
            </w:r>
          </w:p>
        </w:tc>
      </w:tr>
      <w:tr>
        <w:tc>
          <w:tcPr>
            <w:tcW w:type="dxa" w:w="2628"/>
          </w:tcPr>
          <w:p>
            <w:r>
              <w:t>Residual Treasury support</w:t>
            </w:r>
          </w:p>
        </w:tc>
        <w:tc>
          <w:tcPr>
            <w:tcW w:type="dxa" w:w="2628"/>
          </w:tcPr>
          <w:p>
            <w:r>
              <w:t>$0</w:t>
            </w:r>
          </w:p>
        </w:tc>
        <w:tc>
          <w:tcPr>
            <w:tcW w:type="dxa" w:w="2628"/>
          </w:tcPr>
          <w:p>
            <w:r>
              <w:t>$0</w:t>
            </w:r>
          </w:p>
        </w:tc>
        <w:tc>
          <w:tcPr>
            <w:tcW w:type="dxa" w:w="2628"/>
          </w:tcPr>
          <w:p>
            <w:r>
              <w:t>$0</w:t>
            </w:r>
          </w:p>
        </w:tc>
      </w:tr>
    </w:tbl>
    <w:p>
      <w:pPr>
        <w:pStyle w:val="Heading2"/>
      </w:pPr>
      <w:r>
        <w:t>10.5 Independent NHDC Waterfall</w:t>
      </w:r>
    </w:p>
    <w:p>
      <w:r>
        <w:rPr>
          <w:b/>
        </w:rPr>
        <w:t xml:space="preserve">NHDC is fully untied from Social Security. </w:t>
      </w:r>
      <w:r>
        <w:t>No routine healthcare or NHDC profit transfers to Social Security remain in the active fiscal model.</w:t>
      </w:r>
    </w:p>
    <w:p>
      <w:pPr>
        <w:pStyle w:val="ListBullet"/>
      </w:pPr>
      <w:r>
        <w:rPr>
          <w:b/>
        </w:rPr>
        <w:t xml:space="preserve">First: </w:t>
      </w:r>
      <w:r>
        <w:t>Maintain the $120 billion healthcare reserve.</w:t>
      </w:r>
    </w:p>
    <w:p>
      <w:pPr>
        <w:pStyle w:val="ListBullet"/>
      </w:pPr>
      <w:r>
        <w:rPr>
          <w:b/>
        </w:rPr>
        <w:t xml:space="preserve">Second: </w:t>
      </w:r>
      <w:r>
        <w:t>Fund approved NHDC research, manufacturing expansion, hospital capacity, strategic medicine reserves, and public-health infrastructure.</w:t>
      </w:r>
    </w:p>
    <w:p>
      <w:pPr>
        <w:pStyle w:val="ListBullet"/>
      </w:pPr>
      <w:r>
        <w:rPr>
          <w:b/>
        </w:rPr>
        <w:t xml:space="preserve">Third: </w:t>
      </w:r>
      <w:r>
        <w:t>Divide remaining distributable healthcare profit equally between the National Inheritance and Reserve Fund and the Citizen Wealth Fund.</w:t>
      </w:r>
    </w:p>
    <w:p>
      <w:pPr>
        <w:pStyle w:val="ListBullet"/>
      </w:pPr>
      <w:r>
        <w:t>10.6 Revised Year 10 Mature Fiscal Position</w:t>
      </w:r>
    </w:p>
    <w:p>
      <w:pPr>
        <w:pStyle w:val="Heading2"/>
      </w:pPr>
      <w:r>
        <w:t>10.6 Revised Mature-Year Fiscal Position</w:t>
      </w:r>
    </w:p>
    <w:tbl>
      <w:tblPr>
        <w:tblStyle w:val="TableGrid"/>
        <w:tblW w:type="auto" w:w="0"/>
        <w:jc w:val="center"/>
        <w:tblLook w:firstColumn="1" w:firstRow="1" w:lastColumn="0" w:lastRow="0" w:noHBand="0" w:noVBand="1" w:val="04A0"/>
      </w:tblPr>
      <w:tblGrid>
        <w:gridCol w:w="5256"/>
        <w:gridCol w:w="5256"/>
      </w:tblGrid>
      <w:tr>
        <w:tc>
          <w:tcPr>
            <w:tcW w:type="dxa" w:w="5256"/>
          </w:tcPr>
          <w:p>
            <w:r>
              <w:rPr>
                <w:b/>
              </w:rPr>
              <w:t>Fiscal line</w:t>
            </w:r>
          </w:p>
        </w:tc>
        <w:tc>
          <w:tcPr>
            <w:tcW w:type="dxa" w:w="5256"/>
          </w:tcPr>
          <w:p>
            <w:r>
              <w:rPr>
                <w:b/>
              </w:rPr>
              <w:t>Annual amount</w:t>
            </w:r>
          </w:p>
        </w:tc>
      </w:tr>
      <w:tr>
        <w:tc>
          <w:tcPr>
            <w:tcW w:type="dxa" w:w="5256"/>
          </w:tcPr>
          <w:p>
            <w:r>
              <w:t>General Government balance including federal SSI savings</w:t>
            </w:r>
          </w:p>
        </w:tc>
        <w:tc>
          <w:tcPr>
            <w:tcW w:type="dxa" w:w="5256"/>
          </w:tcPr>
          <w:p>
            <w:r>
              <w:t>+$318.956B</w:t>
            </w:r>
          </w:p>
        </w:tc>
      </w:tr>
      <w:tr>
        <w:tc>
          <w:tcPr>
            <w:tcW w:type="dxa" w:w="5256"/>
          </w:tcPr>
          <w:p>
            <w:r>
              <w:t>Healthcare balance</w:t>
            </w:r>
          </w:p>
        </w:tc>
        <w:tc>
          <w:tcPr>
            <w:tcW w:type="dxa" w:w="5256"/>
          </w:tcPr>
          <w:p>
            <w:r>
              <w:t>+$376.509B</w:t>
            </w:r>
          </w:p>
        </w:tc>
      </w:tr>
      <w:tr>
        <w:tc>
          <w:tcPr>
            <w:tcW w:type="dxa" w:w="5256"/>
          </w:tcPr>
          <w:p>
            <w:r>
              <w:t>Gross NCC revenue</w:t>
            </w:r>
          </w:p>
        </w:tc>
        <w:tc>
          <w:tcPr>
            <w:tcW w:type="dxa" w:w="5256"/>
          </w:tcPr>
          <w:p>
            <w:r>
              <w:t>$559.290B</w:t>
            </w:r>
          </w:p>
        </w:tc>
      </w:tr>
      <w:tr>
        <w:tc>
          <w:tcPr>
            <w:tcW w:type="dxa" w:w="5256"/>
          </w:tcPr>
          <w:p>
            <w:r>
              <w:t>NCC residual to NIRF</w:t>
            </w:r>
          </w:p>
        </w:tc>
        <w:tc>
          <w:tcPr>
            <w:tcW w:type="dxa" w:w="5256"/>
          </w:tcPr>
          <w:p>
            <w:r>
              <w:t>$378.065B</w:t>
            </w:r>
          </w:p>
        </w:tc>
      </w:tr>
      <w:tr>
        <w:tc>
          <w:tcPr>
            <w:tcW w:type="dxa" w:w="5256"/>
          </w:tcPr>
          <w:p>
            <w:r>
              <w:t>NCC residual to NIRF</w:t>
            </w:r>
          </w:p>
        </w:tc>
        <w:tc>
          <w:tcPr>
            <w:tcW w:type="dxa" w:w="5256"/>
          </w:tcPr>
          <w:p>
            <w:r>
              <w:t>$423.386B</w:t>
            </w:r>
          </w:p>
        </w:tc>
      </w:tr>
      <w:tr>
        <w:tc>
          <w:tcPr>
            <w:tcW w:type="dxa" w:w="5256"/>
          </w:tcPr>
          <w:p>
            <w:r>
              <w:t>Healthcare residual to NIRF</w:t>
            </w:r>
          </w:p>
        </w:tc>
        <w:tc>
          <w:tcPr>
            <w:tcW w:type="dxa" w:w="5256"/>
          </w:tcPr>
          <w:p>
            <w:r>
              <w:t>$122.255B</w:t>
            </w:r>
          </w:p>
        </w:tc>
      </w:tr>
      <w:tr>
        <w:tc>
          <w:tcPr>
            <w:tcW w:type="dxa" w:w="5256"/>
          </w:tcPr>
          <w:p>
            <w:r>
              <w:t>Healthcare residual to Citizen Wealth Fund</w:t>
            </w:r>
          </w:p>
        </w:tc>
        <w:tc>
          <w:tcPr>
            <w:tcW w:type="dxa" w:w="5256"/>
          </w:tcPr>
          <w:p>
            <w:r>
              <w:t>$122.255B</w:t>
            </w:r>
          </w:p>
        </w:tc>
      </w:tr>
      <w:tr>
        <w:tc>
          <w:tcPr>
            <w:tcW w:type="dxa" w:w="5256"/>
          </w:tcPr>
          <w:p>
            <w:r>
              <w:t>Consolidated replacement surplus</w:t>
            </w:r>
          </w:p>
        </w:tc>
        <w:tc>
          <w:tcPr>
            <w:tcW w:type="dxa" w:w="5256"/>
          </w:tcPr>
          <w:p>
            <w:r>
              <w:t>+$1.080T</w:t>
            </w:r>
          </w:p>
        </w:tc>
      </w:tr>
      <w:tr>
        <w:tc>
          <w:tcPr>
            <w:tcW w:type="dxa" w:w="5256"/>
          </w:tcPr>
          <w:p>
            <w:r>
              <w:t>Consolidated replacement surplus</w:t>
            </w:r>
          </w:p>
        </w:tc>
        <w:tc>
          <w:tcPr>
            <w:tcW w:type="dxa" w:w="5256"/>
          </w:tcPr>
          <w:p>
            <w:r>
              <w:t>+$1.125T</w:t>
            </w:r>
          </w:p>
        </w:tc>
      </w:tr>
    </w:tbl>
    <w:p>
      <w:pPr>
        <w:pStyle w:val="Heading2"/>
      </w:pPr>
      <w:r>
        <w:t>10.7 Validation and Limits</w:t>
      </w:r>
    </w:p>
    <w:p>
      <w:pPr>
        <w:pStyle w:val="ListBullet"/>
      </w:pPr>
      <w:r>
        <w:t>The 0.73 percent rate and $1 million threshold are adopted policy parameters.</w:t>
      </w:r>
    </w:p>
    <w:p>
      <w:pPr>
        <w:pStyle w:val="ListBullet"/>
      </w:pPr>
      <w:r>
        <w:t>The $68 trillion covered enterprise-valuation base is a central bookable estimate. A federal business-valuation registry is required before final scoring.</w:t>
      </w:r>
    </w:p>
    <w:p>
      <w:pPr>
        <w:pStyle w:val="ListBullet"/>
      </w:pPr>
      <w:r>
        <w:t>The model grows the covered valuation base by the existing 1.2 percent annual real-growth assumption and does not yet add family-formation, infrastructure-employment, or accelerated-immigration growth effects.</w:t>
      </w:r>
    </w:p>
    <w:p>
      <w:pPr>
        <w:pStyle w:val="ListBullet"/>
      </w:pPr>
      <w:r>
        <w:t>Federal Reserve Financial Accounts, IRS corporation data, Census business statistics, and annual registration valuations should be reconciled before statutory implementation.</w:t>
      </w:r>
    </w:p>
    <w:p>
      <w:pPr>
        <w:pStyle w:val="Heading2"/>
      </w:pPr>
      <w:r>
        <w:t>10.8 Source Register</w:t>
      </w:r>
    </w:p>
    <w:p>
      <w:pPr>
        <w:pStyle w:val="ListBullet"/>
      </w:pPr>
      <w:r>
        <w:t>Policy Book v89, Citizen-Only Social Security and Resident Contributor Number.</w:t>
      </w:r>
    </w:p>
    <w:p>
      <w:pPr>
        <w:pStyle w:val="ListBullet"/>
      </w:pPr>
      <w:r>
        <w:t>Federal Reserve, Financial Accounts of the United States, Z.1.</w:t>
      </w:r>
    </w:p>
    <w:p>
      <w:pPr>
        <w:pStyle w:val="ListBullet"/>
      </w:pPr>
      <w:r>
        <w:t>Internal Deep Tax Burden Study v32 National Continuity model.</w:t>
      </w:r>
    </w:p>
    <w:p>
      <w:r/>
    </w:p>
    <w:p>
      <w:pPr>
        <w:pStyle w:val="Heading1"/>
      </w:pPr>
      <w:r>
        <w:t>11. Revenue Validation Initiative and Fully Inclusive Budget</w:t>
      </w:r>
    </w:p>
    <w:p>
      <w:r>
        <w:rPr>
          <w:b/>
        </w:rPr>
        <w:t xml:space="preserve">Scope. </w:t>
      </w:r>
      <w:r>
        <w:t>This initiative reviewed every revenue-generating mechanism in Policy Book v89 and the active Deep Tax Burden Study. The Land Value Tax was excluded from alteration by instruction and remains booked at its existing value. Former placeholders were replaced with researched central estimates, low and high ranges, explicit routing, and primary-source references.</w:t>
      </w:r>
    </w:p>
    <w:p>
      <w:pPr>
        <w:pStyle w:val="Heading2"/>
      </w:pPr>
      <w:r>
        <w:t>11.1 Validation Standard</w:t>
      </w:r>
    </w:p>
    <w:p>
      <w:pPr>
        <w:pStyle w:val="ListBullet"/>
      </w:pPr>
      <w:r>
        <w:t>Use official federal statistics wherever a direct national base exists.</w:t>
      </w:r>
    </w:p>
    <w:p>
      <w:pPr>
        <w:pStyle w:val="ListBullet"/>
      </w:pPr>
      <w:r>
        <w:t>Use transparent market analogues where the proposed institution does not yet exist.</w:t>
      </w:r>
    </w:p>
    <w:p>
      <w:pPr>
        <w:pStyle w:val="ListBullet"/>
      </w:pPr>
      <w:r>
        <w:t>Book realistic but optimistic central estimates rather than maximum theoretical revenue.</w:t>
      </w:r>
    </w:p>
    <w:p>
      <w:pPr>
        <w:pStyle w:val="ListBullet"/>
      </w:pPr>
      <w:r>
        <w:t>Separate gross receipts, operating costs, dedicated transfers, and unrestricted Treasury revenue.</w:t>
      </w:r>
    </w:p>
    <w:p>
      <w:pPr>
        <w:pStyle w:val="ListBullet"/>
      </w:pPr>
      <w:r>
        <w:t>Avoid double counting between taxes, public-enterprise earnings, fund capitalization, and internal transfers.</w:t>
      </w:r>
    </w:p>
    <w:p>
      <w:pPr>
        <w:pStyle w:val="ListBullet"/>
      </w:pPr>
      <w:r>
        <w:t>Keep deterrence penalties small and avoid relying on violations as a stable fiscal pillar.</w:t>
      </w:r>
    </w:p>
    <w:p>
      <w:pPr>
        <w:pStyle w:val="Heading2"/>
      </w:pPr>
      <w:r>
        <w:t>11.2 Principal Revisions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102"/>
          </w:tcPr>
          <w:p>
            <w:r>
              <w:rPr>
                <w:b/>
              </w:rPr>
              <w:t>Method</w:t>
            </w:r>
          </w:p>
        </w:tc>
        <w:tc>
          <w:tcPr>
            <w:tcW w:type="dxa" w:w="2102"/>
          </w:tcPr>
          <w:p>
            <w:r>
              <w:rPr>
                <w:b/>
              </w:rPr>
              <w:t>Prior posture</w:t>
            </w:r>
          </w:p>
        </w:tc>
        <w:tc>
          <w:tcPr>
            <w:tcW w:type="dxa" w:w="2102"/>
          </w:tcPr>
          <w:p>
            <w:r>
              <w:rPr>
                <w:b/>
              </w:rPr>
              <w:t>Studied central</w:t>
            </w:r>
          </w:p>
        </w:tc>
        <w:tc>
          <w:tcPr>
            <w:tcW w:type="dxa" w:w="2102"/>
          </w:tcPr>
          <w:p>
            <w:r>
              <w:rPr>
                <w:b/>
              </w:rPr>
              <w:t>Range</w:t>
            </w:r>
          </w:p>
        </w:tc>
        <w:tc>
          <w:tcPr>
            <w:tcW w:type="dxa" w:w="2102"/>
          </w:tcPr>
          <w:p>
            <w:r>
              <w:rPr>
                <w:b/>
              </w:rPr>
              <w:t>Budget treatment</w:t>
            </w:r>
          </w:p>
        </w:tc>
      </w:tr>
      <w:tr>
        <w:tc>
          <w:tcPr>
            <w:tcW w:type="dxa" w:w="2102"/>
          </w:tcPr>
          <w:p>
            <w:r>
              <w:t>National Continuity covered enterprise value</w:t>
            </w:r>
          </w:p>
        </w:tc>
        <w:tc>
          <w:tcPr>
            <w:tcW w:type="dxa" w:w="2102"/>
          </w:tcPr>
          <w:p>
            <w:r>
              <w:t>$23T preliminary draft input</w:t>
            </w:r>
          </w:p>
        </w:tc>
        <w:tc>
          <w:tcPr>
            <w:tcW w:type="dxa" w:w="2102"/>
          </w:tcPr>
          <w:p>
            <w:r>
              <w:t>$68T</w:t>
            </w:r>
          </w:p>
        </w:tc>
        <w:tc>
          <w:tcPr>
            <w:tcW w:type="dxa" w:w="2102"/>
          </w:tcPr>
          <w:p>
            <w:r>
              <w:t>$60T-$78T</w:t>
            </w:r>
          </w:p>
        </w:tc>
        <w:tc>
          <w:tcPr>
            <w:tcW w:type="dxa" w:w="2102"/>
          </w:tcPr>
          <w:p>
            <w:r>
              <w:t>0.73%; validated central base is $68T; Social Security first, NIRF residual</w:t>
            </w:r>
          </w:p>
        </w:tc>
      </w:tr>
      <w:tr>
        <w:tc>
          <w:tcPr>
            <w:tcW w:type="dxa" w:w="2102"/>
          </w:tcPr>
          <w:p>
            <w:r>
              <w:t>Carbon Tax</w:t>
            </w:r>
          </w:p>
        </w:tc>
        <w:tc>
          <w:tcPr>
            <w:tcW w:type="dxa" w:w="2102"/>
          </w:tcPr>
          <w:p>
            <w:r>
              <w:t>Unbooked</w:t>
            </w:r>
          </w:p>
        </w:tc>
        <w:tc>
          <w:tcPr>
            <w:tcW w:type="dxa" w:w="2102"/>
          </w:tcPr>
          <w:p>
            <w:r>
              <w:t>$107.4B</w:t>
            </w:r>
          </w:p>
        </w:tc>
        <w:tc>
          <w:tcPr>
            <w:tcW w:type="dxa" w:w="2102"/>
          </w:tcPr>
          <w:p>
            <w:r>
              <w:t>$78.7B-$143.2B</w:t>
            </w:r>
          </w:p>
        </w:tc>
        <w:tc>
          <w:tcPr>
            <w:tcW w:type="dxa" w:w="2102"/>
          </w:tcPr>
          <w:p>
            <w:r>
              <w:t>General Treasury</w:t>
            </w:r>
          </w:p>
        </w:tc>
      </w:tr>
      <w:tr>
        <w:tc>
          <w:tcPr>
            <w:tcW w:type="dxa" w:w="2102"/>
          </w:tcPr>
          <w:p>
            <w:r>
              <w:t>Spectrum stewardship</w:t>
            </w:r>
          </w:p>
        </w:tc>
        <w:tc>
          <w:tcPr>
            <w:tcW w:type="dxa" w:w="2102"/>
          </w:tcPr>
          <w:p>
            <w:r>
              <w:t>Unbooked</w:t>
            </w:r>
          </w:p>
        </w:tc>
        <w:tc>
          <w:tcPr>
            <w:tcW w:type="dxa" w:w="2102"/>
          </w:tcPr>
          <w:p>
            <w:r>
              <w:t>$12.0B gross</w:t>
            </w:r>
          </w:p>
        </w:tc>
        <w:tc>
          <w:tcPr>
            <w:tcW w:type="dxa" w:w="2102"/>
          </w:tcPr>
          <w:p>
            <w:r>
              <w:t>$7B-$18B</w:t>
            </w:r>
          </w:p>
        </w:tc>
        <w:tc>
          <w:tcPr>
            <w:tcW w:type="dxa" w:w="2102"/>
          </w:tcPr>
          <w:p>
            <w:r>
              <w:t>$6B NIRF, $5B Treasury, $1B administration</w:t>
            </w:r>
          </w:p>
        </w:tc>
      </w:tr>
      <w:tr>
        <w:tc>
          <w:tcPr>
            <w:tcW w:type="dxa" w:w="2102"/>
          </w:tcPr>
          <w:p>
            <w:r>
              <w:t>Federal Enterprise Data Services</w:t>
            </w:r>
          </w:p>
        </w:tc>
        <w:tc>
          <w:tcPr>
            <w:tcW w:type="dxa" w:w="2102"/>
          </w:tcPr>
          <w:p>
            <w:r>
              <w:t>Unbooked</w:t>
            </w:r>
          </w:p>
        </w:tc>
        <w:tc>
          <w:tcPr>
            <w:tcW w:type="dxa" w:w="2102"/>
          </w:tcPr>
          <w:p>
            <w:r>
              <w:t>$3.0B gross</w:t>
            </w:r>
          </w:p>
        </w:tc>
        <w:tc>
          <w:tcPr>
            <w:tcW w:type="dxa" w:w="2102"/>
          </w:tcPr>
          <w:p>
            <w:r>
              <w:t>$1.5B-$5B</w:t>
            </w:r>
          </w:p>
        </w:tc>
        <w:tc>
          <w:tcPr>
            <w:tcW w:type="dxa" w:w="2102"/>
          </w:tcPr>
          <w:p>
            <w:r>
              <w:t>$2.0B net Treasury</w:t>
            </w:r>
          </w:p>
        </w:tc>
      </w:tr>
      <w:tr>
        <w:tc>
          <w:tcPr>
            <w:tcW w:type="dxa" w:w="2102"/>
          </w:tcPr>
          <w:p>
            <w:r>
              <w:t>National laboratory patent marketplace</w:t>
            </w:r>
          </w:p>
        </w:tc>
        <w:tc>
          <w:tcPr>
            <w:tcW w:type="dxa" w:w="2102"/>
          </w:tcPr>
          <w:p>
            <w:r>
              <w:t>Unbooked</w:t>
            </w:r>
          </w:p>
        </w:tc>
        <w:tc>
          <w:tcPr>
            <w:tcW w:type="dxa" w:w="2102"/>
          </w:tcPr>
          <w:p>
            <w:r>
              <w:t>$0.5B gross</w:t>
            </w:r>
          </w:p>
        </w:tc>
        <w:tc>
          <w:tcPr>
            <w:tcW w:type="dxa" w:w="2102"/>
          </w:tcPr>
          <w:p>
            <w:r>
              <w:t>$0.25B-$1B</w:t>
            </w:r>
          </w:p>
        </w:tc>
        <w:tc>
          <w:tcPr>
            <w:tcW w:type="dxa" w:w="2102"/>
          </w:tcPr>
          <w:p>
            <w:r>
              <w:t>$0.4B net Treasury</w:t>
            </w:r>
          </w:p>
        </w:tc>
      </w:tr>
      <w:tr>
        <w:tc>
          <w:tcPr>
            <w:tcW w:type="dxa" w:w="2102"/>
          </w:tcPr>
          <w:p>
            <w:r>
              <w:t>Industrial campus leases and services</w:t>
            </w:r>
          </w:p>
        </w:tc>
        <w:tc>
          <w:tcPr>
            <w:tcW w:type="dxa" w:w="2102"/>
          </w:tcPr>
          <w:p>
            <w:r>
              <w:t>Unbooked</w:t>
            </w:r>
          </w:p>
        </w:tc>
        <w:tc>
          <w:tcPr>
            <w:tcW w:type="dxa" w:w="2102"/>
          </w:tcPr>
          <w:p>
            <w:r>
              <w:t>$15.0B gross</w:t>
            </w:r>
          </w:p>
        </w:tc>
        <w:tc>
          <w:tcPr>
            <w:tcW w:type="dxa" w:w="2102"/>
          </w:tcPr>
          <w:p>
            <w:r>
              <w:t>$8B-$25B</w:t>
            </w:r>
          </w:p>
        </w:tc>
        <w:tc>
          <w:tcPr>
            <w:tcW w:type="dxa" w:w="2102"/>
          </w:tcPr>
          <w:p>
            <w:r>
              <w:t>$10.0B net Treasury</w:t>
            </w:r>
          </w:p>
        </w:tc>
      </w:tr>
      <w:tr>
        <w:tc>
          <w:tcPr>
            <w:tcW w:type="dxa" w:w="2102"/>
          </w:tcPr>
          <w:p>
            <w:r>
              <w:t>Pipeline capacity auctions</w:t>
            </w:r>
          </w:p>
        </w:tc>
        <w:tc>
          <w:tcPr>
            <w:tcW w:type="dxa" w:w="2102"/>
          </w:tcPr>
          <w:p>
            <w:r>
              <w:t>Unbooked</w:t>
            </w:r>
          </w:p>
        </w:tc>
        <w:tc>
          <w:tcPr>
            <w:tcW w:type="dxa" w:w="2102"/>
          </w:tcPr>
          <w:p>
            <w:r>
              <w:t>$4.0B gross</w:t>
            </w:r>
          </w:p>
        </w:tc>
        <w:tc>
          <w:tcPr>
            <w:tcW w:type="dxa" w:w="2102"/>
          </w:tcPr>
          <w:p>
            <w:r>
              <w:t>$2B-$7B</w:t>
            </w:r>
          </w:p>
        </w:tc>
        <w:tc>
          <w:tcPr>
            <w:tcW w:type="dxa" w:w="2102"/>
          </w:tcPr>
          <w:p>
            <w:r>
              <w:t>$3.5B net Treasury</w:t>
            </w:r>
          </w:p>
        </w:tc>
      </w:tr>
      <w:tr>
        <w:tc>
          <w:tcPr>
            <w:tcW w:type="dxa" w:w="2102"/>
          </w:tcPr>
          <w:p>
            <w:r>
              <w:t>NHDC international licenses</w:t>
            </w:r>
          </w:p>
        </w:tc>
        <w:tc>
          <w:tcPr>
            <w:tcW w:type="dxa" w:w="2102"/>
          </w:tcPr>
          <w:p>
            <w:r>
              <w:t>Included only indirectly</w:t>
            </w:r>
          </w:p>
        </w:tc>
        <w:tc>
          <w:tcPr>
            <w:tcW w:type="dxa" w:w="2102"/>
          </w:tcPr>
          <w:p>
            <w:r>
              <w:t>$12.0B</w:t>
            </w:r>
          </w:p>
        </w:tc>
        <w:tc>
          <w:tcPr>
            <w:tcW w:type="dxa" w:w="2102"/>
          </w:tcPr>
          <w:p>
            <w:r>
              <w:t>$6B-$20B</w:t>
            </w:r>
          </w:p>
        </w:tc>
        <w:tc>
          <w:tcPr>
            <w:tcW w:type="dxa" w:w="2102"/>
          </w:tcPr>
          <w:p>
            <w:r>
              <w:t>Dedicated healthcare earnings</w:t>
            </w:r>
          </w:p>
        </w:tc>
      </w:tr>
      <w:tr>
        <w:tc>
          <w:tcPr>
            <w:tcW w:type="dxa" w:w="2102"/>
          </w:tcPr>
          <w:p>
            <w:r>
              <w:t>NLA institutional and international earnings</w:t>
            </w:r>
          </w:p>
        </w:tc>
        <w:tc>
          <w:tcPr>
            <w:tcW w:type="dxa" w:w="2102"/>
          </w:tcPr>
          <w:p>
            <w:r>
              <w:t>Unbooked separately</w:t>
            </w:r>
          </w:p>
        </w:tc>
        <w:tc>
          <w:tcPr>
            <w:tcW w:type="dxa" w:w="2102"/>
          </w:tcPr>
          <w:p>
            <w:r>
              <w:t>$12.0B</w:t>
            </w:r>
          </w:p>
        </w:tc>
        <w:tc>
          <w:tcPr>
            <w:tcW w:type="dxa" w:w="2102"/>
          </w:tcPr>
          <w:p>
            <w:r>
              <w:t>$6B-$20B</w:t>
            </w:r>
          </w:p>
        </w:tc>
        <w:tc>
          <w:tcPr>
            <w:tcW w:type="dxa" w:w="2102"/>
          </w:tcPr>
          <w:p>
            <w:r>
              <w:t>Dedicated Social Security earnings</w:t>
            </w:r>
          </w:p>
        </w:tc>
      </w:tr>
      <w:tr>
        <w:tc>
          <w:tcPr>
            <w:tcW w:type="dxa" w:w="2102"/>
          </w:tcPr>
          <w:p>
            <w:r>
              <w:t>Commercial space infrastructure</w:t>
            </w:r>
          </w:p>
        </w:tc>
        <w:tc>
          <w:tcPr>
            <w:tcW w:type="dxa" w:w="2102"/>
          </w:tcPr>
          <w:p>
            <w:r>
              <w:t>Unbooked</w:t>
            </w:r>
          </w:p>
        </w:tc>
        <w:tc>
          <w:tcPr>
            <w:tcW w:type="dxa" w:w="2102"/>
          </w:tcPr>
          <w:p>
            <w:r>
              <w:t>$5.0B gross</w:t>
            </w:r>
          </w:p>
        </w:tc>
        <w:tc>
          <w:tcPr>
            <w:tcW w:type="dxa" w:w="2102"/>
          </w:tcPr>
          <w:p>
            <w:r>
              <w:t>$2B-$10B</w:t>
            </w:r>
          </w:p>
        </w:tc>
        <w:tc>
          <w:tcPr>
            <w:tcW w:type="dxa" w:w="2102"/>
          </w:tcPr>
          <w:p>
            <w:r>
              <w:t>$3.0B net Treasury</w:t>
            </w:r>
          </w:p>
        </w:tc>
      </w:tr>
      <w:tr>
        <w:tc>
          <w:tcPr>
            <w:tcW w:type="dxa" w:w="2102"/>
          </w:tcPr>
          <w:p>
            <w:r>
              <w:t>Patent troll penalties</w:t>
            </w:r>
          </w:p>
        </w:tc>
        <w:tc>
          <w:tcPr>
            <w:tcW w:type="dxa" w:w="2102"/>
          </w:tcPr>
          <w:p>
            <w:r>
              <w:t>Unbooked</w:t>
            </w:r>
          </w:p>
        </w:tc>
        <w:tc>
          <w:tcPr>
            <w:tcW w:type="dxa" w:w="2102"/>
          </w:tcPr>
          <w:p>
            <w:r>
              <w:t>$0.5B</w:t>
            </w:r>
          </w:p>
        </w:tc>
        <w:tc>
          <w:tcPr>
            <w:tcW w:type="dxa" w:w="2102"/>
          </w:tcPr>
          <w:p>
            <w:r>
              <w:t>$0-$1.5B</w:t>
            </w:r>
          </w:p>
        </w:tc>
        <w:tc>
          <w:tcPr>
            <w:tcW w:type="dxa" w:w="2102"/>
          </w:tcPr>
          <w:p>
            <w:r>
              <w:t>General Treasury; deterrence line</w:t>
            </w:r>
          </w:p>
        </w:tc>
      </w:tr>
      <w:tr>
        <w:tc>
          <w:tcPr>
            <w:tcW w:type="dxa" w:w="2102"/>
          </w:tcPr>
          <w:p>
            <w:r>
              <w:t>Social Security payment accuracy</w:t>
            </w:r>
          </w:p>
        </w:tc>
        <w:tc>
          <w:tcPr>
            <w:tcW w:type="dxa" w:w="2102"/>
          </w:tcPr>
          <w:p>
            <w:r>
              <w:t>Unbooked</w:t>
            </w:r>
          </w:p>
        </w:tc>
        <w:tc>
          <w:tcPr>
            <w:tcW w:type="dxa" w:w="2102"/>
          </w:tcPr>
          <w:p>
            <w:r>
              <w:t>$6.0B saving</w:t>
            </w:r>
          </w:p>
        </w:tc>
        <w:tc>
          <w:tcPr>
            <w:tcW w:type="dxa" w:w="2102"/>
          </w:tcPr>
          <w:p>
            <w:r>
              <w:t>$3B-$10B</w:t>
            </w:r>
          </w:p>
        </w:tc>
        <w:tc>
          <w:tcPr>
            <w:tcW w:type="dxa" w:w="2102"/>
          </w:tcPr>
          <w:p>
            <w:r>
              <w:t>Reduces OASDI expenditure</w:t>
            </w:r>
          </w:p>
        </w:tc>
      </w:tr>
      <w:tr>
        <w:tc>
          <w:tcPr>
            <w:tcW w:type="dxa" w:w="2102"/>
          </w:tcPr>
          <w:p>
            <w:r>
              <w:t>NIRF mature distributable return</w:t>
            </w:r>
          </w:p>
        </w:tc>
        <w:tc>
          <w:tcPr>
            <w:tcW w:type="dxa" w:w="2102"/>
          </w:tcPr>
          <w:p>
            <w:r>
              <w:t>Unbooked</w:t>
            </w:r>
          </w:p>
        </w:tc>
        <w:tc>
          <w:tcPr>
            <w:tcW w:type="dxa" w:w="2102"/>
          </w:tcPr>
          <w:p>
            <w:r>
              <w:t>$150.0B</w:t>
            </w:r>
          </w:p>
        </w:tc>
        <w:tc>
          <w:tcPr>
            <w:tcW w:type="dxa" w:w="2102"/>
          </w:tcPr>
          <w:p>
            <w:r>
              <w:t>$100B-$220B</w:t>
            </w:r>
          </w:p>
        </w:tc>
        <w:tc>
          <w:tcPr>
            <w:tcW w:type="dxa" w:w="2102"/>
          </w:tcPr>
          <w:p>
            <w:r>
              <w:t>General Treasury; principal protected</w:t>
            </w:r>
          </w:p>
        </w:tc>
      </w:tr>
    </w:tbl>
    <w:p>
      <w:pPr>
        <w:pStyle w:val="Heading2"/>
      </w:pPr>
      <w:r>
        <w:t>11.3 National Continuity Contribution</w:t>
      </w:r>
    </w:p>
    <w:p>
      <w:r>
        <w:t>Federal Reserve Financial Accounts provide the research anchor for publicly and privately held business equity, debt, cash, and noncorporate business value. After threshold, overlap, and registration-coverage adjustments, the studied central covered enterprise value is $68 trillion. At the adopted 0.73 percent rate, gross mature-year revenue is $496.4 billion.</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tcPr>
          <w:p>
            <w:r>
              <w:rPr>
                <w:b/>
              </w:rPr>
              <w:t>Measure</w:t>
            </w:r>
          </w:p>
        </w:tc>
        <w:tc>
          <w:tcPr>
            <w:tcW w:type="dxa" w:w="2628"/>
          </w:tcPr>
          <w:p>
            <w:r>
              <w:rPr>
                <w:b/>
              </w:rPr>
              <w:t>Year 0</w:t>
            </w:r>
          </w:p>
        </w:tc>
        <w:tc>
          <w:tcPr>
            <w:tcW w:type="dxa" w:w="2628"/>
          </w:tcPr>
          <w:p>
            <w:r>
              <w:rPr>
                <w:b/>
              </w:rPr>
              <w:t>Year 4</w:t>
            </w:r>
          </w:p>
        </w:tc>
        <w:tc>
          <w:tcPr>
            <w:tcW w:type="dxa" w:w="2628"/>
          </w:tcPr>
          <w:p>
            <w:r>
              <w:rPr>
                <w:b/>
              </w:rPr>
              <w:t>Year 10</w:t>
            </w:r>
          </w:p>
        </w:tc>
      </w:tr>
      <w:tr>
        <w:tc>
          <w:tcPr>
            <w:tcW w:type="dxa" w:w="2628"/>
          </w:tcPr>
          <w:p>
            <w:r>
              <w:t>Gross NCC revenue</w:t>
            </w:r>
          </w:p>
        </w:tc>
        <w:tc>
          <w:tcPr>
            <w:tcW w:type="dxa" w:w="2628"/>
          </w:tcPr>
          <w:p>
            <w:r>
              <w:t>$496.400B</w:t>
            </w:r>
          </w:p>
        </w:tc>
        <w:tc>
          <w:tcPr>
            <w:tcW w:type="dxa" w:w="2628"/>
          </w:tcPr>
          <w:p>
            <w:r>
              <w:t>$520.660B</w:t>
            </w:r>
          </w:p>
        </w:tc>
        <w:tc>
          <w:tcPr>
            <w:tcW w:type="dxa" w:w="2628"/>
          </w:tcPr>
          <w:p>
            <w:r>
              <w:t>$559.290B</w:t>
            </w:r>
          </w:p>
        </w:tc>
      </w:tr>
      <w:tr>
        <w:tc>
          <w:tcPr>
            <w:tcW w:type="dxa" w:w="2628"/>
          </w:tcPr>
          <w:p>
            <w:r>
              <w:t>Social Security requirement</w:t>
            </w:r>
          </w:p>
        </w:tc>
        <w:tc>
          <w:tcPr>
            <w:tcW w:type="dxa" w:w="2628"/>
          </w:tcPr>
          <w:p>
            <w:r>
              <w:t>$205.680B</w:t>
            </w:r>
          </w:p>
        </w:tc>
        <w:tc>
          <w:tcPr>
            <w:tcW w:type="dxa" w:w="2628"/>
          </w:tcPr>
          <w:p>
            <w:r>
              <w:t>$217.895B</w:t>
            </w:r>
          </w:p>
        </w:tc>
        <w:tc>
          <w:tcPr>
            <w:tcW w:type="dxa" w:w="2628"/>
          </w:tcPr>
          <w:p>
            <w:r>
              <w:t>$181.224B</w:t>
            </w:r>
          </w:p>
        </w:tc>
      </w:tr>
      <w:tr>
        <w:tc>
          <w:tcPr>
            <w:tcW w:type="dxa" w:w="2628"/>
          </w:tcPr>
          <w:p>
            <w:r>
              <w:t>NCC residual to NIRF</w:t>
            </w:r>
          </w:p>
        </w:tc>
        <w:tc>
          <w:tcPr>
            <w:tcW w:type="dxa" w:w="2628"/>
          </w:tcPr>
          <w:p>
            <w:r>
              <w:t>$290.720B</w:t>
            </w:r>
          </w:p>
        </w:tc>
        <w:tc>
          <w:tcPr>
            <w:tcW w:type="dxa" w:w="2628"/>
          </w:tcPr>
          <w:p>
            <w:r>
              <w:t>$302.765B</w:t>
            </w:r>
          </w:p>
        </w:tc>
        <w:tc>
          <w:tcPr>
            <w:tcW w:type="dxa" w:w="2628"/>
          </w:tcPr>
          <w:p>
            <w:r>
              <w:t>$378.065B</w:t>
            </w:r>
          </w:p>
        </w:tc>
      </w:tr>
      <w:tr>
        <w:tc>
          <w:tcPr>
            <w:tcW w:type="dxa" w:w="2628"/>
          </w:tcPr>
          <w:p>
            <w:r>
              <w:t>Residual Treasury support</w:t>
            </w:r>
          </w:p>
        </w:tc>
        <w:tc>
          <w:tcPr>
            <w:tcW w:type="dxa" w:w="2628"/>
          </w:tcPr>
          <w:p>
            <w:r>
              <w:t>$0</w:t>
            </w:r>
          </w:p>
        </w:tc>
        <w:tc>
          <w:tcPr>
            <w:tcW w:type="dxa" w:w="2628"/>
          </w:tcPr>
          <w:p>
            <w:r>
              <w:t>$0</w:t>
            </w:r>
          </w:p>
        </w:tc>
        <w:tc>
          <w:tcPr>
            <w:tcW w:type="dxa" w:w="2628"/>
          </w:tcPr>
          <w:p>
            <w:r>
              <w:t>$0</w:t>
            </w:r>
          </w:p>
        </w:tc>
      </w:tr>
    </w:tbl>
    <w:p>
      <w:pPr>
        <w:pStyle w:val="Heading2"/>
      </w:pPr>
      <w:r>
        <w:t>11.4 Resident Contributor and Social Security Validation</w:t>
      </w:r>
    </w:p>
    <w:p>
      <w:r>
        <w:t>The Resident Contributor model retains 14.866 million employed noncitizens and $46,000 of average annual liquid earnings. The basis now rests on the Census citizenship and workforce framework and BLS foreign-born earnings. The resulting incremental 7 percent employee and employer contribution remains $52.408 billion in Year 0. The $18 billion OASDI benefit exclusion is retained as a studied central estimate with an explicit $11.88 billion to $24.30 billion range because SSA does not publish a complete current citizenship cross-tab for every OASDI beneficiary.</w:t>
      </w:r>
    </w:p>
    <w:p>
      <w:r>
        <w:t>A separate $6 billion annual Social Security payment-accuracy saving is now booked, and $12 billion of mature NLA institutional servicing and international lending earnings is added to the Social Security ledger. The National Continuity Contribution closes the remaining annual gap without NHDC support.</w:t>
      </w:r>
    </w:p>
    <w:p>
      <w:pPr>
        <w:pStyle w:val="Heading2"/>
      </w:pPr>
      <w:r>
        <w:t>11.5 Fully Inclusive Revenue Ledger</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F4E78"/>
            <w:vAlign w:val="center"/>
          </w:tcPr>
          <w:p>
            <w:r>
              <w:rPr>
                <w:b/>
              </w:rPr>
              <w:t>Budget measure</w:t>
            </w:r>
          </w:p>
        </w:tc>
        <w:tc>
          <w:tcPr>
            <w:tcW w:type="dxa" w:w="3504"/>
            <w:shd w:fill="1F4E78"/>
            <w:vAlign w:val="center"/>
          </w:tcPr>
          <w:p>
            <w:r>
              <w:rPr>
                <w:b/>
              </w:rPr>
              <w:t>Mature-year amount</w:t>
            </w:r>
          </w:p>
        </w:tc>
        <w:tc>
          <w:tcPr>
            <w:tcW w:type="dxa" w:w="3504"/>
            <w:shd w:fill="1F4E78"/>
            <w:vAlign w:val="center"/>
          </w:tcPr>
          <w:p>
            <w:r>
              <w:rPr>
                <w:b/>
              </w:rPr>
              <w:t>Treatment</w:t>
            </w:r>
          </w:p>
        </w:tc>
      </w:tr>
      <w:tr>
        <w:tc>
          <w:tcPr>
            <w:tcW w:type="dxa" w:w="3504"/>
          </w:tcPr>
          <w:p>
            <w:r>
              <w:t>Operating General Treasury Revenue</w:t>
            </w:r>
          </w:p>
        </w:tc>
        <w:tc>
          <w:tcPr>
            <w:tcW w:type="dxa" w:w="3504"/>
          </w:tcPr>
          <w:p>
            <w:r>
              <w:t>$5.711T</w:t>
            </w:r>
          </w:p>
        </w:tc>
        <w:tc>
          <w:tcPr>
            <w:tcW w:type="dxa" w:w="3504"/>
          </w:tcPr>
          <w:p>
            <w:r>
              <w:t>All unrestricted taxes, duties, royalties, net enterprise services, and NIRF distributable return</w:t>
            </w:r>
          </w:p>
        </w:tc>
      </w:tr>
      <w:tr>
        <w:tc>
          <w:tcPr>
            <w:tcW w:type="dxa" w:w="3504"/>
          </w:tcPr>
          <w:p>
            <w:r>
              <w:t>Total Government Revenue, Year 10</w:t>
            </w:r>
          </w:p>
        </w:tc>
        <w:tc>
          <w:tcPr>
            <w:tcW w:type="dxa" w:w="3504"/>
          </w:tcPr>
          <w:p>
            <w:r>
              <w:t>$9.103T</w:t>
            </w:r>
          </w:p>
        </w:tc>
        <w:tc>
          <w:tcPr>
            <w:tcW w:type="dxa" w:w="3504"/>
          </w:tcPr>
          <w:p>
            <w:r>
              <w:t>Includes dedicated Social Security, healthcare, data, spectrum, NCC, and public-enterprise earnings</w:t>
            </w:r>
          </w:p>
        </w:tc>
      </w:tr>
      <w:tr>
        <w:tc>
          <w:tcPr>
            <w:tcW w:type="dxa" w:w="3504"/>
          </w:tcPr>
          <w:p>
            <w:r>
              <w:t>General Government balance</w:t>
            </w:r>
          </w:p>
        </w:tc>
        <w:tc>
          <w:tcPr>
            <w:tcW w:type="dxa" w:w="3504"/>
          </w:tcPr>
          <w:p>
            <w:r>
              <w:t>+$318.956B</w:t>
            </w:r>
          </w:p>
        </w:tc>
        <w:tc>
          <w:tcPr>
            <w:tcW w:type="dxa" w:w="3504"/>
          </w:tcPr>
          <w:p>
            <w:r>
              <w:t>After researched revenue additions</w:t>
            </w:r>
          </w:p>
        </w:tc>
      </w:tr>
      <w:tr>
        <w:tc>
          <w:tcPr>
            <w:tcW w:type="dxa" w:w="3504"/>
          </w:tcPr>
          <w:p>
            <w:r>
              <w:t>Healthcare balance</w:t>
            </w:r>
          </w:p>
        </w:tc>
        <w:tc>
          <w:tcPr>
            <w:tcW w:type="dxa" w:w="3504"/>
          </w:tcPr>
          <w:p>
            <w:r>
              <w:t>+$376.509B</w:t>
            </w:r>
          </w:p>
        </w:tc>
        <w:tc>
          <w:tcPr>
            <w:tcW w:type="dxa" w:w="3504"/>
          </w:tcPr>
          <w:p>
            <w:r>
              <w:t>Includes $12B NHDC international licensing; no Social Security transfer</w:t>
            </w:r>
          </w:p>
        </w:tc>
      </w:tr>
      <w:tr>
        <w:tc>
          <w:tcPr>
            <w:tcW w:type="dxa" w:w="3504"/>
          </w:tcPr>
          <w:p>
            <w:r>
              <w:t>Social Security balance</w:t>
            </w:r>
          </w:p>
        </w:tc>
        <w:tc>
          <w:tcPr>
            <w:tcW w:type="dxa" w:w="3504"/>
          </w:tcPr>
          <w:p>
            <w:r>
              <w:t>$0</w:t>
            </w:r>
          </w:p>
        </w:tc>
        <w:tc>
          <w:tcPr>
            <w:tcW w:type="dxa" w:w="3504"/>
          </w:tcPr>
          <w:p>
            <w:r>
              <w:t>Balanced by RCN, NLA, payment accuracy, trust income, and NCC</w:t>
            </w:r>
          </w:p>
        </w:tc>
      </w:tr>
      <w:tr>
        <w:tc>
          <w:tcPr>
            <w:tcW w:type="dxa" w:w="3504"/>
          </w:tcPr>
          <w:p>
            <w:r>
              <w:t>Consolidated replacement surplus, Year 10</w:t>
            </w:r>
          </w:p>
        </w:tc>
        <w:tc>
          <w:tcPr>
            <w:tcW w:type="dxa" w:w="3504"/>
          </w:tcPr>
          <w:p>
            <w:r>
              <w:t>+$1.080T</w:t>
            </w:r>
          </w:p>
        </w:tc>
        <w:tc>
          <w:tcPr>
            <w:tcW w:type="dxa" w:w="3504"/>
          </w:tcPr>
          <w:p>
            <w:r>
              <w:t>NLA ramp modeled from Year 0 startup through Year 10 maturity; internal transfers eliminated</w:t>
            </w:r>
          </w:p>
        </w:tc>
      </w:tr>
    </w:tbl>
    <w:p>
      <w:pPr>
        <w:pStyle w:val="Heading2"/>
      </w:pPr>
      <w:r>
        <w:t>11.6 Revenue Methods Now Included</w:t>
      </w:r>
    </w:p>
    <w:p>
      <w:pPr>
        <w:pStyle w:val="ListBullet"/>
      </w:pPr>
      <w:r>
        <w:t>Individual income tax and corporate income tax</w:t>
      </w:r>
    </w:p>
    <w:p>
      <w:pPr>
        <w:pStyle w:val="ListBullet"/>
      </w:pPr>
      <w:r>
        <w:t>Estate and trust distribution tax and entity-level anti-deferral tax</w:t>
      </w:r>
    </w:p>
    <w:p>
      <w:pPr>
        <w:pStyle w:val="ListBullet"/>
      </w:pPr>
      <w:r>
        <w:t>Employer equity compensation surtax</w:t>
      </w:r>
    </w:p>
    <w:p>
      <w:pPr>
        <w:pStyle w:val="ListBullet"/>
      </w:pPr>
      <w:r>
        <w:t>Outsourcing Penalty and Fair Profit Tax</w:t>
      </w:r>
    </w:p>
    <w:p>
      <w:pPr>
        <w:pStyle w:val="ListBullet"/>
      </w:pPr>
      <w:r>
        <w:t>Loan Scumming taxes and fees and Protectorate Fee</w:t>
      </w:r>
    </w:p>
    <w:p>
      <w:pPr>
        <w:pStyle w:val="ListBullet"/>
      </w:pPr>
      <w:r>
        <w:t>Flat Luxury Tax and Citizen Data Royalty</w:t>
      </w:r>
    </w:p>
    <w:p>
      <w:pPr>
        <w:pStyle w:val="ListBullet"/>
      </w:pPr>
      <w:r>
        <w:t>Sin sales surtax and Carbon Tax</w:t>
      </w:r>
    </w:p>
    <w:p>
      <w:pPr>
        <w:pStyle w:val="ListBullet"/>
      </w:pPr>
      <w:r>
        <w:t>National Resource Royalty and Energy Export Excise</w:t>
      </w:r>
    </w:p>
    <w:p>
      <w:pPr>
        <w:pStyle w:val="ListBullet"/>
      </w:pPr>
      <w:r>
        <w:t>Idle Wealth Levy, Offshore Capital Export Duty, and High-Wealth Compliance Recovery</w:t>
      </w:r>
    </w:p>
    <w:p>
      <w:pPr>
        <w:pStyle w:val="ListBullet"/>
      </w:pPr>
      <w:r>
        <w:t>Resident Contributor contributions and employer matching</w:t>
      </w:r>
    </w:p>
    <w:p>
      <w:pPr>
        <w:pStyle w:val="ListBullet"/>
      </w:pPr>
      <w:r>
        <w:t>National Continuity Contribution</w:t>
      </w:r>
    </w:p>
    <w:p>
      <w:pPr>
        <w:pStyle w:val="ListBullet"/>
      </w:pPr>
      <w:r>
        <w:t>NLA domestic profit and institutional/international earnings</w:t>
      </w:r>
    </w:p>
    <w:p>
      <w:pPr>
        <w:pStyle w:val="ListBullet"/>
      </w:pPr>
      <w:r>
        <w:t>NHDC export margin and international licensing earnings</w:t>
      </w:r>
    </w:p>
    <w:p>
      <w:pPr>
        <w:pStyle w:val="ListBullet"/>
      </w:pPr>
      <w:r>
        <w:t>Spectrum auctions, annual rent, transfer fees, and vacancy rent</w:t>
      </w:r>
    </w:p>
    <w:p>
      <w:pPr>
        <w:pStyle w:val="ListBullet"/>
      </w:pPr>
      <w:r>
        <w:t>Federal Enterprise Data Services</w:t>
      </w:r>
    </w:p>
    <w:p>
      <w:pPr>
        <w:pStyle w:val="ListBullet"/>
      </w:pPr>
      <w:r>
        <w:t>National laboratory patent licenses and royalties</w:t>
      </w:r>
    </w:p>
    <w:p>
      <w:pPr>
        <w:pStyle w:val="ListBullet"/>
      </w:pPr>
      <w:r>
        <w:t>Industrial campus leases, utilities, testing, security fees, and royalties</w:t>
      </w:r>
    </w:p>
    <w:p>
      <w:pPr>
        <w:pStyle w:val="ListBullet"/>
      </w:pPr>
      <w:r>
        <w:t>National Pipeline Corridor capacity auctions and rights-of-way rents</w:t>
      </w:r>
    </w:p>
    <w:p>
      <w:pPr>
        <w:pStyle w:val="ListBullet"/>
      </w:pPr>
      <w:r>
        <w:t>National commercial space infrastructure services</w:t>
      </w:r>
    </w:p>
    <w:p>
      <w:pPr>
        <w:pStyle w:val="ListBullet"/>
      </w:pPr>
      <w:r>
        <w:t>Patent troll penalties</w:t>
      </w:r>
    </w:p>
    <w:p>
      <w:pPr>
        <w:pStyle w:val="ListBullet"/>
      </w:pPr>
      <w:r>
        <w:t>Social Security trust investment income and NIRF distributable investment return</w:t>
      </w:r>
    </w:p>
    <w:p>
      <w:pPr>
        <w:pStyle w:val="Heading2"/>
      </w:pPr>
      <w:r>
        <w:t>11.7 Remaining Uncertainty</w:t>
      </w:r>
    </w:p>
    <w:p>
      <w:r>
        <w:t>The enterprise-valuation registry remains the decisive future source for the National Continuity Contribution. The studied $68 trillion base is grounded in current Federal Reserve balance sheets and adjusted to approximate covered operating enterprises above the statutory threshold. The earlier $23 trillion figure was a preliminary draft input and no longer controls any active calculation or cross-reference.</w:t>
      </w:r>
    </w:p>
    <w:p>
      <w:r>
        <w:t>The enterprise-valuation registry remains the decisive future source for the National Continuity Contribution. The studied $68 trillion base is grounded in current Federal Reserve balance sheets, then adjusted to approximate covered operating enterprises above the statutory threshold.</w:t>
      </w:r>
    </w:p>
    <w:p>
      <w:pPr>
        <w:pStyle w:val="Heading2"/>
      </w:pPr>
      <w:r>
        <w:t>11.8 Source Register</w:t>
      </w:r>
    </w:p>
    <w:p>
      <w:pPr>
        <w:pStyle w:val="ListBullet"/>
      </w:pPr>
      <w:r>
        <w:t>Federal Reserve, Financial Accounts of the United States, nonfinancial corporate business and corporate equities tables.</w:t>
      </w:r>
    </w:p>
    <w:p>
      <w:pPr>
        <w:pStyle w:val="ListBullet"/>
      </w:pPr>
      <w:r>
        <w:t>Energy Information Administration, U.S. Energy-Related Carbon Dioxide Emissions, 2024.</w:t>
      </w:r>
    </w:p>
    <w:p>
      <w:pPr>
        <w:pStyle w:val="ListBullet"/>
      </w:pPr>
      <w:r>
        <w:t>Census Bureau, American Community Survey foreign-born and citizenship tables.</w:t>
      </w:r>
    </w:p>
    <w:p>
      <w:pPr>
        <w:pStyle w:val="ListBullet"/>
      </w:pPr>
      <w:r>
        <w:t>Bureau of Labor Statistics, Foreign-Born Workers: Labor Force Characteristics.</w:t>
      </w:r>
    </w:p>
    <w:p>
      <w:pPr>
        <w:pStyle w:val="ListBullet"/>
      </w:pPr>
      <w:r>
        <w:t>Social Security Administration, Annual Statistical Supplement and SSI Annual Statistical Report, 2024.</w:t>
      </w:r>
    </w:p>
    <w:p>
      <w:pPr>
        <w:pStyle w:val="ListBullet"/>
      </w:pPr>
      <w:r>
        <w:t>Federal Communications Commission, Auctions Summary.</w:t>
      </w:r>
    </w:p>
    <w:p>
      <w:pPr>
        <w:pStyle w:val="ListBullet"/>
      </w:pPr>
      <w:r>
        <w:t>National Telecommunications and Information Administration, Commercial Spectrum Enhancement Act reports.</w:t>
      </w:r>
    </w:p>
    <w:p>
      <w:pPr>
        <w:pStyle w:val="ListBullet"/>
      </w:pPr>
      <w:r>
        <w:t>Department of Energy, national laboratory technology-transfer reports and 2024 licensing guide.</w:t>
      </w:r>
    </w:p>
    <w:p>
      <w:pPr>
        <w:pStyle w:val="ListBullet"/>
      </w:pPr>
      <w:r>
        <w:t>Bureau of Land Management, rights-of-way rent and fee guidance.</w:t>
      </w:r>
    </w:p>
    <w:p>
      <w:pPr>
        <w:pStyle w:val="ListBullet"/>
      </w:pPr>
      <w:r>
        <w:t>Internal Revenue Service tax-gap publications and GAO large-partnership enforcement studies.</w:t>
      </w:r>
    </w:p>
    <w:p>
      <w:r/>
    </w:p>
    <w:p>
      <w:pPr>
        <w:pStyle w:val="Heading1"/>
      </w:pPr>
      <w:r>
        <w:t>11. Publication Defense and Household Incidence</w:t>
      </w:r>
    </w:p>
    <w:p>
      <w:r>
        <w:rPr>
          <w:b/>
        </w:rPr>
        <w:t xml:space="preserve">Fiscal reconciliation. </w:t>
      </w:r>
      <w:r>
        <w:t>The companion Deep Tax Burden Study now reconciles the Year 10 consolidated balance directly from the General Government, Healthcare, and Social Security ledgers plus external protected-capital receipts. The calculated and published balances differ only by floating-point rounding. The front-page figures now match the active Year 10 model: $5.711 trillion in operating Treasury revenue, $9.103 trillion in Total Government Revenue, and a $1.080 trillion consolidated surplus.</w:t>
      </w:r>
    </w:p>
    <w:p>
      <w:pPr>
        <w:pStyle w:val="Heading2"/>
      </w:pPr>
      <w:r>
        <w:t>11.1 Social Security Cost Presentation</w:t>
      </w:r>
    </w:p>
    <w:p>
      <w:r>
        <w:t>The model uses one gross Social Security cost benchmark and one explicit saving adjustment. The 2024 gross OASDI cost is $1.485 trillion. A separately booked $6 billion payment-accuracy saving reduces the Year 0 net obligation to $1.479 trillion. Year 4 and Year 10 grow the gross cost path under the Trustees-based cost-rate assumptions and then deduct the same $6 billion saving. Every table now states whether it shows gross scheduled cost or net obligation after payment accuracy.</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fill="1F4E78"/>
            <w:vAlign w:val="center"/>
          </w:tcPr>
          <w:p>
            <w:r>
              <w:rPr>
                <w:b/>
              </w:rPr>
              <w:t>Measure</w:t>
            </w:r>
          </w:p>
        </w:tc>
        <w:tc>
          <w:tcPr>
            <w:tcW w:type="dxa" w:w="2628"/>
            <w:shd w:fill="1F4E78"/>
            <w:vAlign w:val="center"/>
          </w:tcPr>
          <w:p>
            <w:r>
              <w:rPr>
                <w:b/>
              </w:rPr>
              <w:t>Year 0</w:t>
            </w:r>
          </w:p>
        </w:tc>
        <w:tc>
          <w:tcPr>
            <w:tcW w:type="dxa" w:w="2628"/>
            <w:shd w:fill="1F4E78"/>
            <w:vAlign w:val="center"/>
          </w:tcPr>
          <w:p>
            <w:r>
              <w:rPr>
                <w:b/>
              </w:rPr>
              <w:t>Year 4</w:t>
            </w:r>
          </w:p>
        </w:tc>
        <w:tc>
          <w:tcPr>
            <w:tcW w:type="dxa" w:w="2628"/>
            <w:shd w:fill="1F4E78"/>
            <w:vAlign w:val="center"/>
          </w:tcPr>
          <w:p>
            <w:r>
              <w:rPr>
                <w:b/>
              </w:rPr>
              <w:t>Year 10</w:t>
            </w:r>
          </w:p>
        </w:tc>
      </w:tr>
      <w:tr>
        <w:tc>
          <w:tcPr>
            <w:tcW w:type="dxa" w:w="2628"/>
          </w:tcPr>
          <w:p>
            <w:r>
              <w:t>Gross scheduled OASDI cost</w:t>
            </w:r>
          </w:p>
        </w:tc>
        <w:tc>
          <w:tcPr>
            <w:tcW w:type="dxa" w:w="2628"/>
          </w:tcPr>
          <w:p>
            <w:r>
              <w:t>$1.485T</w:t>
            </w:r>
          </w:p>
        </w:tc>
        <w:tc>
          <w:tcPr>
            <w:tcW w:type="dxa" w:w="2628"/>
          </w:tcPr>
          <w:p>
            <w:r>
              <w:t>$1.595T</w:t>
            </w:r>
          </w:p>
        </w:tc>
        <w:tc>
          <w:tcPr>
            <w:tcW w:type="dxa" w:w="2628"/>
          </w:tcPr>
          <w:p>
            <w:r>
              <w:t>$1.726T</w:t>
            </w:r>
          </w:p>
        </w:tc>
      </w:tr>
      <w:tr>
        <w:tc>
          <w:tcPr>
            <w:tcW w:type="dxa" w:w="2628"/>
          </w:tcPr>
          <w:p>
            <w:r>
              <w:t>Payment-accuracy saving</w:t>
            </w:r>
          </w:p>
        </w:tc>
        <w:tc>
          <w:tcPr>
            <w:tcW w:type="dxa" w:w="2628"/>
          </w:tcPr>
          <w:p>
            <w:r>
              <w:t>($6.000B)</w:t>
            </w:r>
          </w:p>
        </w:tc>
        <w:tc>
          <w:tcPr>
            <w:tcW w:type="dxa" w:w="2628"/>
          </w:tcPr>
          <w:p>
            <w:r>
              <w:t>($6.000B)</w:t>
            </w:r>
          </w:p>
        </w:tc>
        <w:tc>
          <w:tcPr>
            <w:tcW w:type="dxa" w:w="2628"/>
          </w:tcPr>
          <w:p>
            <w:r>
              <w:t>($6.000B)</w:t>
            </w:r>
          </w:p>
        </w:tc>
      </w:tr>
      <w:tr>
        <w:tc>
          <w:tcPr>
            <w:tcW w:type="dxa" w:w="2628"/>
          </w:tcPr>
          <w:p>
            <w:r>
              <w:t>Net OASDI obligation</w:t>
            </w:r>
          </w:p>
        </w:tc>
        <w:tc>
          <w:tcPr>
            <w:tcW w:type="dxa" w:w="2628"/>
          </w:tcPr>
          <w:p>
            <w:r>
              <w:t>$1.479T</w:t>
            </w:r>
          </w:p>
        </w:tc>
        <w:tc>
          <w:tcPr>
            <w:tcW w:type="dxa" w:w="2628"/>
          </w:tcPr>
          <w:p>
            <w:r>
              <w:t>$1.589T</w:t>
            </w:r>
          </w:p>
        </w:tc>
        <w:tc>
          <w:tcPr>
            <w:tcW w:type="dxa" w:w="2628"/>
          </w:tcPr>
          <w:p>
            <w:r>
              <w:t>$1.720T</w:t>
            </w:r>
          </w:p>
        </w:tc>
      </w:tr>
    </w:tbl>
    <w:p>
      <w:pPr>
        <w:pStyle w:val="Heading2"/>
      </w:pPr>
      <w:r>
        <w:t>11.2 Land Excise Implied Capture Rate</w:t>
      </w:r>
    </w:p>
    <w:p>
      <w:r>
        <w:t>The $2.233 trillion land-excise target equals 2.592 percent of the combined Federal Reserve real-estate envelope used in the study, approximately $86.145 trillion. That denominator includes structures and exempt primary residences, so 2.592 percent is a lower-bound disclosure rather than the final land-only rate. Under an illustrative central case where land represents 40 percent of the envelope and 50 percent remains taxable after exemptions, the taxable land base is approximately $17.229 trillion and the implied annual rate is 12.960 percent. The parcel-level study must therefore validate the tax base, exemptions, and economic rent before the revenue target can move from a policy scenario to a fully defended estimate.</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fill="1F4E78"/>
            <w:vAlign w:val="center"/>
          </w:tcPr>
          <w:p>
            <w:r>
              <w:rPr>
                <w:b/>
              </w:rPr>
              <w:t>Disclosure measure</w:t>
            </w:r>
          </w:p>
        </w:tc>
        <w:tc>
          <w:tcPr>
            <w:tcW w:type="dxa" w:w="2628"/>
            <w:shd w:fill="1F4E78"/>
            <w:vAlign w:val="center"/>
          </w:tcPr>
          <w:p>
            <w:r>
              <w:rPr>
                <w:b/>
              </w:rPr>
              <w:t>Value</w:t>
            </w:r>
          </w:p>
        </w:tc>
        <w:tc>
          <w:tcPr>
            <w:tcW w:type="dxa" w:w="2628"/>
            <w:shd w:fill="1F4E78"/>
            <w:vAlign w:val="center"/>
          </w:tcPr>
          <w:p>
            <w:r>
              <w:rPr>
                <w:b/>
              </w:rPr>
              <w:t>Formula</w:t>
            </w:r>
          </w:p>
        </w:tc>
        <w:tc>
          <w:tcPr>
            <w:tcW w:type="dxa" w:w="2628"/>
            <w:shd w:fill="1F4E78"/>
            <w:vAlign w:val="center"/>
          </w:tcPr>
          <w:p>
            <w:r>
              <w:rPr>
                <w:b/>
              </w:rPr>
              <w:t>Meaning</w:t>
            </w:r>
          </w:p>
        </w:tc>
      </w:tr>
      <w:tr>
        <w:tc>
          <w:tcPr>
            <w:tcW w:type="dxa" w:w="2628"/>
          </w:tcPr>
          <w:p>
            <w:r>
              <w:t>Combined Fed real-estate envelope</w:t>
            </w:r>
          </w:p>
        </w:tc>
        <w:tc>
          <w:tcPr>
            <w:tcW w:type="dxa" w:w="2628"/>
          </w:tcPr>
          <w:p>
            <w:r>
              <w:t>$86.145T</w:t>
            </w:r>
          </w:p>
        </w:tc>
        <w:tc>
          <w:tcPr>
            <w:tcW w:type="dxa" w:w="2628"/>
          </w:tcPr>
          <w:p>
            <w:r>
              <w:t>Household + corporate + noncorporate real estate</w:t>
            </w:r>
          </w:p>
        </w:tc>
        <w:tc>
          <w:tcPr>
            <w:tcW w:type="dxa" w:w="2628"/>
          </w:tcPr>
          <w:p>
            <w:r>
              <w:t>Includes land and structures</w:t>
            </w:r>
          </w:p>
        </w:tc>
      </w:tr>
      <w:tr>
        <w:tc>
          <w:tcPr>
            <w:tcW w:type="dxa" w:w="2628"/>
          </w:tcPr>
          <w:p>
            <w:r>
              <w:t>Federalized land-excise target</w:t>
            </w:r>
          </w:p>
        </w:tc>
        <w:tc>
          <w:tcPr>
            <w:tcW w:type="dxa" w:w="2628"/>
          </w:tcPr>
          <w:p>
            <w:r>
              <w:t>$2.233T</w:t>
            </w:r>
          </w:p>
        </w:tc>
        <w:tc>
          <w:tcPr>
            <w:tcW w:type="dxa" w:w="2628"/>
          </w:tcPr>
          <w:p>
            <w:r>
              <w:t>Active policy target</w:t>
            </w:r>
          </w:p>
        </w:tc>
        <w:tc>
          <w:tcPr>
            <w:tcW w:type="dxa" w:w="2628"/>
          </w:tcPr>
          <w:p>
            <w:r>
              <w:t>Booked scenario</w:t>
            </w:r>
          </w:p>
        </w:tc>
      </w:tr>
      <w:tr>
        <w:tc>
          <w:tcPr>
            <w:tcW w:type="dxa" w:w="2628"/>
          </w:tcPr>
          <w:p>
            <w:r>
              <w:t>Target / full envelope</w:t>
            </w:r>
          </w:p>
        </w:tc>
        <w:tc>
          <w:tcPr>
            <w:tcW w:type="dxa" w:w="2628"/>
          </w:tcPr>
          <w:p>
            <w:r>
              <w:t>2.592%</w:t>
            </w:r>
          </w:p>
        </w:tc>
        <w:tc>
          <w:tcPr>
            <w:tcW w:type="dxa" w:w="2628"/>
          </w:tcPr>
          <w:p>
            <w:r>
              <w:t>$2.233T ÷ $86.145T</w:t>
            </w:r>
          </w:p>
        </w:tc>
        <w:tc>
          <w:tcPr>
            <w:tcW w:type="dxa" w:w="2628"/>
          </w:tcPr>
          <w:p>
            <w:r>
              <w:t>Lower-bound implied rate</w:t>
            </w:r>
          </w:p>
        </w:tc>
      </w:tr>
      <w:tr>
        <w:tc>
          <w:tcPr>
            <w:tcW w:type="dxa" w:w="2628"/>
          </w:tcPr>
          <w:p>
            <w:r>
              <w:t>Illustrative taxable land-only base</w:t>
            </w:r>
          </w:p>
        </w:tc>
        <w:tc>
          <w:tcPr>
            <w:tcW w:type="dxa" w:w="2628"/>
          </w:tcPr>
          <w:p>
            <w:r>
              <w:t>$17.229T</w:t>
            </w:r>
          </w:p>
        </w:tc>
        <w:tc>
          <w:tcPr>
            <w:tcW w:type="dxa" w:w="2628"/>
          </w:tcPr>
          <w:p>
            <w:r>
              <w:t>40% land share × 50% taxable share</w:t>
            </w:r>
          </w:p>
        </w:tc>
        <w:tc>
          <w:tcPr>
            <w:tcW w:type="dxa" w:w="2628"/>
          </w:tcPr>
          <w:p>
            <w:r>
              <w:t>Sensitivity, not parcel proof</w:t>
            </w:r>
          </w:p>
        </w:tc>
      </w:tr>
      <w:tr>
        <w:tc>
          <w:tcPr>
            <w:tcW w:type="dxa" w:w="2628"/>
          </w:tcPr>
          <w:p>
            <w:r>
              <w:t>Implied rate on illustrative land base</w:t>
            </w:r>
          </w:p>
        </w:tc>
        <w:tc>
          <w:tcPr>
            <w:tcW w:type="dxa" w:w="2628"/>
          </w:tcPr>
          <w:p>
            <w:r>
              <w:t>12.960%</w:t>
            </w:r>
          </w:p>
        </w:tc>
        <w:tc>
          <w:tcPr>
            <w:tcW w:type="dxa" w:w="2628"/>
          </w:tcPr>
          <w:p>
            <w:r>
              <w:t>$2.233T ÷ $17.229T</w:t>
            </w:r>
          </w:p>
        </w:tc>
        <w:tc>
          <w:tcPr>
            <w:tcW w:type="dxa" w:w="2628"/>
          </w:tcPr>
          <w:p>
            <w:r>
              <w:t>Shows the validation burden</w:t>
            </w:r>
          </w:p>
        </w:tc>
      </w:tr>
    </w:tbl>
    <w:p>
      <w:pPr>
        <w:pStyle w:val="Heading2"/>
      </w:pPr>
      <w:r>
        <w:t>11.3 Illustrative Household Burden</w:t>
      </w:r>
    </w:p>
    <w:p>
      <w:r>
        <w:t>The following examples use 2024 single-filer federal rules. Current burden includes federal individual income tax and employee payroll tax. Proposed burden includes the 10 percent liquid-income tax, 3 percent citizen Social Security contribution, and the assigned citizen HSA tier. Employer contributions, state taxes, credits, itemized deductions, and current insurance premiums remain outside the comparison. These examples provide transparency rather than a full distributional microsimulation.</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502"/>
            <w:shd w:fill="1F4E78"/>
            <w:vAlign w:val="center"/>
          </w:tcPr>
          <w:p>
            <w:r>
              <w:rPr>
                <w:b/>
              </w:rPr>
              <w:t>Profile</w:t>
            </w:r>
          </w:p>
        </w:tc>
        <w:tc>
          <w:tcPr>
            <w:tcW w:type="dxa" w:w="1502"/>
            <w:shd w:fill="1F4E78"/>
            <w:vAlign w:val="center"/>
          </w:tcPr>
          <w:p>
            <w:r>
              <w:rPr>
                <w:b/>
              </w:rPr>
              <w:t>Liquid income</w:t>
            </w:r>
          </w:p>
        </w:tc>
        <w:tc>
          <w:tcPr>
            <w:tcW w:type="dxa" w:w="1502"/>
            <w:shd w:fill="1F4E78"/>
            <w:vAlign w:val="center"/>
          </w:tcPr>
          <w:p>
            <w:r>
              <w:rPr>
                <w:b/>
              </w:rPr>
              <w:t>HSA tier</w:t>
            </w:r>
          </w:p>
        </w:tc>
        <w:tc>
          <w:tcPr>
            <w:tcW w:type="dxa" w:w="1502"/>
            <w:shd w:fill="1F4E78"/>
            <w:vAlign w:val="center"/>
          </w:tcPr>
          <w:p>
            <w:r>
              <w:rPr>
                <w:b/>
              </w:rPr>
              <w:t>Current burden</w:t>
            </w:r>
          </w:p>
        </w:tc>
        <w:tc>
          <w:tcPr>
            <w:tcW w:type="dxa" w:w="1502"/>
            <w:shd w:fill="1F4E78"/>
            <w:vAlign w:val="center"/>
          </w:tcPr>
          <w:p>
            <w:r>
              <w:rPr>
                <w:b/>
              </w:rPr>
              <w:t>Proposed burden</w:t>
            </w:r>
          </w:p>
        </w:tc>
        <w:tc>
          <w:tcPr>
            <w:tcW w:type="dxa" w:w="1502"/>
            <w:shd w:fill="1F4E78"/>
            <w:vAlign w:val="center"/>
          </w:tcPr>
          <w:p>
            <w:r>
              <w:rPr>
                <w:b/>
              </w:rPr>
              <w:t>Change</w:t>
            </w:r>
          </w:p>
        </w:tc>
        <w:tc>
          <w:tcPr>
            <w:tcW w:type="dxa" w:w="1502"/>
            <w:shd w:fill="1F4E78"/>
            <w:vAlign w:val="center"/>
          </w:tcPr>
          <w:p>
            <w:r>
              <w:rPr>
                <w:b/>
              </w:rPr>
              <w:t>Change as income</w:t>
            </w:r>
          </w:p>
        </w:tc>
      </w:tr>
      <w:tr>
        <w:tc>
          <w:tcPr>
            <w:tcW w:type="dxa" w:w="1502"/>
          </w:tcPr>
          <w:p>
            <w:r>
              <w:t>Nurse</w:t>
            </w:r>
          </w:p>
        </w:tc>
        <w:tc>
          <w:tcPr>
            <w:tcW w:type="dxa" w:w="1502"/>
          </w:tcPr>
          <w:p>
            <w:r>
              <w:t>$80,000</w:t>
            </w:r>
          </w:p>
        </w:tc>
        <w:tc>
          <w:tcPr>
            <w:tcW w:type="dxa" w:w="1502"/>
          </w:tcPr>
          <w:p>
            <w:r>
              <w:t>3%</w:t>
            </w:r>
          </w:p>
        </w:tc>
        <w:tc>
          <w:tcPr>
            <w:tcW w:type="dxa" w:w="1502"/>
          </w:tcPr>
          <w:p>
            <w:r>
              <w:t>$15,561</w:t>
            </w:r>
          </w:p>
        </w:tc>
        <w:tc>
          <w:tcPr>
            <w:tcW w:type="dxa" w:w="1502"/>
          </w:tcPr>
          <w:p>
            <w:r>
              <w:t>$12,800</w:t>
            </w:r>
          </w:p>
        </w:tc>
        <w:tc>
          <w:tcPr>
            <w:tcW w:type="dxa" w:w="1502"/>
          </w:tcPr>
          <w:p>
            <w:r>
              <w:t>($2,761)</w:t>
            </w:r>
          </w:p>
        </w:tc>
        <w:tc>
          <w:tcPr>
            <w:tcW w:type="dxa" w:w="1502"/>
          </w:tcPr>
          <w:p>
            <w:r>
              <w:t>(3.45%)</w:t>
            </w:r>
          </w:p>
        </w:tc>
      </w:tr>
      <w:tr>
        <w:tc>
          <w:tcPr>
            <w:tcW w:type="dxa" w:w="1502"/>
          </w:tcPr>
          <w:p>
            <w:r>
              <w:t>Machinist</w:t>
            </w:r>
          </w:p>
        </w:tc>
        <w:tc>
          <w:tcPr>
            <w:tcW w:type="dxa" w:w="1502"/>
          </w:tcPr>
          <w:p>
            <w:r>
              <w:t>$70,000</w:t>
            </w:r>
          </w:p>
        </w:tc>
        <w:tc>
          <w:tcPr>
            <w:tcW w:type="dxa" w:w="1502"/>
          </w:tcPr>
          <w:p>
            <w:r>
              <w:t>3%</w:t>
            </w:r>
          </w:p>
        </w:tc>
        <w:tc>
          <w:tcPr>
            <w:tcW w:type="dxa" w:w="1502"/>
          </w:tcPr>
          <w:p>
            <w:r>
              <w:t>$12,596</w:t>
            </w:r>
          </w:p>
        </w:tc>
        <w:tc>
          <w:tcPr>
            <w:tcW w:type="dxa" w:w="1502"/>
          </w:tcPr>
          <w:p>
            <w:r>
              <w:t>$11,200</w:t>
            </w:r>
          </w:p>
        </w:tc>
        <w:tc>
          <w:tcPr>
            <w:tcW w:type="dxa" w:w="1502"/>
          </w:tcPr>
          <w:p>
            <w:r>
              <w:t>($1,396)</w:t>
            </w:r>
          </w:p>
        </w:tc>
        <w:tc>
          <w:tcPr>
            <w:tcW w:type="dxa" w:w="1502"/>
          </w:tcPr>
          <w:p>
            <w:r>
              <w:t>(1.99%)</w:t>
            </w:r>
          </w:p>
        </w:tc>
      </w:tr>
      <w:tr>
        <w:tc>
          <w:tcPr>
            <w:tcW w:type="dxa" w:w="1502"/>
          </w:tcPr>
          <w:p>
            <w:r>
              <w:t>Retiree</w:t>
            </w:r>
          </w:p>
        </w:tc>
        <w:tc>
          <w:tcPr>
            <w:tcW w:type="dxa" w:w="1502"/>
          </w:tcPr>
          <w:p>
            <w:r>
              <w:t>$60,000 pension + $30,000 SS</w:t>
            </w:r>
          </w:p>
        </w:tc>
        <w:tc>
          <w:tcPr>
            <w:tcW w:type="dxa" w:w="1502"/>
          </w:tcPr>
          <w:p>
            <w:r>
              <w:t>2%</w:t>
            </w:r>
          </w:p>
        </w:tc>
        <w:tc>
          <w:tcPr>
            <w:tcW w:type="dxa" w:w="1502"/>
          </w:tcPr>
          <w:p>
            <w:r>
              <w:t>$10,222</w:t>
            </w:r>
          </w:p>
        </w:tc>
        <w:tc>
          <w:tcPr>
            <w:tcW w:type="dxa" w:w="1502"/>
          </w:tcPr>
          <w:p>
            <w:r>
              <w:t>$9,000</w:t>
            </w:r>
          </w:p>
        </w:tc>
        <w:tc>
          <w:tcPr>
            <w:tcW w:type="dxa" w:w="1502"/>
          </w:tcPr>
          <w:p>
            <w:r>
              <w:t>($1,222)</w:t>
            </w:r>
          </w:p>
        </w:tc>
        <w:tc>
          <w:tcPr>
            <w:tcW w:type="dxa" w:w="1502"/>
          </w:tcPr>
          <w:p>
            <w:r>
              <w:t>(2.04%)</w:t>
            </w:r>
          </w:p>
        </w:tc>
      </w:tr>
      <w:tr>
        <w:tc>
          <w:tcPr>
            <w:tcW w:type="dxa" w:w="1502"/>
          </w:tcPr>
          <w:p>
            <w:r>
              <w:t>Surgeon</w:t>
            </w:r>
          </w:p>
        </w:tc>
        <w:tc>
          <w:tcPr>
            <w:tcW w:type="dxa" w:w="1502"/>
          </w:tcPr>
          <w:p>
            <w:r>
              <w:t>$400,000</w:t>
            </w:r>
          </w:p>
        </w:tc>
        <w:tc>
          <w:tcPr>
            <w:tcW w:type="dxa" w:w="1502"/>
          </w:tcPr>
          <w:p>
            <w:r>
              <w:t>5%</w:t>
            </w:r>
          </w:p>
        </w:tc>
        <w:tc>
          <w:tcPr>
            <w:tcW w:type="dxa" w:w="1502"/>
          </w:tcPr>
          <w:p>
            <w:r>
              <w:t>$123,318</w:t>
            </w:r>
          </w:p>
        </w:tc>
        <w:tc>
          <w:tcPr>
            <w:tcW w:type="dxa" w:w="1502"/>
          </w:tcPr>
          <w:p>
            <w:r>
              <w:t>$72,000</w:t>
            </w:r>
          </w:p>
        </w:tc>
        <w:tc>
          <w:tcPr>
            <w:tcW w:type="dxa" w:w="1502"/>
          </w:tcPr>
          <w:p>
            <w:r>
              <w:t>($51,318)</w:t>
            </w:r>
          </w:p>
        </w:tc>
        <w:tc>
          <w:tcPr>
            <w:tcW w:type="dxa" w:w="1502"/>
          </w:tcPr>
          <w:p>
            <w:r>
              <w:t>(12.83%)</w:t>
            </w:r>
          </w:p>
        </w:tc>
      </w:tr>
    </w:tbl>
    <w:p>
      <w:r>
        <w:rPr>
          <w:b/>
        </w:rPr>
        <w:t xml:space="preserve">Retiree treatment. </w:t>
      </w:r>
      <w:r>
        <w:t>Current law includes the taxable portion of Social Security benefits in federal taxable income once the income thresholds are met. The proposed liquid-income base excludes Social Security benefits and taxes the $60,000 pension only.</w:t>
      </w:r>
    </w:p>
    <w:p>
      <w:pPr>
        <w:pStyle w:val="Heading2"/>
      </w:pPr>
      <w:r>
        <w:t>11.4 NCC Family Farm and Operating-Business Protection</w:t>
      </w:r>
    </w:p>
    <w:p>
      <w:r>
        <w:t>The $1 million enterprise-value threshold exposes ordinary family farms and closely held machine shops to a recurring valuation levy. USDA reports that median family-farm household wealth is already near or above that threshold and that small family farms dominate the national farm count. Household wealth does not equal enterprise value, but it establishes that the present threshold creates a real political and liquidity risk.</w:t>
      </w:r>
    </w:p>
    <w:p>
      <w:r>
        <w:rPr>
          <w:b/>
        </w:rPr>
        <w:t xml:space="preserve">Recommended statutory design. </w:t>
      </w:r>
      <w:r>
        <w:t>Exclude the first $5 million of qualified operating enterprise value for family farms and closely held domestic manufacturers. Apply 0.25 percent from $5 million to $10 million and the full 0.73 percent above $10 million. Qualification requires active domestic operations, majority family or employee ownership, common-control aggregation, a five-year holding test, and recapture when protected operating assets convert to passive holdings.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fill="1F4E78"/>
            <w:vAlign w:val="center"/>
          </w:tcPr>
          <w:p>
            <w:r>
              <w:rPr>
                <w:b/>
              </w:rPr>
              <w:t>Excluded value from $68T base</w:t>
            </w:r>
          </w:p>
        </w:tc>
        <w:tc>
          <w:tcPr>
            <w:tcW w:type="dxa" w:w="2628"/>
            <w:shd w:fill="1F4E78"/>
            <w:vAlign w:val="center"/>
          </w:tcPr>
          <w:p>
            <w:r>
              <w:rPr>
                <w:b/>
              </w:rPr>
              <w:t>Annual NCC revenue loss</w:t>
            </w:r>
          </w:p>
        </w:tc>
        <w:tc>
          <w:tcPr>
            <w:tcW w:type="dxa" w:w="2628"/>
            <w:shd w:fill="1F4E78"/>
            <w:vAlign w:val="center"/>
          </w:tcPr>
          <w:p>
            <w:r>
              <w:rPr>
                <w:b/>
              </w:rPr>
              <w:t>Year 10 surplus after carve-out</w:t>
            </w:r>
          </w:p>
        </w:tc>
        <w:tc>
          <w:tcPr>
            <w:tcW w:type="dxa" w:w="2628"/>
            <w:shd w:fill="1F4E78"/>
            <w:vAlign w:val="center"/>
          </w:tcPr>
          <w:p>
            <w:r>
              <w:rPr>
                <w:b/>
              </w:rPr>
              <w:t>Share of base removed</w:t>
            </w:r>
          </w:p>
        </w:tc>
      </w:tr>
      <w:tr>
        <w:tc>
          <w:tcPr>
            <w:tcW w:type="dxa" w:w="2628"/>
          </w:tcPr>
          <w:p>
            <w:r>
              <w:t>$0.5T</w:t>
            </w:r>
          </w:p>
        </w:tc>
        <w:tc>
          <w:tcPr>
            <w:tcW w:type="dxa" w:w="2628"/>
          </w:tcPr>
          <w:p>
            <w:r>
              <w:t>$3.650B</w:t>
            </w:r>
          </w:p>
        </w:tc>
        <w:tc>
          <w:tcPr>
            <w:tcW w:type="dxa" w:w="2628"/>
          </w:tcPr>
          <w:p>
            <w:r>
              <w:t>$1.075T</w:t>
            </w:r>
          </w:p>
        </w:tc>
        <w:tc>
          <w:tcPr>
            <w:tcW w:type="dxa" w:w="2628"/>
          </w:tcPr>
          <w:p>
            <w:r>
              <w:t>0.74%</w:t>
            </w:r>
          </w:p>
        </w:tc>
      </w:tr>
      <w:tr>
        <w:tc>
          <w:tcPr>
            <w:tcW w:type="dxa" w:w="2628"/>
          </w:tcPr>
          <w:p>
            <w:r>
              <w:t>$1.0T</w:t>
            </w:r>
          </w:p>
        </w:tc>
        <w:tc>
          <w:tcPr>
            <w:tcW w:type="dxa" w:w="2628"/>
          </w:tcPr>
          <w:p>
            <w:r>
              <w:t>$7.300B</w:t>
            </w:r>
          </w:p>
        </w:tc>
        <w:tc>
          <w:tcPr>
            <w:tcW w:type="dxa" w:w="2628"/>
          </w:tcPr>
          <w:p>
            <w:r>
              <w:t>$1.071T</w:t>
            </w:r>
          </w:p>
        </w:tc>
        <w:tc>
          <w:tcPr>
            <w:tcW w:type="dxa" w:w="2628"/>
          </w:tcPr>
          <w:p>
            <w:r>
              <w:t>1.47%</w:t>
            </w:r>
          </w:p>
        </w:tc>
      </w:tr>
      <w:tr>
        <w:tc>
          <w:tcPr>
            <w:tcW w:type="dxa" w:w="2628"/>
          </w:tcPr>
          <w:p>
            <w:r>
              <w:t>$2.0T</w:t>
            </w:r>
          </w:p>
        </w:tc>
        <w:tc>
          <w:tcPr>
            <w:tcW w:type="dxa" w:w="2628"/>
          </w:tcPr>
          <w:p>
            <w:r>
              <w:t>$14.600B</w:t>
            </w:r>
          </w:p>
        </w:tc>
        <w:tc>
          <w:tcPr>
            <w:tcW w:type="dxa" w:w="2628"/>
          </w:tcPr>
          <w:p>
            <w:r>
              <w:t>$1.063T</w:t>
            </w:r>
          </w:p>
        </w:tc>
        <w:tc>
          <w:tcPr>
            <w:tcW w:type="dxa" w:w="2628"/>
          </w:tcPr>
          <w:p>
            <w:r>
              <w:t>2.94%</w:t>
            </w:r>
          </w:p>
        </w:tc>
      </w:tr>
      <w:tr>
        <w:tc>
          <w:tcPr>
            <w:tcW w:type="dxa" w:w="2628"/>
          </w:tcPr>
          <w:p>
            <w:r>
              <w:t>$3.0T</w:t>
            </w:r>
          </w:p>
        </w:tc>
        <w:tc>
          <w:tcPr>
            <w:tcW w:type="dxa" w:w="2628"/>
          </w:tcPr>
          <w:p>
            <w:r>
              <w:t>$21.900B</w:t>
            </w:r>
          </w:p>
        </w:tc>
        <w:tc>
          <w:tcPr>
            <w:tcW w:type="dxa" w:w="2628"/>
          </w:tcPr>
          <w:p>
            <w:r>
              <w:t>$1.055T</w:t>
            </w:r>
          </w:p>
        </w:tc>
        <w:tc>
          <w:tcPr>
            <w:tcW w:type="dxa" w:w="2628"/>
          </w:tcPr>
          <w:p>
            <w:r>
              <w:t>4.41%</w:t>
            </w:r>
          </w:p>
        </w:tc>
      </w:tr>
      <w:tr>
        <w:tc>
          <w:tcPr>
            <w:tcW w:type="dxa" w:w="2628"/>
          </w:tcPr>
          <w:p>
            <w:r>
              <w:t>$5.0T</w:t>
            </w:r>
          </w:p>
        </w:tc>
        <w:tc>
          <w:tcPr>
            <w:tcW w:type="dxa" w:w="2628"/>
          </w:tcPr>
          <w:p>
            <w:r>
              <w:t>$36.500B</w:t>
            </w:r>
          </w:p>
        </w:tc>
        <w:tc>
          <w:tcPr>
            <w:tcW w:type="dxa" w:w="2628"/>
          </w:tcPr>
          <w:p>
            <w:r>
              <w:t>$1.038T</w:t>
            </w:r>
          </w:p>
        </w:tc>
        <w:tc>
          <w:tcPr>
            <w:tcW w:type="dxa" w:w="2628"/>
          </w:tcPr>
          <w:p>
            <w:r>
              <w:t>7.35%</w:t>
            </w:r>
          </w:p>
        </w:tc>
      </w:tr>
      <w:tr>
        <w:tc>
          <w:tcPr>
            <w:tcW w:type="dxa" w:w="2628"/>
          </w:tcPr>
          <w:p>
            <w:r>
              <w:t>$8.0T</w:t>
            </w:r>
          </w:p>
        </w:tc>
        <w:tc>
          <w:tcPr>
            <w:tcW w:type="dxa" w:w="2628"/>
          </w:tcPr>
          <w:p>
            <w:r>
              <w:t>$58.400B</w:t>
            </w:r>
          </w:p>
        </w:tc>
        <w:tc>
          <w:tcPr>
            <w:tcW w:type="dxa" w:w="2628"/>
          </w:tcPr>
          <w:p>
            <w:r>
              <w:t>$1.014T</w:t>
            </w:r>
          </w:p>
        </w:tc>
        <w:tc>
          <w:tcPr>
            <w:tcW w:type="dxa" w:w="2628"/>
          </w:tcPr>
          <w:p>
            <w:r>
              <w:t>11.76%</w:t>
            </w:r>
          </w:p>
        </w:tc>
      </w:tr>
    </w:tbl>
    <w:p>
      <w:r>
        <w:t>The fiscal headline remains unchanged until the federal business registry produces a defensible distribution of enterprise value for qualified farms and operating manufacturers. The sensitivity table shows that even a broad carve-out can preserve a large Year 10 surplus.</w:t>
      </w:r>
    </w:p>
    <w:p>
      <w:pPr>
        <w:pStyle w:val="Heading2"/>
      </w:pPr>
      <w:r>
        <w:t>11.5 Sources</w:t>
      </w:r>
    </w:p>
    <w:p>
      <w:pPr>
        <w:pStyle w:val="ListBullet"/>
      </w:pPr>
      <w:r>
        <w:t>Internal Revenue Service, Revenue Procedure 2023-34, 2024 inflation-adjusted tax items.</w:t>
      </w:r>
    </w:p>
    <w:p>
      <w:pPr>
        <w:pStyle w:val="ListBullet"/>
      </w:pPr>
      <w:r>
        <w:t>Social Security Administration, 2024 maximum taxable earnings and statutory payroll-tax rates.</w:t>
      </w:r>
    </w:p>
    <w:p>
      <w:pPr>
        <w:pStyle w:val="ListBullet"/>
      </w:pPr>
      <w:r>
        <w:t>Federal Reserve, Financial Accounts real-estate series used in the LVT validation envelope.</w:t>
      </w:r>
    </w:p>
    <w:p>
      <w:pPr>
        <w:pStyle w:val="ListBullet"/>
      </w:pPr>
      <w:r>
        <w:t>USDA Economic Research Service, Farm Household Well-being and America's Farms and Ranches at a Glance.</w:t>
      </w:r>
    </w:p>
    <w:p>
      <w:pPr>
        <w:pStyle w:val="ListBullet"/>
      </w:pPr>
      <w:r>
        <w:t>USDA National Agricultural Statistics Service, Land Values and Cash Rents, 2024.</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792" w:right="864" w:bottom="792" w:left="86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4"/>
      </w:rPr>
      <w:t xml:space="preserve">Michael Allen  |  Average Mature Replacement-Year Model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INNOVATIVE TAX PLAN OVERHAUL  |  VERSION 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Blue">
    <w:name w:val="Subtitle Blue"/>
    <w:pPr>
      <w:spacing w:after="200"/>
    </w:pPr>
    <w:rPr>
      <w:rFonts w:ascii="Arial" w:hAnsi="Arial"/>
      <w:i/>
      <w:color w:val="1F4E78"/>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Innovative Tax Plan Overhaul Version 27</dc:title>
  <dc:subject>Publication-ready tax and revenue model with incidence and carve-out disclosures</dc:subject>
  <dc:creator>Michael Allen</dc:creator>
  <cp:keywords>tax overhaul, social security, healthcare, land value tax, outsourcing, fair profit tax</cp:keywords>
  <dc:description>generated by python-docx</dc:description>
  <cp:lastModifiedBy/>
  <cp:revision>1</cp:revision>
  <dcterms:created xsi:type="dcterms:W3CDTF">2013-12-23T23:15:00Z</dcterms:created>
  <dcterms:modified xsi:type="dcterms:W3CDTF">2013-12-23T23:15:00Z</dcterms:modified>
  <cp:category/>
</cp:coreProperties>
</file>