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Ceramic Exercise-Marcus Dennehy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 body (# sherd on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Decorative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of decoration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 Painted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Red/orange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Stoneware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Ironstone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Stoneware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Stoneware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gray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Banded Yellow 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Yellow/blue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Porcelain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Shelled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orange/red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brown/red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Stoneware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Ironstone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Porcelain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Gilded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Print/Whiteware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Purple/White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Porcelain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Decalcomania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Flowing Mulberry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Whiteware/Transfer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Whiteware/Transfer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Whiteware/Transfer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Earthenware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Whiteware/Transfer Printed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 painted/pearlware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Earthenware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Porcelain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Underglaze blue chinese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Porcelain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Decalcomania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Ceramic Price index value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 Porcelain X 5.4= 32.4 MCI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Flow printed X 2.93= 2.93 MCI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Transfer Printed X 2.51= 20.08 MCI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 Ironstone X 2.51= 5.02 MCI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Hand Painted X 1.56= 3.12 MCI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dipped banded(gilded) X 1.10= 2.2 MCI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shelled edge X 1.00= 1 MCI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pearlware X 1.64= 1.64 MCI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Total: 68.4 / 23= 2.97 Mean Ceramic Price Index</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Consumer Choice Profile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32.4 / 68.4= 47% CCP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2.93 / 68.4= 4 % CCP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20.08/ 68.4= 29 % CCP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5.02/ 68.4= 7 % CCP</w:t>
      </w:r>
    </w:p>
    <w:p w:rsidR="00000000" w:rsidDel="00000000" w:rsidP="00000000" w:rsidRDefault="00000000" w:rsidRPr="00000000" w14:paraId="00000081">
      <w:pPr>
        <w:rPr/>
      </w:pPr>
      <w:r w:rsidDel="00000000" w:rsidR="00000000" w:rsidRPr="00000000">
        <w:rPr>
          <w:rtl w:val="0"/>
        </w:rPr>
        <w:t xml:space="preserve">3.12/ 68.4= 4 % CCP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2.2/ 68.4= 3% CCP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68.4= 2 % CCP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1.64/68.4= 2 % CCP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5</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The MCI leaves out 21 percent of the entire sherd pieces.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The consumer choice graph proves the economic value of the pottery at the time, as well as the quantity and frequency of pottery found at the site.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Most common of the potter where the transfer print whiteware, 8 out of the total 29 sherds. The least common were a tie between one shelled edge sherd, and one pearlware sherd. </w:t>
      </w:r>
    </w:p>
    <w:p w:rsidR="00000000" w:rsidDel="00000000" w:rsidP="00000000" w:rsidRDefault="00000000" w:rsidRPr="00000000" w14:paraId="0000008D">
      <w:pPr>
        <w:ind w:left="0" w:firstLine="0"/>
        <w:rPr/>
      </w:pPr>
      <w:r w:rsidDel="00000000" w:rsidR="00000000" w:rsidRPr="00000000">
        <w:rPr>
          <w:rtl w:val="0"/>
        </w:rPr>
        <w:t xml:space="preserve">6. </w:t>
      </w:r>
    </w:p>
    <w:p w:rsidR="00000000" w:rsidDel="00000000" w:rsidP="00000000" w:rsidRDefault="00000000" w:rsidRPr="00000000" w14:paraId="0000008E">
      <w:pPr>
        <w:ind w:left="0" w:firstLine="0"/>
        <w:rPr/>
      </w:pPr>
      <w:r w:rsidDel="00000000" w:rsidR="00000000" w:rsidRPr="00000000">
        <w:rPr>
          <w:rtl w:val="0"/>
        </w:rPr>
        <w:t xml:space="preserve">The wealth of the inhabitants likely indicates that the family were upper to middle class. The amount of porcelain plates, as well as flow blue designs, suggest that these were familial heirlooms that cost lots of money. Additionally, there are a lack of earthenware materials which suggest that they did not use cheap pottery.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7. </w:t>
      </w:r>
    </w:p>
    <w:p w:rsidR="00000000" w:rsidDel="00000000" w:rsidP="00000000" w:rsidRDefault="00000000" w:rsidRPr="00000000" w14:paraId="00000091">
      <w:pPr>
        <w:ind w:left="0" w:firstLine="0"/>
        <w:rPr/>
      </w:pPr>
      <w:r w:rsidDel="00000000" w:rsidR="00000000" w:rsidRPr="00000000">
        <w:rPr>
          <w:rtl w:val="0"/>
        </w:rPr>
        <w:t xml:space="preserve">1780 Pearlware post quem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8. </w:t>
      </w:r>
    </w:p>
    <w:p w:rsidR="00000000" w:rsidDel="00000000" w:rsidP="00000000" w:rsidRDefault="00000000" w:rsidRPr="00000000" w14:paraId="00000094">
      <w:pPr>
        <w:ind w:left="0" w:firstLine="0"/>
        <w:rPr/>
      </w:pPr>
      <w:r w:rsidDel="00000000" w:rsidR="00000000" w:rsidRPr="00000000">
        <w:rPr>
          <w:rtl w:val="0"/>
        </w:rPr>
        <w:t xml:space="preserve">1890 Porcelain Decalcomania ante quem  </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4681538" cy="832023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681538" cy="832023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4788644" cy="851058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88644" cy="851058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