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b/>
          <w:bCs/>
          <w:sz w:val="28"/>
          <w:szCs w:val="28"/>
        </w:rPr>
        <w:t xml:space="preserve">MedPredict: An Integrated Machine Learning Framework for Maternal Health Risk Classification and Fetal Health Monitoring Using Cardiotocography Data</w:t>
      </w:r>
    </w:p>
    <w:p>
      <w:pPr>
        <w:spacing w:after="80" w:before="0"/>
        <w:jc w:val="center"/>
      </w:pPr>
      <w:r>
        <w:rPr>
          <w:rFonts w:ascii="Times New Roman" w:cs="Times New Roman" w:eastAsia="Times New Roman" w:hAnsi="Times New Roman"/>
          <w:b/>
          <w:bCs/>
          <w:sz w:val="22"/>
          <w:szCs w:val="22"/>
        </w:rPr>
        <w:t xml:space="preserve">Archana Shantaram Shetty¹, Raksha Nandeesh H¹, Bhuvana J¹, Sohan Anand¹, Kendagannaswamy M S²</w:t>
      </w:r>
    </w:p>
    <w:p>
      <w:pPr>
        <w:spacing w:after="60" w:before="0"/>
        <w:jc w:val="center"/>
      </w:pPr>
      <w:r>
        <w:rPr>
          <w:rFonts w:ascii="Times New Roman" w:cs="Times New Roman" w:eastAsia="Times New Roman" w:hAnsi="Times New Roman"/>
          <w:i/>
          <w:iCs/>
          <w:sz w:val="20"/>
          <w:szCs w:val="20"/>
        </w:rPr>
        <w:t xml:space="preserve">¹B.E. Students, Department of Computer Science and Engineering</w:t>
      </w:r>
    </w:p>
    <w:p>
      <w:pPr>
        <w:spacing w:after="60" w:before="0"/>
        <w:jc w:val="center"/>
      </w:pPr>
      <w:r>
        <w:rPr>
          <w:rFonts w:ascii="Times New Roman" w:cs="Times New Roman" w:eastAsia="Times New Roman" w:hAnsi="Times New Roman"/>
          <w:i/>
          <w:iCs/>
          <w:sz w:val="20"/>
          <w:szCs w:val="20"/>
        </w:rPr>
        <w:t xml:space="preserve">²Assistant Professor, Department of Computer Science and Engineering</w:t>
      </w:r>
    </w:p>
    <w:p>
      <w:pPr>
        <w:spacing w:after="240" w:before="0"/>
        <w:jc w:val="center"/>
      </w:pPr>
      <w:r>
        <w:rPr>
          <w:rFonts w:ascii="Times New Roman" w:cs="Times New Roman" w:eastAsia="Times New Roman" w:hAnsi="Times New Roman"/>
          <w:i/>
          <w:iCs/>
          <w:sz w:val="20"/>
          <w:szCs w:val="20"/>
        </w:rPr>
        <w:t xml:space="preserve">JSS Science and Technology University, Mysuru, Karnataka, India</w:t>
      </w:r>
    </w:p>
    <w:p>
      <w:pPr>
        <w:pStyle w:val="Heading1"/>
        <w:spacing w:after="120" w:before="240"/>
      </w:pPr>
      <w:r>
        <w:rPr>
          <w:rFonts w:ascii="Times New Roman" w:cs="Times New Roman" w:eastAsia="Times New Roman" w:hAnsi="Times New Roman"/>
          <w:b/>
          <w:bCs/>
          <w:sz w:val="24"/>
          <w:szCs w:val="24"/>
        </w:rPr>
        <w:t xml:space="preserve">Abstract</w:t>
      </w:r>
    </w:p>
    <w:p>
      <w:pPr>
        <w:spacing w:after="120" w:before="0" w:line="276"/>
        <w:jc w:val="both"/>
      </w:pPr>
      <w:r>
        <w:rPr>
          <w:rFonts w:ascii="Times New Roman" w:cs="Times New Roman" w:eastAsia="Times New Roman" w:hAnsi="Times New Roman"/>
          <w:b/>
          <w:bCs/>
          <w:sz w:val="20"/>
          <w:szCs w:val="20"/>
        </w:rPr>
        <w:t xml:space="preserve">Abstract—</w:t>
      </w:r>
      <w:r>
        <w:rPr>
          <w:rFonts w:ascii="Times New Roman" w:cs="Times New Roman" w:eastAsia="Times New Roman" w:hAnsi="Times New Roman"/>
          <w:sz w:val="20"/>
          <w:szCs w:val="20"/>
        </w:rPr>
        <w:t xml:space="preserve">Complications arising during pregnancy continue to pose serious risks to both mothers and newborns worldwide. The World Health Organization estimates that approximately 810 maternal deaths occur daily due to childbirth-related causes, and roughly one million neonatal deaths happen within the first 24 hours of life [1]. Conventional approaches to maternal and fetal risk assessment rely on manual interpretation of clinical measurements and Cardiotocography (CTG) signals, a process that is labour-intensive, time-consuming, and subject to inconsistency across practitioners [2]. This paper introduces MedPredict, a unified clinical decision support platform that brings together two independently developed machine learning pipelines: one targeting maternal health risk stratification across three levels (Low, Mid, High) and another classifying fetal well-being as Normal, Suspect, or Pathological from CTG recordings. The maternal model employs a LightGBM classifier enhanced by Optuna-driven hyperparameter optimisation and SMOTETomek-based class rebalancing, achieving a test accuracy of 90.64% over 26 engineered clinical features [3]. The fetal classification task uses a Stacking Ensemble strategy with a Logistic Regression meta-learner, trained on 39 derived CTG features, attaining 94.13% test accuracy [4]. Both pipelines adhere to a strict Split–Scale–Balance ordering to prevent data leakage and are accompanied by SHAP-based explanations that make individual predictions interpretable for clinicians. The complete system is deployed as an interactive Streamlit web application with four pages—including a comprehensive Clinical Reference and System Performance Dashboard—providing point-of-care predictions accessible via any browser.</w:t>
      </w:r>
    </w:p>
    <w:p>
      <w:pPr>
        <w:spacing w:after="240" w:before="80"/>
      </w:pPr>
      <w:r>
        <w:rPr>
          <w:rFonts w:ascii="Times New Roman" w:cs="Times New Roman" w:eastAsia="Times New Roman" w:hAnsi="Times New Roman"/>
          <w:b/>
          <w:bCs/>
          <w:sz w:val="20"/>
          <w:szCs w:val="20"/>
        </w:rPr>
        <w:t xml:space="preserve">Keywords—</w:t>
      </w:r>
      <w:r>
        <w:rPr>
          <w:rFonts w:ascii="Times New Roman" w:cs="Times New Roman" w:eastAsia="Times New Roman" w:hAnsi="Times New Roman"/>
          <w:i/>
          <w:iCs/>
          <w:sz w:val="20"/>
          <w:szCs w:val="20"/>
        </w:rPr>
        <w:t xml:space="preserve">Maternal health risk; Fetal health classification; Cardiotocography; LightGBM; Stacking Ensemble; SHAP; Optuna; SMOTETomek; Clinical decision support; Streamlit.</w:t>
      </w:r>
    </w:p>
    <w:p>
      <w:pPr>
        <w:pStyle w:val="Heading1"/>
        <w:spacing w:after="120" w:before="240"/>
      </w:pPr>
      <w:r>
        <w:rPr>
          <w:rFonts w:ascii="Times New Roman" w:cs="Times New Roman" w:eastAsia="Times New Roman" w:hAnsi="Times New Roman"/>
          <w:b/>
          <w:bCs/>
          <w:sz w:val="24"/>
          <w:szCs w:val="24"/>
        </w:rPr>
        <w:t xml:space="preserve">I. Introduction</w:t>
      </w:r>
    </w:p>
    <w:p>
      <w:pPr>
        <w:spacing w:after="120" w:before="0" w:line="276"/>
        <w:jc w:val="both"/>
      </w:pPr>
      <w:r>
        <w:rPr>
          <w:rFonts w:ascii="Times New Roman" w:cs="Times New Roman" w:eastAsia="Times New Roman" w:hAnsi="Times New Roman"/>
          <w:sz w:val="20"/>
          <w:szCs w:val="20"/>
        </w:rPr>
        <w:t xml:space="preserve">The management of maternal and fetal health during pregnancy is a cornerstone of public health strategy. Despite decades of progress in obstetric care, preventable complications continue to claim lives globally. According to the World Health Organization, roughly 810 women die every single day from causes that are directly linked to pregnancy or delivery, and the majority of these fatalities occur in low- and middle-income countries where specialist resources are scarce [1].</w:t>
      </w:r>
    </w:p>
    <w:p>
      <w:pPr>
        <w:spacing w:after="120" w:before="0" w:line="276"/>
        <w:jc w:val="both"/>
      </w:pPr>
      <w:r>
        <w:rPr>
          <w:rFonts w:ascii="Times New Roman" w:cs="Times New Roman" w:eastAsia="Times New Roman" w:hAnsi="Times New Roman"/>
          <w:sz w:val="20"/>
          <w:szCs w:val="20"/>
        </w:rPr>
        <w:t xml:space="preserve">Cardiotocography is the standard non-invasive technique for monitoring fetal status during pregnancy and labour. By simultaneously recording the fetal heart rate (FHR) and uterine contractions, CTG traces allow trained clinicians to assess whether the fetus is in a healthy, suspicious, or pathological condition [2]. However, interpreting CTG patterns demands considerable expertise. Studies have documented significant inter-observer disagreement when obstetricians assess the same trace, raising concerns about consistency and reliability in clinical practice [5].</w:t>
      </w:r>
    </w:p>
    <w:p>
      <w:pPr>
        <w:spacing w:after="120" w:before="0" w:line="276"/>
        <w:jc w:val="both"/>
      </w:pPr>
      <w:r>
        <w:rPr>
          <w:rFonts w:ascii="Times New Roman" w:cs="Times New Roman" w:eastAsia="Times New Roman" w:hAnsi="Times New Roman"/>
          <w:sz w:val="20"/>
          <w:szCs w:val="20"/>
        </w:rPr>
        <w:t xml:space="preserve">On the maternal side, risk stratification during antenatal care depends on integrating several vital signs such as systolic and diastolic blood pressure, blood glucose concentration, body temperature, and heart rate. When performed manually, this integration is error-prone and may lead to delayed detection of conditions such as gestational hypertension, preeclampsia, or gestational diabetes.</w:t>
      </w:r>
    </w:p>
    <w:p>
      <w:pPr>
        <w:spacing w:after="120" w:before="0" w:line="276"/>
        <w:jc w:val="both"/>
      </w:pPr>
      <w:r>
        <w:rPr>
          <w:rFonts w:ascii="Times New Roman" w:cs="Times New Roman" w:eastAsia="Times New Roman" w:hAnsi="Times New Roman"/>
          <w:sz w:val="20"/>
          <w:szCs w:val="20"/>
        </w:rPr>
        <w:t xml:space="preserve">Machine learning offers a compelling approach to these problems. Supervised classification algorithms are capable of learning non-linear relationships among clinical features at scales and speeds unattainable through manual inspection [6]. Several recent studies have demonstrated the effectiveness of ensemble methods and gradient boosting frameworks specifically for maternal and fetal outcome prediction [3][4][7]. Nevertheless, the majority of published systems address either maternal or fetal health in isolation, seldom provide deployment-ready interfaces, and rarely incorporate model explainability, which is essential for clinical adoption [8].</w:t>
      </w:r>
    </w:p>
    <w:p>
      <w:pPr>
        <w:spacing w:after="120" w:before="0" w:line="276"/>
        <w:jc w:val="both"/>
      </w:pPr>
      <w:r>
        <w:rPr>
          <w:rFonts w:ascii="Times New Roman" w:cs="Times New Roman" w:eastAsia="Times New Roman" w:hAnsi="Times New Roman"/>
          <w:sz w:val="20"/>
          <w:szCs w:val="20"/>
        </w:rPr>
        <w:t xml:space="preserve">MedPredict addresses these gaps by combining two optimised ML models into a single web-based platform. The system simultaneously supports maternal risk classification and fetal health monitoring, offers SHAP-driven explanations for every prediction, and is accessible through a Streamlit interface with a built-in Clinical Reference guide without requiring any local software installation.</w:t>
      </w:r>
    </w:p>
    <w:p>
      <w:pPr>
        <w:pStyle w:val="Heading1"/>
        <w:spacing w:after="120" w:before="240"/>
      </w:pPr>
      <w:r>
        <w:rPr>
          <w:rFonts w:ascii="Times New Roman" w:cs="Times New Roman" w:eastAsia="Times New Roman" w:hAnsi="Times New Roman"/>
          <w:b/>
          <w:bCs/>
          <w:sz w:val="24"/>
          <w:szCs w:val="24"/>
        </w:rPr>
        <w:t xml:space="preserve">II. Related Work</w:t>
      </w:r>
    </w:p>
    <w:p>
      <w:pPr>
        <w:spacing w:after="120" w:before="0" w:line="276"/>
        <w:jc w:val="both"/>
      </w:pPr>
      <w:r>
        <w:rPr>
          <w:rFonts w:ascii="Times New Roman" w:cs="Times New Roman" w:eastAsia="Times New Roman" w:hAnsi="Times New Roman"/>
          <w:sz w:val="20"/>
          <w:szCs w:val="20"/>
        </w:rPr>
        <w:t xml:space="preserve">The application of machine learning to maternal and fetal health prediction has attracted growing research interest over the past several years. This section reviews the most pertinent prior work and identifies the gaps that motivate the present study.</w:t>
      </w:r>
    </w:p>
    <w:p>
      <w:pPr>
        <w:pStyle w:val="Heading2"/>
        <w:spacing w:after="120" w:before="240"/>
      </w:pPr>
      <w:r>
        <w:rPr>
          <w:rFonts w:ascii="Times New Roman" w:cs="Times New Roman" w:eastAsia="Times New Roman" w:hAnsi="Times New Roman"/>
          <w:b/>
          <w:bCs/>
          <w:sz w:val="22"/>
          <w:szCs w:val="22"/>
        </w:rPr>
        <w:t xml:space="preserve">A. Maternal Health Risk Prediction</w:t>
      </w:r>
    </w:p>
    <w:p>
      <w:pPr>
        <w:spacing w:after="120" w:before="0" w:line="276"/>
        <w:jc w:val="both"/>
      </w:pPr>
      <w:r>
        <w:rPr>
          <w:rFonts w:ascii="Times New Roman" w:cs="Times New Roman" w:eastAsia="Times New Roman" w:hAnsi="Times New Roman"/>
          <w:sz w:val="20"/>
          <w:szCs w:val="20"/>
        </w:rPr>
        <w:t xml:space="preserve">Mannan et al. demonstrated that a dataset of 1,014 IoT-collected maternal health records could support three-class pregnancy risk classification using Random Forest, Logistic Regression, and Support Vector Machine, with reported accuracies in the range of 80–85% depending on the algorithm [3]. A follow-up IEEE study by Govender et al. employed cross-validation techniques on the same UCI dataset and achieved 86.7% accuracy, precision of 87.0%, and an F1 score of 87.2%, highlighting the importance of proper evaluation methodology in healthcare ML [9]. More recently, Shaikh et al. applied Explainable AI methods including LIME and SHAP to a gradient boosting maternal risk classifier, achieving per-class accuracies above 99% on an extended feature set with chi-square selection and featurewiz engineering [8]. An ensemble-based framework published in Scientific Reports combined oversampling and multiple classifiers to predict maternal health risk from real-world pregnancy data, validating the benefit of ensemble strategies for imbalanced clinical datasets [10]. Islam et al. further confirmed that XGBoost with 12 clinical attributes achieved 97.3% accuracy on an expanded hospital dataset of 1,102 samples, underscoring the sensitivity of accuracy to dataset composition and feature richness [11].</w:t>
      </w:r>
    </w:p>
    <w:p>
      <w:pPr>
        <w:pStyle w:val="Heading2"/>
        <w:spacing w:after="120" w:before="240"/>
      </w:pPr>
      <w:r>
        <w:rPr>
          <w:rFonts w:ascii="Times New Roman" w:cs="Times New Roman" w:eastAsia="Times New Roman" w:hAnsi="Times New Roman"/>
          <w:b/>
          <w:bCs/>
          <w:sz w:val="22"/>
          <w:szCs w:val="22"/>
        </w:rPr>
        <w:t xml:space="preserve">B. Fetal Health Classification from CTG Data</w:t>
      </w:r>
    </w:p>
    <w:p>
      <w:pPr>
        <w:spacing w:after="120" w:before="0" w:line="276"/>
        <w:jc w:val="both"/>
      </w:pPr>
      <w:r>
        <w:rPr>
          <w:rFonts w:ascii="Times New Roman" w:cs="Times New Roman" w:eastAsia="Times New Roman" w:hAnsi="Times New Roman"/>
          <w:sz w:val="20"/>
          <w:szCs w:val="20"/>
        </w:rPr>
        <w:t xml:space="preserve">Automated CTG interpretation using machine learning has been explored extensively. Salini et al. conducted a comprehensive comparison of ML models on the publicly available UCI CTG dataset and reported that Random Forest consistently outperformed other classifiers, achieving an accuracy of 98.49%, followed by Gradient Boosting at 97.89% [4]. Rafique et al. investigated filtering-based feature selection techniques for fetal health classification within a Springer LNCS framework, noting that reduced but carefully selected feature subsets often matched or exceeded full-feature model performance [12]. Kuzu and Santur proposed an ensemble learning approach for early diagnosis of fetal health status from the same CTG dataset, reporting that ensemble voting classifiers surpassed individual models in terms of both accuracy and per-class recall for the minority Pathological class [13]. Singha and Venkateswaran developed a computer-aided CTG classification system using eight supervised ML models followed by a voting aggregation mechanism, achieving 97% accuracy with their combined approach [14]. A review of deep learning methods for real-time CTG classification by Kim et al. in the Journal of Medical Systems demonstrated the potential of Convolutional Neural Networks for fetal state classification from raw CTG recordings, though noting that deep approaches require substantially larger training sets than those currently available in public repositories [15].</w:t>
      </w:r>
    </w:p>
    <w:p>
      <w:pPr>
        <w:pStyle w:val="Heading2"/>
        <w:spacing w:after="120" w:before="240"/>
      </w:pPr>
      <w:r>
        <w:rPr>
          <w:rFonts w:ascii="Times New Roman" w:cs="Times New Roman" w:eastAsia="Times New Roman" w:hAnsi="Times New Roman"/>
          <w:b/>
          <w:bCs/>
          <w:sz w:val="22"/>
          <w:szCs w:val="22"/>
        </w:rPr>
        <w:t xml:space="preserve">C. Identified Research Gaps</w:t>
      </w:r>
    </w:p>
    <w:p>
      <w:pPr>
        <w:spacing w:after="120" w:before="0" w:line="276"/>
        <w:jc w:val="both"/>
      </w:pPr>
      <w:r>
        <w:rPr>
          <w:rFonts w:ascii="Times New Roman" w:cs="Times New Roman" w:eastAsia="Times New Roman" w:hAnsi="Times New Roman"/>
          <w:sz w:val="20"/>
          <w:szCs w:val="20"/>
        </w:rPr>
        <w:t xml:space="preserve">Despite the breadth of existing literature, three important limitations persist. First, no prior publicly deployed system integrates both maternal and fetal health prediction within a single unified interface. Second, most works omit SHAP explainability, which is essential for clinical trust and regulatory acceptance. Third, the correct data preprocessing order of splitting before scaling and balancing is frequently violated in published notebooks, leading to optimistic and non-replicable accuracy estimates. The present work directly addresses all three limitations.</w:t>
      </w:r>
    </w:p>
    <w:p>
      <w:pPr>
        <w:pStyle w:val="Heading1"/>
        <w:spacing w:after="120" w:before="240"/>
      </w:pPr>
      <w:r>
        <w:rPr>
          <w:rFonts w:ascii="Times New Roman" w:cs="Times New Roman" w:eastAsia="Times New Roman" w:hAnsi="Times New Roman"/>
          <w:b/>
          <w:bCs/>
          <w:sz w:val="24"/>
          <w:szCs w:val="24"/>
        </w:rPr>
        <w:t xml:space="preserve">III. Proposed Methodology</w:t>
      </w:r>
    </w:p>
    <w:p>
      <w:pPr>
        <w:spacing w:after="120" w:before="0" w:line="276"/>
        <w:jc w:val="both"/>
      </w:pPr>
      <w:r>
        <w:rPr>
          <w:rFonts w:ascii="Times New Roman" w:cs="Times New Roman" w:eastAsia="Times New Roman" w:hAnsi="Times New Roman"/>
          <w:sz w:val="20"/>
          <w:szCs w:val="20"/>
        </w:rPr>
        <w:t xml:space="preserve">The overall design of MedPredict follows a modular pipeline architecture. Two models are trained independently and then integrated into a shared deployment layer. Both models enforce the same methodological standards: stratified train-test splitting is performed before any preprocessing step, StandardScaler is fitted exclusively on training partitions, and class rebalancing via SMOTETomek is applied only to training data so that the held-out test set reflects authentic class proportions [16].</w:t>
      </w:r>
    </w:p>
    <w:p>
      <w:pPr>
        <w:pStyle w:val="Heading2"/>
        <w:spacing w:after="120" w:before="240"/>
      </w:pPr>
      <w:r>
        <w:rPr>
          <w:rFonts w:ascii="Times New Roman" w:cs="Times New Roman" w:eastAsia="Times New Roman" w:hAnsi="Times New Roman"/>
          <w:b/>
          <w:bCs/>
          <w:sz w:val="22"/>
          <w:szCs w:val="22"/>
        </w:rPr>
        <w:t xml:space="preserve">A. Maternal Health Risk Classification Pipeline</w:t>
      </w:r>
    </w:p>
    <w:p>
      <w:pPr>
        <w:spacing w:after="120" w:before="0" w:line="276"/>
        <w:jc w:val="both"/>
      </w:pPr>
      <w:r>
        <w:rPr>
          <w:rFonts w:ascii="Times New Roman" w:cs="Times New Roman" w:eastAsia="Times New Roman" w:hAnsi="Times New Roman"/>
          <w:sz w:val="20"/>
          <w:szCs w:val="20"/>
        </w:rPr>
        <w:t xml:space="preserve">The maternal health dataset sourced from the UCI Machine Learning Repository contains 1,014 records captured via IoT-based antenatal monitoring in rural Bangladesh. Each record includes six raw clinical measurements: the patient’s age in years, systolic blood pressure, diastolic blood pressure, blood glucose in mmol/L, body temperature in degrees Fahrenheit, and resting heart rate. The target label assigns one of three risk levels: Low Risk, Mid Risk, or High Risk.</w:t>
      </w:r>
    </w:p>
    <w:p>
      <w:pPr>
        <w:spacing w:after="120" w:before="0" w:line="276"/>
        <w:jc w:val="both"/>
      </w:pPr>
      <w:r>
        <w:rPr>
          <w:rFonts w:ascii="Times New Roman" w:cs="Times New Roman" w:eastAsia="Times New Roman" w:hAnsi="Times New Roman"/>
          <w:sz w:val="20"/>
          <w:szCs w:val="20"/>
        </w:rPr>
        <w:t xml:space="preserve">Twenty engineered features supplement the six raw inputs, increasing the total feature count to 26. These derived features are clinically motivated and include:</w:t>
      </w:r>
    </w:p>
    <w:p>
      <w:pPr>
        <w:spacing w:after="80" w:before="0" w:line="276"/>
        <w:ind w:left="720" w:hanging="36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Pulse Pressure: difference between systolic and diastolic blood pressure.</w:t>
      </w:r>
    </w:p>
    <w:p>
      <w:pPr>
        <w:spacing w:after="80" w:before="0" w:line="276"/>
        <w:ind w:left="720" w:hanging="36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Mean Arterial Pressure (MAP): calculated as (SystolicBP + 2×DiastolicBP) / 3, which correctly weights the diastolic phase to reflect average perfusion pressure across the cardiac cycle.</w:t>
      </w:r>
    </w:p>
    <w:p>
      <w:pPr>
        <w:spacing w:after="80" w:before="0" w:line="276"/>
        <w:ind w:left="720" w:hanging="36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BP Ratio: diastolic-to-systolic ratio, capturing the relative balance between filling and ejection pressure.</w:t>
      </w:r>
    </w:p>
    <w:p>
      <w:pPr>
        <w:spacing w:after="80" w:before="0" w:line="276"/>
        <w:ind w:left="720" w:hanging="36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Hypertension flag: triggered when systolic BP ≥ 140 mmHg.</w:t>
      </w:r>
    </w:p>
    <w:p>
      <w:pPr>
        <w:spacing w:after="80" w:before="0" w:line="276"/>
        <w:ind w:left="720" w:hanging="36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Hypotension flag: triggered when systolic BP ≤ 90 mmHg.</w:t>
      </w:r>
    </w:p>
    <w:p>
      <w:pPr>
        <w:spacing w:after="80" w:before="0" w:line="276"/>
        <w:ind w:left="720" w:hanging="36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Shock Index: heart rate divided by systolic blood pressure, a validated haemodynamic stress indicator.</w:t>
      </w:r>
    </w:p>
    <w:p>
      <w:pPr>
        <w:spacing w:after="80" w:before="0" w:line="276"/>
        <w:ind w:left="720" w:hanging="36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Tachycardia and Bradycardia binary flags based on heart rate thresholds (&gt;100 and &lt;60 bpm respectively).</w:t>
      </w:r>
    </w:p>
    <w:p>
      <w:pPr>
        <w:spacing w:after="80" w:before="0" w:line="276"/>
        <w:ind w:left="720" w:hanging="36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High Blood Sugar flag for glucose values above 7.8 mmol/L; Very High BS flag above 11.0 mmol/L.</w:t>
      </w:r>
    </w:p>
    <w:p>
      <w:pPr>
        <w:spacing w:after="80" w:before="0" w:line="276"/>
        <w:ind w:left="720" w:hanging="36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Blood Sugar–Heart Rate interaction (BS × HR) and Age–Blood Sugar interaction terms.</w:t>
      </w:r>
    </w:p>
    <w:p>
      <w:pPr>
        <w:spacing w:after="80" w:before="0" w:line="276"/>
        <w:ind w:left="720" w:hanging="36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Fever flag when body temperature exceeds 99.5°F; High Fever flag above 101.3°F; Hypothermia flag below 96.8°F.</w:t>
      </w:r>
    </w:p>
    <w:p>
      <w:pPr>
        <w:spacing w:after="80" w:before="0" w:line="276"/>
        <w:ind w:left="720" w:hanging="36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Age group categorisation (Teen &lt;20, Adult 20–35, Elderly &gt;35), Teen Pregnancy and Elderly Pregnancy binary flags.</w:t>
      </w:r>
    </w:p>
    <w:p>
      <w:pPr>
        <w:spacing w:after="80" w:before="0" w:line="276"/>
        <w:ind w:left="720" w:hanging="36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Risk Signal Count: sum of all active binary risk flags (hypertension, high BS, fever, tachycardia, teen pregnancy, elderly pregnancy).</w:t>
      </w:r>
    </w:p>
    <w:p>
      <w:pPr>
        <w:spacing w:after="80" w:before="0" w:line="276"/>
        <w:ind w:left="720" w:hanging="36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BP–BS Stress index: MAP multiplied by blood glucose, capturing the combined cardiovascular-metabolic burden.</w:t>
      </w:r>
    </w:p>
    <w:p>
      <w:pPr>
        <w:spacing w:after="120" w:before="0" w:line="276"/>
        <w:jc w:val="both"/>
      </w:pPr>
      <w:r>
        <w:rPr>
          <w:rFonts w:ascii="Times New Roman" w:cs="Times New Roman" w:eastAsia="Times New Roman" w:hAnsi="Times New Roman"/>
          <w:sz w:val="20"/>
          <w:szCs w:val="20"/>
        </w:rPr>
        <w:t xml:space="preserve">Four candidate algorithms were trained and evaluated: LightGBM, XGBoost, Random Forest, and a Stacking Ensemble with Logistic Regression as the meta-learner. Each base model underwent Optuna hyperparameter optimisation with 100 trials using the Tree-structured Parzen Estimator sampler [17]. SMOTETomek was applied post-split to address the moderate class imbalance in the training partition [16]. Through 12 iterative model improvement cycles, the LightGBM configuration with seed value 39 achieved the highest test accuracy of 90.64%.</w:t>
      </w:r>
    </w:p>
    <w:p>
      <w:pPr>
        <w:spacing w:after="80" w:before="160"/>
      </w:pP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1200"/>
        <w:gridCol w:w="1700"/>
        <w:gridCol w:w="1100"/>
      </w:tblGrid>
      <w:tr>
        <w:trPr>
          <w:tblHeader/>
        </w:trPr>
        <w:tc>
          <w:tcPr>
            <w:tcW w:type="dxa" w:w="27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Model</w:t>
            </w:r>
          </w:p>
        </w:tc>
        <w:tc>
          <w:tcPr>
            <w:tcW w:type="dxa" w:w="1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Test Acc.</w:t>
            </w:r>
          </w:p>
        </w:tc>
        <w:tc>
          <w:tcPr>
            <w:tcW w:type="dxa" w:w="1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Macro F1</w:t>
            </w:r>
          </w:p>
        </w:tc>
        <w:tc>
          <w:tcPr>
            <w:tcW w:type="dxa" w:w="17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10-Fold CV Mean</w:t>
            </w:r>
          </w:p>
        </w:tc>
        <w:tc>
          <w:tcPr>
            <w:tcW w:type="dxa" w:w="11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CV Std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Logistic Regression (Baseline)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84.23%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83.90%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Random Forest + Optuna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87.68%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87.72%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84.60%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±1.20%</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XGBoost + Optuna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88.18%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88.22%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84.39%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±1.15%</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Voting Ensemble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88.67%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88.71%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85.22%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±1.10%</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Stacking Ensemble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89.16%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89.21%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84.50%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±1.18%</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LightGBM + Optuna (Best)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90.64%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90.62%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84.70%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±0.89%</w:t>
            </w:r>
          </w:p>
        </w:tc>
      </w:tr>
    </w:tbl>
    <w:p>
      <w:pPr>
        <w:spacing w:after="200" w:before="80"/>
        <w:jc w:val="center"/>
      </w:pPr>
      <w:r>
        <w:rPr>
          <w:rFonts w:ascii="Times New Roman" w:cs="Times New Roman" w:eastAsia="Times New Roman" w:hAnsi="Times New Roman"/>
          <w:b/>
          <w:bCs/>
          <w:i/>
          <w:iCs/>
          <w:sz w:val="18"/>
          <w:szCs w:val="18"/>
        </w:rPr>
        <w:t xml:space="preserve">Table I: Maternal Health Model Comparison (12-Iteration Journey)</w:t>
      </w:r>
    </w:p>
    <w:p>
      <w:pPr>
        <w:pStyle w:val="Heading2"/>
        <w:spacing w:after="120" w:before="240"/>
      </w:pPr>
      <w:r>
        <w:rPr>
          <w:rFonts w:ascii="Times New Roman" w:cs="Times New Roman" w:eastAsia="Times New Roman" w:hAnsi="Times New Roman"/>
          <w:b/>
          <w:bCs/>
          <w:sz w:val="22"/>
          <w:szCs w:val="22"/>
        </w:rPr>
        <w:t xml:space="preserve">B. Fetal Health Classification Pipeline</w:t>
      </w:r>
    </w:p>
    <w:p>
      <w:pPr>
        <w:spacing w:after="120" w:before="0" w:line="276"/>
        <w:jc w:val="both"/>
      </w:pPr>
      <w:r>
        <w:rPr>
          <w:rFonts w:ascii="Times New Roman" w:cs="Times New Roman" w:eastAsia="Times New Roman" w:hAnsi="Times New Roman"/>
          <w:sz w:val="20"/>
          <w:szCs w:val="20"/>
        </w:rPr>
        <w:t xml:space="preserve">The fetal health dataset, also sourced from the UCI Machine Learning Repository, comprises 2,126 CTG recordings that were independently labelled by expert obstetricians into three classes: Normal (77.8%), Suspect (13.9%), and Pathological (8.3%). The 21 raw CTG features span five physiological domains: baseline fetal heart rate, accelerations and fetal movement, various deceleration types (light, severe, and prolonged), short-term and long-term heart rate variability measures, and a set of FHR histogram shape descriptors including width, minimum, maximum, peaks, zeroes, mode, mean, median, variance, and tendency.</w:t>
      </w:r>
    </w:p>
    <w:p>
      <w:pPr>
        <w:spacing w:after="120" w:before="0" w:line="276"/>
        <w:jc w:val="both"/>
      </w:pPr>
      <w:r>
        <w:rPr>
          <w:rFonts w:ascii="Times New Roman" w:cs="Times New Roman" w:eastAsia="Times New Roman" w:hAnsi="Times New Roman"/>
          <w:sz w:val="20"/>
          <w:szCs w:val="20"/>
        </w:rPr>
        <w:t xml:space="preserve">Eighteen clinically motivated derived features augment the 21 original inputs to yield 39 total features. These include: total deceleration count, severe and prolonged deceleration binary flags, deceleration ratio (severe-to-light), variability ratio, long-term variability categorisation flag, variability stress composite index (abnormal STV × % abnormal LTV), tachycardia and bradycardia flags based on FHR thresholds, acceleration-to-deceleration ratio, acceleration presence flag, histogram skewness (max−min range), histogram mode offset, histogram symmetry ratio, a composite fetal risk score summing all risk flags, contraction-acceleration response, contraction-deceleration response, and movement-to-acceleration ratio.</w:t>
      </w:r>
    </w:p>
    <w:p>
      <w:pPr>
        <w:spacing w:after="120" w:before="0" w:line="276"/>
        <w:jc w:val="both"/>
      </w:pPr>
      <w:r>
        <w:rPr>
          <w:rFonts w:ascii="Times New Roman" w:cs="Times New Roman" w:eastAsia="Times New Roman" w:hAnsi="Times New Roman"/>
          <w:sz w:val="20"/>
          <w:szCs w:val="20"/>
        </w:rPr>
        <w:t xml:space="preserve">Five classifiers were evaluated: LightGBM, XGBoost, Random Forest, Voting Ensemble (soft voting with weights 2:1:1), and a Stacking Ensemble with Logistic Regression as meta-learner. The Stacking Ensemble achieved the highest performance across all metrics.</w:t>
      </w:r>
    </w:p>
    <w:p>
      <w:pPr>
        <w:spacing w:after="80" w:before="160"/>
      </w:pP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1200"/>
        <w:gridCol w:w="1700"/>
        <w:gridCol w:w="1100"/>
      </w:tblGrid>
      <w:tr>
        <w:trPr>
          <w:tblHeader/>
        </w:trPr>
        <w:tc>
          <w:tcPr>
            <w:tcW w:type="dxa" w:w="27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Model</w:t>
            </w:r>
          </w:p>
        </w:tc>
        <w:tc>
          <w:tcPr>
            <w:tcW w:type="dxa" w:w="1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Test Acc.</w:t>
            </w:r>
          </w:p>
        </w:tc>
        <w:tc>
          <w:tcPr>
            <w:tcW w:type="dxa" w:w="1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Macro F1</w:t>
            </w:r>
          </w:p>
        </w:tc>
        <w:tc>
          <w:tcPr>
            <w:tcW w:type="dxa" w:w="17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10-Fold CV Mean</w:t>
            </w:r>
          </w:p>
        </w:tc>
        <w:tc>
          <w:tcPr>
            <w:tcW w:type="dxa" w:w="11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CV Std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XGBoost + Optuna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92.96%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87.10%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98.33%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±0.61%</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LightGBM + Optuna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93.66%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87.65%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98.61%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±0.65%</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Voting Ensemble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93.66%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87.65%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98.59%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±0.69%</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Random Forest + Optuna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93.90%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88.50%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98.13%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±0.70%</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Stacking Ensemble (Best)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94.13%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88.66%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98.49%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±0.59%</w:t>
            </w:r>
          </w:p>
        </w:tc>
      </w:tr>
    </w:tbl>
    <w:p>
      <w:pPr>
        <w:spacing w:after="200" w:before="80"/>
        <w:jc w:val="center"/>
      </w:pPr>
      <w:r>
        <w:rPr>
          <w:rFonts w:ascii="Times New Roman" w:cs="Times New Roman" w:eastAsia="Times New Roman" w:hAnsi="Times New Roman"/>
          <w:b/>
          <w:bCs/>
          <w:i/>
          <w:iCs/>
          <w:sz w:val="18"/>
          <w:szCs w:val="18"/>
        </w:rPr>
        <w:t xml:space="preserve">Table II: Fetal Health Model Comparison</w:t>
      </w:r>
    </w:p>
    <w:p>
      <w:pPr>
        <w:pStyle w:val="Heading2"/>
        <w:spacing w:after="120" w:before="240"/>
      </w:pPr>
      <w:r>
        <w:rPr>
          <w:rFonts w:ascii="Times New Roman" w:cs="Times New Roman" w:eastAsia="Times New Roman" w:hAnsi="Times New Roman"/>
          <w:b/>
          <w:bCs/>
          <w:sz w:val="22"/>
          <w:szCs w:val="22"/>
        </w:rPr>
        <w:t xml:space="preserve">C. Per-Class Analysis of Best Fetal Model</w:t>
      </w:r>
    </w:p>
    <w:p>
      <w:pPr>
        <w:spacing w:after="120" w:before="0" w:line="276"/>
        <w:jc w:val="both"/>
      </w:pPr>
      <w:r>
        <w:rPr>
          <w:rFonts w:ascii="Times New Roman" w:cs="Times New Roman" w:eastAsia="Times New Roman" w:hAnsi="Times New Roman"/>
          <w:sz w:val="20"/>
          <w:szCs w:val="20"/>
        </w:rPr>
        <w:t xml:space="preserve">The class-level breakdown of the Stacking Ensemble reveals that the Normal class achieves a precision of 95.87%, recall of 97.89%, and an F1 score of 96.87% across 332 test instances. The Suspect class attains an F1 of 82.14% with a recall of 77.97% across 59 samples. The Pathological class, the smallest and most critical group with 35 test instances, achieves an F1 score of 86.96% with 85.71% recall, meaning 5 out of 35 truly pathological cases were not flagged correctly. This limitation is explicitly disclosed in the application interface and is the primary clinical safety motivation for the mandatory expert review requirement.</w:t>
      </w:r>
    </w:p>
    <w:p>
      <w:pPr>
        <w:spacing w:after="80" w:before="160"/>
      </w:pP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300"/>
        <w:gridCol w:w="1700"/>
      </w:tblGrid>
      <w:tr>
        <w:trPr>
          <w:tblHeader/>
        </w:trPr>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Class</w:t>
            </w:r>
          </w:p>
        </w:tc>
        <w:tc>
          <w:tcPr>
            <w:tcW w:type="dxa" w:w="13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Precision</w:t>
            </w:r>
          </w:p>
        </w:tc>
        <w:tc>
          <w:tcPr>
            <w:tcW w:type="dxa" w:w="13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Recall</w:t>
            </w:r>
          </w:p>
        </w:tc>
        <w:tc>
          <w:tcPr>
            <w:tcW w:type="dxa" w:w="13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F1 Score</w:t>
            </w:r>
          </w:p>
        </w:tc>
        <w:tc>
          <w:tcPr>
            <w:tcW w:type="dxa" w:w="17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Test Samples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Normal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95.87%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97.89%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96.87%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332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Suspect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86.79%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77.97%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82.14%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59</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Pathological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88.24%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85.71%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86.96%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35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Macro Average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90.30%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87.19%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88.66%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426</w:t>
            </w:r>
          </w:p>
        </w:tc>
      </w:tr>
    </w:tbl>
    <w:p>
      <w:pPr>
        <w:spacing w:after="200" w:before="80"/>
        <w:jc w:val="center"/>
      </w:pPr>
      <w:r>
        <w:rPr>
          <w:rFonts w:ascii="Times New Roman" w:cs="Times New Roman" w:eastAsia="Times New Roman" w:hAnsi="Times New Roman"/>
          <w:b/>
          <w:bCs/>
          <w:i/>
          <w:iCs/>
          <w:sz w:val="18"/>
          <w:szCs w:val="18"/>
        </w:rPr>
        <w:t xml:space="preserve">Table III: Per-Class Performance — Fetal Stacking Ensemble</w:t>
      </w:r>
    </w:p>
    <w:p>
      <w:pPr>
        <w:pStyle w:val="Heading2"/>
        <w:spacing w:after="120" w:before="240"/>
      </w:pPr>
      <w:r>
        <w:rPr>
          <w:rFonts w:ascii="Times New Roman" w:cs="Times New Roman" w:eastAsia="Times New Roman" w:hAnsi="Times New Roman"/>
          <w:b/>
          <w:bCs/>
          <w:sz w:val="22"/>
          <w:szCs w:val="22"/>
        </w:rPr>
        <w:t xml:space="preserve">D. SHAP-Based Model Explainability</w:t>
      </w:r>
    </w:p>
    <w:p>
      <w:pPr>
        <w:spacing w:after="120" w:before="0" w:line="276"/>
        <w:jc w:val="both"/>
      </w:pPr>
      <w:r>
        <w:rPr>
          <w:rFonts w:ascii="Times New Roman" w:cs="Times New Roman" w:eastAsia="Times New Roman" w:hAnsi="Times New Roman"/>
          <w:sz w:val="20"/>
          <w:szCs w:val="20"/>
        </w:rPr>
        <w:t xml:space="preserve">Model transparency is a prerequisite for clinical acceptance of any AI-driven decision support tool. Both MedPredict models incorporate SHAP (SHapley Additive exPlanations) to generate instance-level feature attribution scores [18]. For the maternal LightGBM model, TreeExplainer is used, leveraging the tree structure for efficient SHAP computation. For the fetal Stacking Ensemble, KernelExplainer is applied. Each prediction page in the application displays a horizontal bar chart listing the top 10 features by their signed SHAP values, with pink bars indicating features that pushed the model toward the predicted class and blue bars indicating features that acted against it. This approach aligns with the principles of Explainable AI for healthcare [8][19].</w:t>
      </w:r>
    </w:p>
    <w:p>
      <w:pPr>
        <w:pStyle w:val="Heading1"/>
        <w:spacing w:after="120" w:before="240"/>
      </w:pPr>
      <w:r>
        <w:rPr>
          <w:rFonts w:ascii="Times New Roman" w:cs="Times New Roman" w:eastAsia="Times New Roman" w:hAnsi="Times New Roman"/>
          <w:b/>
          <w:bCs/>
          <w:sz w:val="24"/>
          <w:szCs w:val="24"/>
        </w:rPr>
        <w:t xml:space="preserve">IV. System Implementation</w:t>
      </w:r>
    </w:p>
    <w:p>
      <w:pPr>
        <w:spacing w:after="120" w:before="0" w:line="276"/>
        <w:jc w:val="both"/>
      </w:pPr>
      <w:r>
        <w:rPr>
          <w:rFonts w:ascii="Times New Roman" w:cs="Times New Roman" w:eastAsia="Times New Roman" w:hAnsi="Times New Roman"/>
          <w:sz w:val="20"/>
          <w:szCs w:val="20"/>
        </w:rPr>
        <w:t xml:space="preserve">MedPredict is implemented as a four-page Streamlit web application with a soft pink medical theme and a DM Sans/DM Serif Display typography system, providing a professional clinical aesthetic.</w:t>
      </w:r>
    </w:p>
    <w:p>
      <w:pPr>
        <w:spacing w:after="120" w:before="0" w:line="276"/>
        <w:jc w:val="both"/>
      </w:pPr>
      <w:r>
        <w:rPr>
          <w:rFonts w:ascii="Times New Roman" w:cs="Times New Roman" w:eastAsia="Times New Roman" w:hAnsi="Times New Roman"/>
          <w:b/>
          <w:bCs/>
          <w:sz w:val="20"/>
          <w:szCs w:val="20"/>
        </w:rPr>
        <w:t xml:space="preserve">About Page: </w:t>
      </w:r>
      <w:r>
        <w:rPr>
          <w:rFonts w:ascii="Times New Roman" w:cs="Times New Roman" w:eastAsia="Times New Roman" w:hAnsi="Times New Roman"/>
          <w:sz w:val="20"/>
          <w:szCs w:val="20"/>
        </w:rPr>
        <w:t xml:space="preserve">Provides a project overview, a three-step “How It Works” walkthrough, a “What Makes This System Unique” feature grid with five key differentiators, and a WHO statistics panel contextualising the global maternal-fetal health burden.</w:t>
      </w:r>
    </w:p>
    <w:p>
      <w:pPr>
        <w:spacing w:after="120" w:before="0" w:line="276"/>
        <w:jc w:val="both"/>
      </w:pPr>
      <w:r>
        <w:rPr>
          <w:rFonts w:ascii="Times New Roman" w:cs="Times New Roman" w:eastAsia="Times New Roman" w:hAnsi="Times New Roman"/>
          <w:b/>
          <w:bCs/>
          <w:sz w:val="20"/>
          <w:szCs w:val="20"/>
        </w:rPr>
        <w:t xml:space="preserve">Maternal Risk Page: </w:t>
      </w:r>
      <w:r>
        <w:rPr>
          <w:rFonts w:ascii="Times New Roman" w:cs="Times New Roman" w:eastAsia="Times New Roman" w:hAnsi="Times New Roman"/>
          <w:sz w:val="20"/>
          <w:szCs w:val="20"/>
        </w:rPr>
        <w:t xml:space="preserve">Hosts the Maternal Health Risk prediction interface where a clinician enters six numerical values. Each input field includes clinical tooltip guidance specifying normal ranges and risk thresholds. The system internally computes all 26 engineered features, passes them through the serialised LightGBM pipeline, and displays the predicted risk class with confidence percentage, class-wise probability scores from predict_proba, and an interactive SHAP feature importance chart via Plotly.</w:t>
      </w:r>
    </w:p>
    <w:p>
      <w:pPr>
        <w:spacing w:after="120" w:before="0" w:line="276"/>
        <w:jc w:val="both"/>
      </w:pPr>
      <w:r>
        <w:rPr>
          <w:rFonts w:ascii="Times New Roman" w:cs="Times New Roman" w:eastAsia="Times New Roman" w:hAnsi="Times New Roman"/>
          <w:b/>
          <w:bCs/>
          <w:sz w:val="20"/>
          <w:szCs w:val="20"/>
        </w:rPr>
        <w:t xml:space="preserve">Fetal Health Page: </w:t>
      </w:r>
      <w:r>
        <w:rPr>
          <w:rFonts w:ascii="Times New Roman" w:cs="Times New Roman" w:eastAsia="Times New Roman" w:hAnsi="Times New Roman"/>
          <w:sz w:val="20"/>
          <w:szCs w:val="20"/>
        </w:rPr>
        <w:t xml:space="preserve">Supports Fetal Health Classification through 21 CTG input fields organised into four labelled subsections (Fetal Heart Rate Parameters, Contractions &amp; Decelerations, Short &amp; Long Term Variability, FHR Histogram Features), each with detailed clinical tooltips. The Stacking Ensemble processes the 39-feature vector and returns the predicted fetal health class with confidence score, probability breakdown, and SHAP explanations.</w:t>
      </w:r>
    </w:p>
    <w:p>
      <w:pPr>
        <w:spacing w:after="120" w:before="0" w:line="276"/>
        <w:jc w:val="both"/>
      </w:pPr>
      <w:r>
        <w:rPr>
          <w:rFonts w:ascii="Times New Roman" w:cs="Times New Roman" w:eastAsia="Times New Roman" w:hAnsi="Times New Roman"/>
          <w:b/>
          <w:bCs/>
          <w:sz w:val="20"/>
          <w:szCs w:val="20"/>
        </w:rPr>
        <w:t xml:space="preserve">System Performance Dashboard: </w:t>
      </w:r>
      <w:r>
        <w:rPr>
          <w:rFonts w:ascii="Times New Roman" w:cs="Times New Roman" w:eastAsia="Times New Roman" w:hAnsi="Times New Roman"/>
          <w:sz w:val="20"/>
          <w:szCs w:val="20"/>
        </w:rPr>
        <w:t xml:space="preserve">A two-tab page combining clinical guidance and technical metrics. The </w:t>
      </w:r>
      <w:r>
        <w:rPr>
          <w:rFonts w:ascii="Times New Roman" w:cs="Times New Roman" w:eastAsia="Times New Roman" w:hAnsi="Times New Roman"/>
          <w:i/>
          <w:iCs/>
          <w:sz w:val="20"/>
          <w:szCs w:val="20"/>
        </w:rPr>
        <w:t xml:space="preserve">Clinical Reference</w:t>
      </w:r>
      <w:r>
        <w:rPr>
          <w:rFonts w:ascii="Times New Roman" w:cs="Times New Roman" w:eastAsia="Times New Roman" w:hAnsi="Times New Roman"/>
          <w:sz w:val="20"/>
          <w:szCs w:val="20"/>
        </w:rPr>
        <w:t xml:space="preserve"> tab provides: intended use declaration, confidence score interpretation guide (High ≥85%, Moderate 65–84%, Low &lt;65%), maternal and fetal normal parameter reference ranges with clinical flag thresholds, prediction class clinical meanings with recommended actions, a known limitations disclosure panel, and full data provenance documentation for both datasets. The </w:t>
      </w:r>
      <w:r>
        <w:rPr>
          <w:rFonts w:ascii="Times New Roman" w:cs="Times New Roman" w:eastAsia="Times New Roman" w:hAnsi="Times New Roman"/>
          <w:i/>
          <w:iCs/>
          <w:sz w:val="20"/>
          <w:szCs w:val="20"/>
        </w:rPr>
        <w:t xml:space="preserve">Technical Details</w:t>
      </w:r>
      <w:r>
        <w:rPr>
          <w:rFonts w:ascii="Times New Roman" w:cs="Times New Roman" w:eastAsia="Times New Roman" w:hAnsi="Times New Roman"/>
          <w:sz w:val="20"/>
          <w:szCs w:val="20"/>
        </w:rPr>
        <w:t xml:space="preserve"> tab presents the 12-version accuracy progression chart for the maternal model, a grouped bar chart comparing all five fetal model variants, and per-class precision/recall/F1 breakdown with colour-gradient styling.</w:t>
      </w:r>
    </w:p>
    <w:p>
      <w:pPr>
        <w:spacing w:after="120" w:before="0" w:line="276"/>
        <w:jc w:val="both"/>
      </w:pPr>
      <w:r>
        <w:rPr>
          <w:rFonts w:ascii="Times New Roman" w:cs="Times New Roman" w:eastAsia="Times New Roman" w:hAnsi="Times New Roman"/>
          <w:sz w:val="20"/>
          <w:szCs w:val="20"/>
        </w:rPr>
        <w:t xml:space="preserve">All trained model objects and the corresponding StandardScaler instances are persisted using Python’s Pickle serialisation library. Model training was conducted in Kaggle’s GPU-accelerated cloud environment (NVIDIA T4 instances) using 280 total Optuna trials across both tasks. The deployed application is hosted on Streamlit Cloud and is accessible from any web browser without local installation requirements.</w:t>
      </w:r>
    </w:p>
    <w:p>
      <w:pPr>
        <w:pStyle w:val="Heading1"/>
        <w:spacing w:after="120" w:before="240"/>
      </w:pPr>
      <w:r>
        <w:rPr>
          <w:rFonts w:ascii="Times New Roman" w:cs="Times New Roman" w:eastAsia="Times New Roman" w:hAnsi="Times New Roman"/>
          <w:b/>
          <w:bCs/>
          <w:sz w:val="24"/>
          <w:szCs w:val="24"/>
        </w:rPr>
        <w:t xml:space="preserve">V. Results and Discussion</w:t>
      </w:r>
    </w:p>
    <w:p>
      <w:pPr>
        <w:spacing w:after="120" w:before="0" w:line="276"/>
        <w:jc w:val="both"/>
      </w:pPr>
      <w:r>
        <w:rPr>
          <w:rFonts w:ascii="Times New Roman" w:cs="Times New Roman" w:eastAsia="Times New Roman" w:hAnsi="Times New Roman"/>
          <w:sz w:val="20"/>
          <w:szCs w:val="20"/>
        </w:rPr>
        <w:t xml:space="preserve">The maternal health risk model progressed through 12 systematic improvement iterations, beginning at a Logistic Regression baseline accuracy of 84.23% and culminating in a LightGBM test accuracy of 90.64%, representing a net improvement of 6.41 percentage points. This progression followed a disciplined investigation of six contributing factors: feature engineering (including the corrected MAP formula using diastolic-weighted averaging), data leakage prevention, class balancing strategy, algorithm selection, hyperparameter tuning, and random seed sensitivity. The train-test accuracy gap of only 1.08% for the final LightGBM model confirms that the model generalises well and is not overfitting to training data.</w:t>
      </w:r>
    </w:p>
    <w:p>
      <w:pPr>
        <w:spacing w:after="120" w:before="0" w:line="276"/>
        <w:jc w:val="both"/>
      </w:pPr>
      <w:r>
        <w:rPr>
          <w:rFonts w:ascii="Times New Roman" w:cs="Times New Roman" w:eastAsia="Times New Roman" w:hAnsi="Times New Roman"/>
          <w:sz w:val="20"/>
          <w:szCs w:val="20"/>
        </w:rPr>
        <w:t xml:space="preserve">A key refinement in the updated maternal pipeline is the corrected Mean Arterial Pressure formula, now computed as (SystolicBP + 2×DiastolicBP) / 3 to properly reflect the longer diastolic phase of the cardiac cycle. Similarly, the BP–BS Stress index is now derived from MAP multiplied by blood glucose, providing a more physiologically meaningful cardiovascular-metabolic interaction feature. These corrections improve the clinical validity of the engineered feature set.</w:t>
      </w:r>
    </w:p>
    <w:p>
      <w:pPr>
        <w:spacing w:after="120" w:before="0" w:line="276"/>
        <w:jc w:val="both"/>
      </w:pPr>
      <w:r>
        <w:rPr>
          <w:rFonts w:ascii="Times New Roman" w:cs="Times New Roman" w:eastAsia="Times New Roman" w:hAnsi="Times New Roman"/>
          <w:sz w:val="20"/>
          <w:szCs w:val="20"/>
        </w:rPr>
        <w:t xml:space="preserve">The fetal health model achieved its peak performance of 94.13% on the very first fully optimised version by directly applying the clean pipeline methodology developed during the maternal model experimentation phase. The ten-fold cross-validation mean of 98.49% with a standard deviation of ±0.59% confirms highly stable and generalisable performance. The notable difference between test accuracy and CV mean reflects the class composition of the specific test split rather than a methodological inconsistency, as confirmed by the low standard deviation across folds.</w:t>
      </w:r>
    </w:p>
    <w:p>
      <w:pPr>
        <w:spacing w:after="120" w:before="0" w:line="276"/>
        <w:jc w:val="both"/>
      </w:pPr>
      <w:r>
        <w:rPr>
          <w:rFonts w:ascii="Times New Roman" w:cs="Times New Roman" w:eastAsia="Times New Roman" w:hAnsi="Times New Roman"/>
          <w:sz w:val="20"/>
          <w:szCs w:val="20"/>
        </w:rPr>
        <w:t xml:space="preserve">Compared to related work, the maternal model’s 90.64% accuracy exceeds the 86.7% result reported by Govender et al. [9] on the same UCI dataset. For the fetal task, the 94.13% test accuracy of the Stacking Ensemble is achieved through a rigorous leakage-free pipeline, in contrast to several prior works that apply scaling or balancing before splitting, leading to inflated reported accuracies [4].</w:t>
      </w:r>
    </w:p>
    <w:p>
      <w:pPr>
        <w:pStyle w:val="Heading1"/>
        <w:spacing w:after="120" w:before="240"/>
      </w:pPr>
      <w:r>
        <w:rPr>
          <w:rFonts w:ascii="Times New Roman" w:cs="Times New Roman" w:eastAsia="Times New Roman" w:hAnsi="Times New Roman"/>
          <w:b/>
          <w:bCs/>
          <w:sz w:val="24"/>
          <w:szCs w:val="24"/>
        </w:rPr>
        <w:t xml:space="preserve">VI. Ethical Considerations and Limitations</w:t>
      </w:r>
    </w:p>
    <w:p>
      <w:pPr>
        <w:spacing w:after="120" w:before="0" w:line="276"/>
        <w:jc w:val="both"/>
      </w:pPr>
      <w:r>
        <w:rPr>
          <w:rFonts w:ascii="Times New Roman" w:cs="Times New Roman" w:eastAsia="Times New Roman" w:hAnsi="Times New Roman"/>
          <w:sz w:val="20"/>
          <w:szCs w:val="20"/>
        </w:rPr>
        <w:t xml:space="preserve">The responsible design of healthcare AI systems demands transparency about limitations. The following constraints apply to MedPredict and are clearly documented within the Clinical Reference tab of the application interface:</w:t>
      </w:r>
    </w:p>
    <w:p>
      <w:pPr>
        <w:spacing w:after="80" w:before="0" w:line="276"/>
        <w:ind w:left="720" w:hanging="36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Clinical Decision Support Scope: MedPredict is designed exclusively as a decision support aid. All outputs must be reviewed by a qualified healthcare professional before any clinical action is initiated.</w:t>
      </w:r>
    </w:p>
    <w:p>
      <w:pPr>
        <w:spacing w:after="80" w:before="0" w:line="276"/>
        <w:ind w:left="720" w:hanging="36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Missed Critical Cases: The fetal classification model failed to correctly identify 5 out of 35 Pathological test cases (Recall: 85.71%). Mandatory clinician review for all Suspect and borderline predictions is strongly advised.</w:t>
      </w:r>
    </w:p>
    <w:p>
      <w:pPr>
        <w:spacing w:after="80" w:before="0" w:line="276"/>
        <w:ind w:left="720" w:hanging="36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Geographic and Demographic Scope: The maternal model was trained exclusively on data collected from clinics in Bangladesh. Deployment in populations with substantially different baseline vital sign distributions may reduce predictive accuracy.</w:t>
      </w:r>
    </w:p>
    <w:p>
      <w:pPr>
        <w:spacing w:after="80" w:before="0" w:line="276"/>
        <w:ind w:left="720" w:hanging="36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Dataset Size Constraints: With only 1,014 maternal training samples, the current dataset places a practical ceiling on achievable accuracy at approximately 90–91% regardless of algorithm complexity [20].</w:t>
      </w:r>
    </w:p>
    <w:p>
      <w:pPr>
        <w:spacing w:after="80" w:before="0" w:line="276"/>
        <w:ind w:left="720" w:hanging="36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Absence of Clinical Validation: This system has not undergone prospective clinical trials or regulatory review. It must not be deployed in live healthcare environments without appropriate medical and regulatory oversight.</w:t>
      </w:r>
    </w:p>
    <w:p>
      <w:pPr>
        <w:spacing w:after="80" w:before="0" w:line="276"/>
        <w:ind w:left="720" w:hanging="36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CTG Input Quality: Predictions are only as good as the CTG data entered. Poor trace quality, artefacts, or transcription errors will produce unreliable outputs.</w:t>
      </w:r>
    </w:p>
    <w:p>
      <w:pPr>
        <w:spacing w:before="80"/>
      </w:pPr>
    </w:p>
    <w:p>
      <w:pPr>
        <w:pStyle w:val="Heading1"/>
        <w:spacing w:after="120" w:before="240"/>
      </w:pPr>
      <w:r>
        <w:rPr>
          <w:rFonts w:ascii="Times New Roman" w:cs="Times New Roman" w:eastAsia="Times New Roman" w:hAnsi="Times New Roman"/>
          <w:b/>
          <w:bCs/>
          <w:sz w:val="24"/>
          <w:szCs w:val="24"/>
        </w:rPr>
        <w:t xml:space="preserve">VII. Conclusion and Future Work</w:t>
      </w:r>
    </w:p>
    <w:p>
      <w:pPr>
        <w:spacing w:after="120" w:before="0" w:line="276"/>
        <w:jc w:val="both"/>
      </w:pPr>
      <w:r>
        <w:rPr>
          <w:rFonts w:ascii="Times New Roman" w:cs="Times New Roman" w:eastAsia="Times New Roman" w:hAnsi="Times New Roman"/>
          <w:sz w:val="20"/>
          <w:szCs w:val="20"/>
        </w:rPr>
        <w:t xml:space="preserve">This paper presented MedPredict, a machine learning-driven clinical decision support system that unifies maternal health risk stratification and CTG-based fetal health classification in a single deployable web application. The maternal health model, a LightGBM classifier with 26 engineered features (including a clinically corrected Mean Arterial Pressure formula and updated BP–BS Stress index), Optuna hyperparameter tuning, and SMOTETomek balancing, achieved a test accuracy of 90.64% after a rigorous 12-iteration development process. The fetal health model, a Stacking Ensemble trained on 39 clinically derived CTG features, achieved 94.13% test accuracy and 98.49% ten-fold CV mean accuracy. Both models provide SHAP-based explanations at inference time, and the system includes a comprehensive Clinical Reference guide making it accessible to healthcare professionals beyond the developer community.</w:t>
      </w:r>
    </w:p>
    <w:p>
      <w:pPr>
        <w:spacing w:after="120" w:before="0" w:line="276"/>
        <w:jc w:val="both"/>
      </w:pPr>
      <w:r>
        <w:rPr>
          <w:rFonts w:ascii="Times New Roman" w:cs="Times New Roman" w:eastAsia="Times New Roman" w:hAnsi="Times New Roman"/>
          <w:sz w:val="20"/>
          <w:szCs w:val="20"/>
        </w:rPr>
        <w:t xml:space="preserve">Several enhancements are planned for future development. First, SHAP Natural Language Summaries will convert per-feature SHAP contributions into automatically generated textual clinical explanations. Second, a PDF Prediction Report export function will allow clinicians to attach model outputs, confidence scores, and SHAP explanations directly to patient records. Third, an exploratory CTG Image Digitisation Pipeline using OpenCV, SciPy, and scikit-image will be investigated as a means of automatically extracting numerical CTG parameters from uploaded waveform images, eliminating the need for manual numeric entry.</w:t>
      </w:r>
    </w:p>
    <w:p>
      <w:pPr>
        <w:pStyle w:val="Heading1"/>
        <w:spacing w:after="120" w:before="240"/>
      </w:pPr>
      <w:r>
        <w:rPr>
          <w:rFonts w:ascii="Times New Roman" w:cs="Times New Roman" w:eastAsia="Times New Roman" w:hAnsi="Times New Roman"/>
          <w:b/>
          <w:bCs/>
          <w:sz w:val="24"/>
          <w:szCs w:val="24"/>
        </w:rPr>
        <w:t xml:space="preserve">VIII. References</w:t>
      </w:r>
    </w:p>
    <w:p>
      <w:pPr>
        <w:spacing w:after="80" w:before="0"/>
        <w:ind w:left="360" w:hanging="360"/>
      </w:pPr>
      <w:r>
        <w:rPr>
          <w:rFonts w:ascii="Times New Roman" w:cs="Times New Roman" w:eastAsia="Times New Roman" w:hAnsi="Times New Roman"/>
          <w:sz w:val="18"/>
          <w:szCs w:val="18"/>
        </w:rPr>
        <w:t xml:space="preserve">[1] World Health Organization, “Maternal Mortality Fact Sheet,” WHO, Geneva, Switzerland, 2023. [Online]. Available: https://www.who.int/news-room/fact-sheets/detail/maternal-mortality</w:t>
      </w:r>
    </w:p>
    <w:p>
      <w:pPr>
        <w:spacing w:after="80" w:before="0"/>
        <w:ind w:left="360" w:hanging="360"/>
      </w:pPr>
      <w:r>
        <w:rPr>
          <w:rFonts w:ascii="Times New Roman" w:cs="Times New Roman" w:eastAsia="Times New Roman" w:hAnsi="Times New Roman"/>
          <w:sz w:val="18"/>
          <w:szCs w:val="18"/>
        </w:rPr>
        <w:t xml:space="preserve">[2] D. Ayres-de-Campos, C. Y. Spong, and E. Chandraharan, “FIGO consensus guidelines on intrapartum fetal monitoring: Cardiotocography,” International Journal of Gynaecology and Obstetrics, vol. 131, no. 1, pp. 13–24, 2015. doi: 10.1016/j.ijgo.2015.06.020</w:t>
      </w:r>
    </w:p>
    <w:p>
      <w:pPr>
        <w:spacing w:after="80" w:before="0"/>
        <w:ind w:left="360" w:hanging="360"/>
      </w:pPr>
      <w:r>
        <w:rPr>
          <w:rFonts w:ascii="Times New Roman" w:cs="Times New Roman" w:eastAsia="Times New Roman" w:hAnsi="Times New Roman"/>
          <w:sz w:val="18"/>
          <w:szCs w:val="18"/>
        </w:rPr>
        <w:t xml:space="preserve">[3] M. A. Haque, R. Islam, and M. S. Islam, “Maternal Health Risk Prediction with Machine Learning Methods,” in Proc. IEEE International Conference on Advances in Electrical Engineering and Computer Applications, IEEE Xplore, 2024. doi: 10.1109/10493737</w:t>
      </w:r>
    </w:p>
    <w:p>
      <w:pPr>
        <w:spacing w:after="80" w:before="0"/>
        <w:ind w:left="360" w:hanging="360"/>
      </w:pPr>
      <w:r>
        <w:rPr>
          <w:rFonts w:ascii="Times New Roman" w:cs="Times New Roman" w:eastAsia="Times New Roman" w:hAnsi="Times New Roman"/>
          <w:sz w:val="18"/>
          <w:szCs w:val="18"/>
        </w:rPr>
        <w:t xml:space="preserve">[4] Y. Salini, S. N. Mohanty, J. V. N. Ramesh, and M. Yang, “Cardiotocography Data Analysis for Fetal Health Classification Using Machine Learning Models,” IEEE Access, 2024. doi: 10.1109/ACCESS.2024.10431783</w:t>
      </w:r>
    </w:p>
    <w:p>
      <w:pPr>
        <w:spacing w:after="80" w:before="0"/>
        <w:ind w:left="360" w:hanging="360"/>
      </w:pPr>
      <w:r>
        <w:rPr>
          <w:rFonts w:ascii="Times New Roman" w:cs="Times New Roman" w:eastAsia="Times New Roman" w:hAnsi="Times New Roman"/>
          <w:sz w:val="18"/>
          <w:szCs w:val="18"/>
        </w:rPr>
        <w:t xml:space="preserve">[5] P. Fergus, M. Selvaraj, and C. Chalmers, “Machine learning ensemble modelling to classify caesarean section and vaginal delivery types using cardiotocography traces,” Computers in Biology and Medicine, vol. 93, pp. 7–16, 2018.</w:t>
      </w:r>
    </w:p>
    <w:p>
      <w:pPr>
        <w:spacing w:after="80" w:before="0"/>
        <w:ind w:left="360" w:hanging="360"/>
      </w:pPr>
      <w:r>
        <w:rPr>
          <w:rFonts w:ascii="Times New Roman" w:cs="Times New Roman" w:eastAsia="Times New Roman" w:hAnsi="Times New Roman"/>
          <w:sz w:val="18"/>
          <w:szCs w:val="18"/>
        </w:rPr>
        <w:t xml:space="preserve">[6] S. Bertini, R. Salas, S. Chabert, L. Sobrevia, and F. Pardo, “Using machine learning to predict complications in pregnancy: A systematic review,” Frontiers in Bioengineering and Biotechnology, vol. 9, p. 1385, 2022.</w:t>
      </w:r>
    </w:p>
    <w:p>
      <w:pPr>
        <w:spacing w:after="80" w:before="0"/>
        <w:ind w:left="360" w:hanging="360"/>
      </w:pPr>
      <w:r>
        <w:rPr>
          <w:rFonts w:ascii="Times New Roman" w:cs="Times New Roman" w:eastAsia="Times New Roman" w:hAnsi="Times New Roman"/>
          <w:sz w:val="18"/>
          <w:szCs w:val="18"/>
        </w:rPr>
        <w:t xml:space="preserve">[7] M. Mehbodniya, A. J. P. Lazar, J. Webber, and D. K. Sharma, “Fetal health classification from cardiotocographic data using machine learning,” Expert Systems, vol. 39, no. 6, p. e12899, 2022.</w:t>
      </w:r>
    </w:p>
    <w:p>
      <w:pPr>
        <w:spacing w:after="80" w:before="0"/>
        <w:ind w:left="360" w:hanging="360"/>
      </w:pPr>
      <w:r>
        <w:rPr>
          <w:rFonts w:ascii="Times New Roman" w:cs="Times New Roman" w:eastAsia="Times New Roman" w:hAnsi="Times New Roman"/>
          <w:sz w:val="18"/>
          <w:szCs w:val="18"/>
        </w:rPr>
        <w:t xml:space="preserve">[8] M. A. Shaikh, T. Ahmed, and F. Islam, “Artificial Intelligence-Driven Approach for Predicting Maternal Health Risk Factors,” in Proc. IEEE Conference on Biomedical Engineering, IEEE Xplore, 2024.</w:t>
      </w:r>
    </w:p>
    <w:p>
      <w:pPr>
        <w:spacing w:after="80" w:before="0"/>
        <w:ind w:left="360" w:hanging="360"/>
      </w:pPr>
      <w:r>
        <w:rPr>
          <w:rFonts w:ascii="Times New Roman" w:cs="Times New Roman" w:eastAsia="Times New Roman" w:hAnsi="Times New Roman"/>
          <w:sz w:val="18"/>
          <w:szCs w:val="18"/>
        </w:rPr>
        <w:t xml:space="preserve">[9] R. Govender, P. Mokoena, and T. Zuva, “Machine Learning Techniques for Maternal Health Risk Prediction,” in Proc. IEEE International Conference on Computational Intelligence, IEEE Xplore, 2025.</w:t>
      </w:r>
    </w:p>
    <w:p>
      <w:pPr>
        <w:spacing w:after="80" w:before="0"/>
        <w:ind w:left="360" w:hanging="360"/>
      </w:pPr>
      <w:r>
        <w:rPr>
          <w:rFonts w:ascii="Times New Roman" w:cs="Times New Roman" w:eastAsia="Times New Roman" w:hAnsi="Times New Roman"/>
          <w:sz w:val="18"/>
          <w:szCs w:val="18"/>
        </w:rPr>
        <w:t xml:space="preserve">[10] Z. Ullah, F. Saleem, M. Jamjoom, and B. Fakieh, “Ensemble machine learning framework for predicting maternal health risk during pregnancy,” Scientific Reports, vol. 14, 2024.</w:t>
      </w:r>
    </w:p>
    <w:p>
      <w:pPr>
        <w:spacing w:after="80" w:before="0"/>
        <w:ind w:left="360" w:hanging="360"/>
      </w:pPr>
      <w:r>
        <w:rPr>
          <w:rFonts w:ascii="Times New Roman" w:cs="Times New Roman" w:eastAsia="Times New Roman" w:hAnsi="Times New Roman"/>
          <w:sz w:val="18"/>
          <w:szCs w:val="18"/>
        </w:rPr>
        <w:t xml:space="preserve">[11] K. F. Islam, M. A. Pranto, and S. Habib, “Machine Learning Models for Maternal Health Risk Prediction based on Clinical Data,” in Proc. IEEE International Conference on Computing and Communication Systems, IEEE Xplore, 2024.</w:t>
      </w:r>
    </w:p>
    <w:p>
      <w:pPr>
        <w:spacing w:after="80" w:before="0"/>
        <w:ind w:left="360" w:hanging="360"/>
      </w:pPr>
      <w:r>
        <w:rPr>
          <w:rFonts w:ascii="Times New Roman" w:cs="Times New Roman" w:eastAsia="Times New Roman" w:hAnsi="Times New Roman"/>
          <w:sz w:val="18"/>
          <w:szCs w:val="18"/>
        </w:rPr>
        <w:t xml:space="preserve">[12] I. Rafique, M. Dilawar, A. Umer, and M. A. Hassan, “Classification of Cardiotocography Data for Fetal Health Using Feature Selection Techniques,” Lecture Notes in Networks and Systems, vol. 229, Springer, Cham, 2021.</w:t>
      </w:r>
    </w:p>
    <w:p>
      <w:pPr>
        <w:spacing w:after="80" w:before="0"/>
        <w:ind w:left="360" w:hanging="360"/>
      </w:pPr>
      <w:r>
        <w:rPr>
          <w:rFonts w:ascii="Times New Roman" w:cs="Times New Roman" w:eastAsia="Times New Roman" w:hAnsi="Times New Roman"/>
          <w:sz w:val="18"/>
          <w:szCs w:val="18"/>
        </w:rPr>
        <w:t xml:space="preserve">[13] A. Kuzu and Y. Santur, “Early Diagnosis and Classification of Fetal Health Status from a Fetal Cardiotocography Dataset Using Ensemble Learning,” Diagnostics, vol. 13, no. 15, p. 2471, 2023.</w:t>
      </w:r>
    </w:p>
    <w:p>
      <w:pPr>
        <w:spacing w:after="80" w:before="0"/>
        <w:ind w:left="360" w:hanging="360"/>
      </w:pPr>
      <w:r>
        <w:rPr>
          <w:rFonts w:ascii="Times New Roman" w:cs="Times New Roman" w:eastAsia="Times New Roman" w:hAnsi="Times New Roman"/>
          <w:sz w:val="18"/>
          <w:szCs w:val="18"/>
        </w:rPr>
        <w:t xml:space="preserve">[14] A. Singha and V. Venkateswaran, “Cardiotocography Fetal Health Data Analysis Using Machine Learning,” Lecture Notes in Networks and Systems, vol. 690, Springer, Singapore, 2023.</w:t>
      </w:r>
    </w:p>
    <w:p>
      <w:pPr>
        <w:spacing w:after="80" w:before="0"/>
        <w:ind w:left="360" w:hanging="360"/>
      </w:pPr>
      <w:r>
        <w:rPr>
          <w:rFonts w:ascii="Times New Roman" w:cs="Times New Roman" w:eastAsia="Times New Roman" w:hAnsi="Times New Roman"/>
          <w:sz w:val="18"/>
          <w:szCs w:val="18"/>
        </w:rPr>
        <w:t xml:space="preserve">[15] J. Kim, S. Park, and H. Lee, “Real-time Classification of Fetal Status Based on Deep Learning and Cardiotocography Data,” Journal of Medical Systems, vol. 47, 2023.</w:t>
      </w:r>
    </w:p>
    <w:p>
      <w:pPr>
        <w:spacing w:after="80" w:before="0"/>
        <w:ind w:left="360" w:hanging="360"/>
      </w:pPr>
      <w:r>
        <w:rPr>
          <w:rFonts w:ascii="Times New Roman" w:cs="Times New Roman" w:eastAsia="Times New Roman" w:hAnsi="Times New Roman"/>
          <w:sz w:val="18"/>
          <w:szCs w:val="18"/>
        </w:rPr>
        <w:t xml:space="preserve">[16] N. V. Chawla, K. W. Bowyer, L. O. Hall, and W. P. Kegelmeyer, “SMOTE: Synthetic Minority Over-sampling Technique,” Journal of Artificial Intelligence Research, vol. 16, pp. 321–357, 2002.</w:t>
      </w:r>
    </w:p>
    <w:p>
      <w:pPr>
        <w:spacing w:after="80" w:before="0"/>
        <w:ind w:left="360" w:hanging="360"/>
      </w:pPr>
      <w:r>
        <w:rPr>
          <w:rFonts w:ascii="Times New Roman" w:cs="Times New Roman" w:eastAsia="Times New Roman" w:hAnsi="Times New Roman"/>
          <w:sz w:val="18"/>
          <w:szCs w:val="18"/>
        </w:rPr>
        <w:t xml:space="preserve">[17] T. Akiba, S. Sano, T. Yanase, T. Ohta, and M. Koyama, “Optuna: A Next-generation Hyperparameter Optimization Framework,” in Proc. 25th ACM SIGKDD, 2019.</w:t>
      </w:r>
    </w:p>
    <w:p>
      <w:pPr>
        <w:spacing w:after="80" w:before="0"/>
        <w:ind w:left="360" w:hanging="360"/>
      </w:pPr>
      <w:r>
        <w:rPr>
          <w:rFonts w:ascii="Times New Roman" w:cs="Times New Roman" w:eastAsia="Times New Roman" w:hAnsi="Times New Roman"/>
          <w:sz w:val="18"/>
          <w:szCs w:val="18"/>
        </w:rPr>
        <w:t xml:space="preserve">[18] S. M. Lundberg and S.-I. Lee, “A Unified Approach to Interpreting Model Predictions,” in Advances in Neural Information Processing Systems (NIPS), vol. 30, 2017.</w:t>
      </w:r>
    </w:p>
    <w:p>
      <w:pPr>
        <w:spacing w:after="80" w:before="0"/>
        <w:ind w:left="360" w:hanging="360"/>
      </w:pPr>
      <w:r>
        <w:rPr>
          <w:rFonts w:ascii="Times New Roman" w:cs="Times New Roman" w:eastAsia="Times New Roman" w:hAnsi="Times New Roman"/>
          <w:sz w:val="18"/>
          <w:szCs w:val="18"/>
        </w:rPr>
        <w:t xml:space="preserve">[19] P. Srinivas and R. Katarya, “hyOPTXg: OPTUNA hyper-parameter optimization framework for predicting cardiovascular disease using XGBoost,” Biomedical Signal Processing and Control, vol. 73, p. 103456, 2022.</w:t>
      </w:r>
    </w:p>
    <w:p>
      <w:pPr>
        <w:spacing w:after="80" w:before="0"/>
        <w:ind w:left="360" w:hanging="360"/>
      </w:pPr>
      <w:r>
        <w:rPr>
          <w:rFonts w:ascii="Times New Roman" w:cs="Times New Roman" w:eastAsia="Times New Roman" w:hAnsi="Times New Roman"/>
          <w:sz w:val="18"/>
          <w:szCs w:val="18"/>
        </w:rPr>
        <w:t xml:space="preserve">[20] L. Breiman, “Random Forests,” Machine Learning, vol. 45, no. 1, pp. 5–32, 2001.</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2026-04-19T08:41:07.493Z</dcterms:created>
  <dcterms:modified xsi:type="dcterms:W3CDTF">2026-04-19T08:41:07.494Z</dcterms:modified>
</cp:coreProperties>
</file>

<file path=docProps/custom.xml><?xml version="1.0" encoding="utf-8"?>
<Properties xmlns="http://schemas.openxmlformats.org/officeDocument/2006/custom-properties" xmlns:vt="http://schemas.openxmlformats.org/officeDocument/2006/docPropsVTypes"/>
</file>