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200" w:before="0"/>
        <w:jc w:val="center"/>
      </w:pPr>
      <w:r>
        <w:rPr>
          <w:rFonts w:ascii="Arial" w:cs="Arial" w:eastAsia="Arial" w:hAnsi="Arial"/>
          <w:b/>
          <w:bCs/>
          <w:color w:val="1A3A5C"/>
          <w:sz w:val="52"/>
          <w:szCs w:val="52"/>
        </w:rPr>
        <w:t xml:space="preserve">AWS SRE Incident Automation</w:t>
      </w:r>
    </w:p>
    <w:p>
      <w:pPr>
        <w:spacing w:after="160" w:before="0"/>
        <w:jc w:val="center"/>
      </w:pPr>
      <w:r>
        <w:rPr>
          <w:rFonts w:ascii="Arial" w:cs="Arial" w:eastAsia="Arial" w:hAnsi="Arial"/>
          <w:b w:val="false"/>
          <w:bCs w:val="false"/>
          <w:i/>
          <w:iCs/>
          <w:color w:val="0073CF"/>
          <w:sz w:val="28"/>
          <w:szCs w:val="28"/>
        </w:rPr>
        <w:t xml:space="preserve">Technical Project Overview &amp; Architecture Guide</w:t>
      </w:r>
    </w:p>
    <w:p>
      <w:pPr>
        <w:spacing w:after="200" w:before="0"/>
        <w:jc w:val="center"/>
      </w:pPr>
      <w:r>
        <w:rPr>
          <w:rFonts w:ascii="Arial" w:cs="Arial" w:eastAsia="Arial" w:hAnsi="Arial"/>
          <w:color w:val="0073CF"/>
          <w:sz w:val="22"/>
          <w:szCs w:val="22"/>
        </w:rPr>
        <w:t xml:space="preserve">━━━━━━━━━━━━━━━━━━━━━━━━━━━━━━━━━━━━━━━━━━━━━━━━━━━━━━━</w:t>
      </w:r>
    </w:p>
    <w:p>
      <w:pPr>
        <w:spacing w:after="80" w:before="0"/>
        <w:jc w:val="center"/>
      </w:pPr>
      <w:r>
        <w:rPr>
          <w:rFonts w:ascii="Arial" w:cs="Arial" w:eastAsia="Arial" w:hAnsi="Arial"/>
          <w:color w:val="555555"/>
          <w:sz w:val="22"/>
          <w:szCs w:val="22"/>
        </w:rPr>
        <w:t xml:space="preserve">Prepared for: Client Review</w:t>
      </w:r>
    </w:p>
    <w:p>
      <w:pPr>
        <w:spacing w:after="80" w:before="0"/>
        <w:jc w:val="center"/>
      </w:pPr>
      <w:r>
        <w:rPr>
          <w:rFonts w:ascii="Arial" w:cs="Arial" w:eastAsia="Arial" w:hAnsi="Arial"/>
          <w:color w:val="555555"/>
          <w:sz w:val="22"/>
          <w:szCs w:val="22"/>
        </w:rPr>
        <w:t xml:space="preserve">Classification: Internal Technical Reference</w:t>
      </w:r>
    </w:p>
    <w:p>
      <w:pPr>
        <w:spacing w:after="0" w:before="0"/>
        <w:jc w:val="center"/>
      </w:pPr>
      <w:r>
        <w:rPr>
          <w:rFonts w:ascii="Arial" w:cs="Arial" w:eastAsia="Arial" w:hAnsi="Arial"/>
          <w:color w:val="555555"/>
          <w:sz w:val="22"/>
          <w:szCs w:val="22"/>
        </w:rPr>
        <w:t xml:space="preserve">Version: 1.0  |  April 2026</w:t>
      </w:r>
    </w:p>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1. Executive Summary</w:t>
      </w:r>
    </w:p>
    <w:p>
      <w:pPr>
        <w:pBdr>
          <w:left w:val="single" w:color="0073CF" w:sz="12"/>
        </w:pBdr>
        <w:shd w:fill="EBF4FB" w:val="clear"/>
        <w:spacing w:after="120" w:before="120"/>
        <w:ind w:left="360" w:right="360"/>
      </w:pPr>
      <w:r>
        <w:rPr>
          <w:rFonts w:ascii="Arial" w:cs="Arial" w:eastAsia="Arial" w:hAnsi="Arial"/>
          <w:b w:val="false"/>
          <w:bCs w:val="false"/>
          <w:i/>
          <w:iCs/>
          <w:color w:val="1A3A5C"/>
          <w:sz w:val="21"/>
          <w:szCs w:val="21"/>
        </w:rPr>
        <w:t xml:space="preserve">This document provides a comprehensive technical walkthrough of the AWS SRE Incident Automation framework — a production-grade toolkit built to automate incident triage, accelerate recovery, and enforce observability standards across AWS-hosted workloads.</w:t>
      </w:r>
    </w:p>
    <w:p>
      <w:pPr>
        <w:spacing w:after="0" w:before="80"/>
      </w:pPr>
      <w:r>
        <w:t xml:space="preserve"/>
      </w:r>
    </w:p>
    <w:p>
      <w:pPr>
        <w:pStyle w:val="Heading2"/>
        <w:spacing w:after="140" w:before="280"/>
      </w:pPr>
      <w:r>
        <w:rPr>
          <w:rFonts w:ascii="Arial" w:cs="Arial" w:eastAsia="Arial" w:hAnsi="Arial"/>
          <w:b/>
          <w:bCs/>
          <w:color w:val="0073CF"/>
          <w:sz w:val="28"/>
          <w:szCs w:val="28"/>
        </w:rPr>
        <w:t xml:space="preserve">1.1 What This Project Does</w:t>
      </w:r>
    </w:p>
    <w:p>
      <w:pPr>
        <w:spacing w:after="80" w:before="80"/>
        <w:jc w:val="left"/>
      </w:pPr>
      <w:r>
        <w:rPr>
          <w:rFonts w:ascii="Arial" w:cs="Arial" w:eastAsia="Arial" w:hAnsi="Arial"/>
          <w:b w:val="false"/>
          <w:bCs w:val="false"/>
          <w:i w:val="false"/>
          <w:iCs w:val="false"/>
          <w:color w:val="1E1E1E"/>
          <w:sz w:val="22"/>
          <w:szCs w:val="22"/>
        </w:rPr>
        <w:t xml:space="preserve">The AWS SRE Incident Automation project is a self-contained DevOps/SRE platform that combines three core disciplines into a single, cohesive framework:</w:t>
      </w:r>
    </w:p>
    <w:p>
      <w:pPr>
        <w:pStyle w:val="ListParagraph"/>
        <w:numPr>
          <w:ilvl w:val="0"/>
          <w:numId w:val="2"/>
        </w:numPr>
        <w:spacing w:after="60" w:before="60"/>
      </w:pPr>
      <w:r>
        <w:rPr>
          <w:rFonts w:ascii="Arial" w:cs="Arial" w:eastAsia="Arial" w:hAnsi="Arial"/>
          <w:color w:val="1E1E1E"/>
          <w:sz w:val="22"/>
          <w:szCs w:val="22"/>
        </w:rPr>
        <w:t xml:space="preserve">Infrastructure as Code (IaC) — AWS environment is fully provisioned via modular Terraform (VPC, EKS, IAM, CloudWatch).</w:t>
      </w:r>
    </w:p>
    <w:p>
      <w:pPr>
        <w:pStyle w:val="ListParagraph"/>
        <w:numPr>
          <w:ilvl w:val="0"/>
          <w:numId w:val="2"/>
        </w:numPr>
        <w:spacing w:after="60" w:before="60"/>
      </w:pPr>
      <w:r>
        <w:rPr>
          <w:rFonts w:ascii="Arial" w:cs="Arial" w:eastAsia="Arial" w:hAnsi="Arial"/>
          <w:color w:val="1E1E1E"/>
          <w:sz w:val="22"/>
          <w:szCs w:val="22"/>
        </w:rPr>
        <w:t xml:space="preserve">Automated Incident Response — Python scripts detect anomalies, correlate signals, and trigger self-healing actions without human intervention.</w:t>
      </w:r>
    </w:p>
    <w:p>
      <w:pPr>
        <w:pStyle w:val="ListParagraph"/>
        <w:numPr>
          <w:ilvl w:val="0"/>
          <w:numId w:val="2"/>
        </w:numPr>
        <w:spacing w:after="60" w:before="60"/>
      </w:pPr>
      <w:r>
        <w:rPr>
          <w:rFonts w:ascii="Arial" w:cs="Arial" w:eastAsia="Arial" w:hAnsi="Arial"/>
          <w:color w:val="1E1E1E"/>
          <w:sz w:val="22"/>
          <w:szCs w:val="22"/>
        </w:rPr>
        <w:t xml:space="preserve">Observability &amp; Alerting — CloudWatch alarms, SNS routing, and Grafana dashboards provide end-to-end visibility across the stack.</w:t>
      </w:r>
    </w:p>
    <w:p>
      <w:pPr>
        <w:spacing w:after="0" w:before="80"/>
      </w:pPr>
      <w:r>
        <w:t xml:space="preserve"/>
      </w:r>
    </w:p>
    <w:p>
      <w:pPr>
        <w:pStyle w:val="Heading2"/>
        <w:spacing w:after="140" w:before="280"/>
      </w:pPr>
      <w:r>
        <w:rPr>
          <w:rFonts w:ascii="Arial" w:cs="Arial" w:eastAsia="Arial" w:hAnsi="Arial"/>
          <w:b/>
          <w:bCs/>
          <w:color w:val="0073CF"/>
          <w:sz w:val="28"/>
          <w:szCs w:val="28"/>
        </w:rPr>
        <w:t xml:space="preserve">1.2 Business Value — SRE Metrics</w:t>
      </w:r>
    </w:p>
    <w:p>
      <w:pPr>
        <w:spacing w:after="80" w:before="80"/>
        <w:jc w:val="left"/>
      </w:pPr>
      <w:r>
        <w:rPr>
          <w:rFonts w:ascii="Arial" w:cs="Arial" w:eastAsia="Arial" w:hAnsi="Arial"/>
          <w:b w:val="false"/>
          <w:bCs w:val="false"/>
          <w:i w:val="false"/>
          <w:iCs w:val="false"/>
          <w:color w:val="1E1E1E"/>
          <w:sz w:val="22"/>
          <w:szCs w:val="22"/>
        </w:rPr>
        <w:t xml:space="preserve">From a ServiceNow or ITSM perspective, this framework directly targets the two most critical SRE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rPr>
          <w:tblHeader/>
        </w:trPr>
        <w:tc>
          <w:tcPr>
            <w:tcW w:type="dxa" w:w="252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342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Without Automation</w:t>
            </w:r>
          </w:p>
        </w:tc>
        <w:tc>
          <w:tcPr>
            <w:tcW w:type="dxa" w:w="342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With This Framework</w:t>
            </w:r>
          </w:p>
        </w:tc>
      </w:tr>
      <w:tr>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MTTD (Mean Time to Detect)</w:t>
            </w:r>
          </w:p>
        </w:tc>
        <w:tc>
          <w:tcPr>
            <w:tcW w:type="dxa" w:w="34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8–15 minutes (manual alert review)</w:t>
            </w:r>
          </w:p>
        </w:tc>
        <w:tc>
          <w:tcPr>
            <w:tcW w:type="dxa" w:w="34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&lt; 2 minutes (CloudWatch + auto-triage)</w:t>
            </w:r>
          </w:p>
        </w:tc>
      </w:tr>
      <w:tr>
        <w:tc>
          <w:tcPr>
            <w:tcW w:type="dxa" w:w="25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MTTR (Mean Time to Recovery)</w:t>
            </w:r>
          </w:p>
        </w:tc>
        <w:tc>
          <w:tcPr>
            <w:tcW w:type="dxa" w:w="34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30–90 minutes</w:t>
            </w:r>
          </w:p>
        </w:tc>
        <w:tc>
          <w:tcPr>
            <w:tcW w:type="dxa" w:w="34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5–20 minutes (self-healing scripts)</w:t>
            </w:r>
          </w:p>
        </w:tc>
      </w:tr>
      <w:tr>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Incident Volume (repeat)</w:t>
            </w:r>
          </w:p>
        </w:tc>
        <w:tc>
          <w:tcPr>
            <w:tcW w:type="dxa" w:w="34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High — same patterns recur</w:t>
            </w:r>
          </w:p>
        </w:tc>
        <w:tc>
          <w:tcPr>
            <w:tcW w:type="dxa" w:w="34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Reduced — root cause auto-resolved</w:t>
            </w:r>
          </w:p>
        </w:tc>
      </w:tr>
      <w:tr>
        <w:tc>
          <w:tcPr>
            <w:tcW w:type="dxa" w:w="25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On-call Fatigue</w:t>
            </w:r>
          </w:p>
        </w:tc>
        <w:tc>
          <w:tcPr>
            <w:tcW w:type="dxa" w:w="34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High — manual first-response steps</w:t>
            </w:r>
          </w:p>
        </w:tc>
        <w:tc>
          <w:tcPr>
            <w:tcW w:type="dxa" w:w="34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Low — first 15 min automated</w:t>
            </w:r>
          </w:p>
        </w:tc>
      </w:tr>
    </w:tbl>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2. System Architecture</w:t>
      </w:r>
    </w:p>
    <w:p>
      <w:pPr>
        <w:pStyle w:val="Heading2"/>
        <w:spacing w:after="140" w:before="280"/>
      </w:pPr>
      <w:r>
        <w:rPr>
          <w:rFonts w:ascii="Arial" w:cs="Arial" w:eastAsia="Arial" w:hAnsi="Arial"/>
          <w:b/>
          <w:bCs/>
          <w:color w:val="0073CF"/>
          <w:sz w:val="28"/>
          <w:szCs w:val="28"/>
        </w:rPr>
        <w:t xml:space="preserve">2.1 High-Level Architecture Diagram</w:t>
      </w:r>
    </w:p>
    <w:p>
      <w:pPr>
        <w:spacing w:after="80" w:before="80"/>
        <w:jc w:val="left"/>
      </w:pPr>
      <w:r>
        <w:rPr>
          <w:rFonts w:ascii="Arial" w:cs="Arial" w:eastAsia="Arial" w:hAnsi="Arial"/>
          <w:b w:val="false"/>
          <w:bCs w:val="false"/>
          <w:i w:val="false"/>
          <w:iCs w:val="false"/>
          <w:color w:val="1E1E1E"/>
          <w:sz w:val="22"/>
          <w:szCs w:val="22"/>
        </w:rPr>
        <w:t xml:space="preserve">The diagram below illustrates how all components interact within the AWS account boundary. Traffic flows from ingress, through the EKS cluster, into monitoring and alerting pipelines, and back through self-healing automation.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3CF" w:sz="1"/>
              <w:left w:val="single" w:color="0073CF" w:sz="1"/>
              <w:bottom w:val="single" w:color="0073CF" w:sz="1"/>
              <w:right w:val="single" w:color="0073CF"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w:t>
            </w:r>
          </w:p>
          <w:p>
            <w:pPr>
              <w:spacing w:after="0" w:before="0"/>
            </w:pPr>
            <w:r>
              <w:rPr>
                <w:rFonts w:ascii="Courier New" w:cs="Courier New" w:eastAsia="Courier New" w:hAnsi="Courier New"/>
                <w:color w:val="1A3A5C"/>
                <w:sz w:val="17"/>
                <w:szCs w:val="17"/>
              </w:rPr>
              <w:t xml:space="preserve">│                          AWS Account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  │</w:t>
            </w:r>
          </w:p>
          <w:p>
            <w:pPr>
              <w:spacing w:after="0" w:before="0"/>
            </w:pPr>
            <w:r>
              <w:rPr>
                <w:rFonts w:ascii="Courier New" w:cs="Courier New" w:eastAsia="Courier New" w:hAnsi="Courier New"/>
                <w:color w:val="1A3A5C"/>
                <w:sz w:val="17"/>
                <w:szCs w:val="17"/>
              </w:rPr>
              <w:t xml:space="preserve">│   │                    VPC  10.0.0.0/16                          │  │</w:t>
            </w:r>
          </w:p>
          <w:p>
            <w:pPr>
              <w:spacing w:after="0" w:before="0"/>
            </w:pPr>
            <w:r>
              <w:rPr>
                <w:rFonts w:ascii="Courier New" w:cs="Courier New" w:eastAsia="Courier New" w:hAnsi="Courier New"/>
                <w:color w:val="1A3A5C"/>
                <w:sz w:val="17"/>
                <w:szCs w:val="17"/>
              </w:rPr>
              <w:t xml:space="preserve">│   │                                                               │  │</w:t>
            </w:r>
          </w:p>
          <w:p>
            <w:pPr>
              <w:spacing w:after="0" w:before="0"/>
            </w:pPr>
            <w:r>
              <w:rPr>
                <w:rFonts w:ascii="Courier New" w:cs="Courier New" w:eastAsia="Courier New" w:hAnsi="Courier New"/>
                <w:color w:val="1A3A5C"/>
                <w:sz w:val="17"/>
                <w:szCs w:val="17"/>
              </w:rPr>
              <w:t xml:space="preserve">│   │  ┌────────────┐   ┌─────────────────┐   ┌────────────────┐  │  │</w:t>
            </w:r>
          </w:p>
          <w:p>
            <w:pPr>
              <w:spacing w:after="0" w:before="0"/>
            </w:pPr>
            <w:r>
              <w:rPr>
                <w:rFonts w:ascii="Courier New" w:cs="Courier New" w:eastAsia="Courier New" w:hAnsi="Courier New"/>
                <w:color w:val="1A3A5C"/>
                <w:sz w:val="17"/>
                <w:szCs w:val="17"/>
              </w:rPr>
              <w:t xml:space="preserve">│   │  │Public Subnet│   │ Private Subnet  │   │ Private Subnet │  │  │</w:t>
            </w:r>
          </w:p>
          <w:p>
            <w:pPr>
              <w:spacing w:after="0" w:before="0"/>
            </w:pPr>
            <w:r>
              <w:rPr>
                <w:rFonts w:ascii="Courier New" w:cs="Courier New" w:eastAsia="Courier New" w:hAnsi="Courier New"/>
                <w:color w:val="1A3A5C"/>
                <w:sz w:val="17"/>
                <w:szCs w:val="17"/>
              </w:rPr>
              <w:t xml:space="preserve">│   │  │10.0.1.0/24 │   │  10.0.10.0/24   │   │  10.0.11.0/24  │  │  │</w:t>
            </w:r>
          </w:p>
          <w:p>
            <w:pPr>
              <w:spacing w:after="0" w:before="0"/>
            </w:pPr>
            <w:r>
              <w:rPr>
                <w:rFonts w:ascii="Courier New" w:cs="Courier New" w:eastAsia="Courier New" w:hAnsi="Courier New"/>
                <w:color w:val="1A3A5C"/>
                <w:sz w:val="17"/>
                <w:szCs w:val="17"/>
              </w:rPr>
              <w:t xml:space="preserve">│   │  │  (NAT GW)  │   │   EKS Nodes     │   │   RDS / DB     │  │  │</w:t>
            </w:r>
          </w:p>
          <w:p>
            <w:pPr>
              <w:spacing w:after="0" w:before="0"/>
            </w:pPr>
            <w:r>
              <w:rPr>
                <w:rFonts w:ascii="Courier New" w:cs="Courier New" w:eastAsia="Courier New" w:hAnsi="Courier New"/>
                <w:color w:val="1A3A5C"/>
                <w:sz w:val="17"/>
                <w:szCs w:val="17"/>
              </w:rPr>
              <w:t xml:space="preserve">│   │  └─────┬──────┘   └────────┬────────┘   └────────────────┘  │  │</w:t>
            </w:r>
          </w:p>
          <w:p>
            <w:pPr>
              <w:spacing w:after="0" w:before="0"/>
            </w:pPr>
            <w:r>
              <w:rPr>
                <w:rFonts w:ascii="Courier New" w:cs="Courier New" w:eastAsia="Courier New" w:hAnsi="Courier New"/>
                <w:color w:val="1A3A5C"/>
                <w:sz w:val="17"/>
                <w:szCs w:val="17"/>
              </w:rPr>
              <w:t xml:space="preserve">│   │        └──────────────────┬┘                                 │  │</w:t>
            </w:r>
          </w:p>
          <w:p>
            <w:pPr>
              <w:spacing w:after="0" w:before="0"/>
            </w:pPr>
            <w:r>
              <w:rPr>
                <w:rFonts w:ascii="Courier New" w:cs="Courier New" w:eastAsia="Courier New" w:hAnsi="Courier New"/>
                <w:color w:val="1A3A5C"/>
                <w:sz w:val="17"/>
                <w:szCs w:val="17"/>
              </w:rPr>
              <w:t xml:space="preserve">│   │              ┌────────────▼──────────────────────────┐       │  │</w:t>
            </w:r>
          </w:p>
          <w:p>
            <w:pPr>
              <w:spacing w:after="0" w:before="0"/>
            </w:pPr>
            <w:r>
              <w:rPr>
                <w:rFonts w:ascii="Courier New" w:cs="Courier New" w:eastAsia="Courier New" w:hAnsi="Courier New"/>
                <w:color w:val="1A3A5C"/>
                <w:sz w:val="17"/>
                <w:szCs w:val="17"/>
              </w:rPr>
              <w:t xml:space="preserve">│   │              │           EKS Cluster                 │       │  │</w:t>
            </w:r>
          </w:p>
          <w:p>
            <w:pPr>
              <w:spacing w:after="0" w:before="0"/>
            </w:pPr>
            <w:r>
              <w:rPr>
                <w:rFonts w:ascii="Courier New" w:cs="Courier New" w:eastAsia="Courier New" w:hAnsi="Courier New"/>
                <w:color w:val="1A3A5C"/>
                <w:sz w:val="17"/>
                <w:szCs w:val="17"/>
              </w:rPr>
              <w:t xml:space="preserve">│   │              │  System Pool | App Pool | Spot Pool   │       │  │</w:t>
            </w:r>
          </w:p>
          <w:p>
            <w:pPr>
              <w:spacing w:after="0" w:before="0"/>
            </w:pPr>
            <w:r>
              <w:rPr>
                <w:rFonts w:ascii="Courier New" w:cs="Courier New" w:eastAsia="Courier New" w:hAnsi="Courier New"/>
                <w:color w:val="1A3A5C"/>
                <w:sz w:val="17"/>
                <w:szCs w:val="17"/>
              </w:rPr>
              <w:t xml:space="preserve">│   │              └───────────────────────────────────────┘       │  │</w:t>
            </w:r>
          </w:p>
          <w:p>
            <w:pPr>
              <w:spacing w:after="0" w:before="0"/>
            </w:pPr>
            <w:r>
              <w:rPr>
                <w:rFonts w:ascii="Courier New" w:cs="Courier New" w:eastAsia="Courier New" w:hAnsi="Courier New"/>
                <w:color w:val="1A3A5C"/>
                <w:sz w:val="17"/>
                <w:szCs w:val="17"/>
              </w:rPr>
              <w:t xml:space="preserve">│   └──────────────────────────────────────────────────────────────┘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   ┌─────────────────┐   ┌──────────────────────┐ │</w:t>
            </w:r>
          </w:p>
          <w:p>
            <w:pPr>
              <w:spacing w:after="0" w:before="0"/>
            </w:pPr>
            <w:r>
              <w:rPr>
                <w:rFonts w:ascii="Courier New" w:cs="Courier New" w:eastAsia="Courier New" w:hAnsi="Courier New"/>
                <w:color w:val="1A3A5C"/>
                <w:sz w:val="17"/>
                <w:szCs w:val="17"/>
              </w:rPr>
              <w:t xml:space="preserve">│  │  CloudWatch  │   │   SNS Topics    │   │  HashiCorp Vault     │ │</w:t>
            </w:r>
          </w:p>
          <w:p>
            <w:pPr>
              <w:spacing w:after="0" w:before="0"/>
            </w:pPr>
            <w:r>
              <w:rPr>
                <w:rFonts w:ascii="Courier New" w:cs="Courier New" w:eastAsia="Courier New" w:hAnsi="Courier New"/>
                <w:color w:val="1A3A5C"/>
                <w:sz w:val="17"/>
                <w:szCs w:val="17"/>
              </w:rPr>
              <w:t xml:space="preserve">│  │  Alarms +    ├──►│ PagerDuty/Slack │   │  (Secrets Mgmt)     │ │</w:t>
            </w:r>
          </w:p>
          <w:p>
            <w:pPr>
              <w:spacing w:after="0" w:before="0"/>
            </w:pPr>
            <w:r>
              <w:rPr>
                <w:rFonts w:ascii="Courier New" w:cs="Courier New" w:eastAsia="Courier New" w:hAnsi="Courier New"/>
                <w:color w:val="1A3A5C"/>
                <w:sz w:val="17"/>
                <w:szCs w:val="17"/>
              </w:rPr>
              <w:t xml:space="preserve">│  │  Dashboards  │   └─────────────────┘   └──────────────────────┘ │</w:t>
            </w:r>
          </w:p>
          <w:p>
            <w:pPr>
              <w:spacing w:after="0" w:before="0"/>
            </w:pPr>
            <w:r>
              <w:rPr>
                <w:rFonts w:ascii="Courier New" w:cs="Courier New" w:eastAsia="Courier New" w:hAnsi="Courier New"/>
                <w:color w:val="1A3A5C"/>
                <w:sz w:val="17"/>
                <w:szCs w:val="17"/>
              </w:rPr>
              <w:t xml:space="preserve">│  └──────┬───────┘                                                   │</w:t>
            </w:r>
          </w:p>
          <w:p>
            <w:pPr>
              <w:spacing w:after="0" w:before="0"/>
            </w:pPr>
            <w:r>
              <w:rPr>
                <w:rFonts w:ascii="Courier New" w:cs="Courier New" w:eastAsia="Courier New" w:hAnsi="Courier New"/>
                <w:color w:val="1A3A5C"/>
                <w:sz w:val="17"/>
                <w:szCs w:val="17"/>
              </w:rPr>
              <w:t xml:space="preserve">│         │  alert_handler.py                                         │</w:t>
            </w:r>
          </w:p>
          <w:p>
            <w:pPr>
              <w:spacing w:after="0" w:before="0"/>
            </w:pPr>
            <w:r>
              <w:rPr>
                <w:rFonts w:ascii="Courier New" w:cs="Courier New" w:eastAsia="Courier New" w:hAnsi="Courier New"/>
                <w:color w:val="1A3A5C"/>
                <w:sz w:val="17"/>
                <w:szCs w:val="17"/>
              </w:rPr>
              <w:t xml:space="preserve">│         ▼  incident_triage.py                                       │</w:t>
            </w:r>
          </w:p>
          <w:p>
            <w:pPr>
              <w:spacing w:after="0" w:before="0"/>
            </w:pPr>
            <w:r>
              <w:rPr>
                <w:rFonts w:ascii="Courier New" w:cs="Courier New" w:eastAsia="Courier New" w:hAnsi="Courier New"/>
                <w:color w:val="1A3A5C"/>
                <w:sz w:val="17"/>
                <w:szCs w:val="17"/>
              </w:rPr>
              <w:t xml:space="preserve">│  ┌──────────────────────────────────────────────────────────────┐  │</w:t>
            </w:r>
          </w:p>
          <w:p>
            <w:pPr>
              <w:spacing w:after="0" w:before="0"/>
            </w:pPr>
            <w:r>
              <w:rPr>
                <w:rFonts w:ascii="Courier New" w:cs="Courier New" w:eastAsia="Courier New" w:hAnsi="Courier New"/>
                <w:color w:val="1A3A5C"/>
                <w:sz w:val="17"/>
                <w:szCs w:val="17"/>
              </w:rPr>
              <w:t xml:space="preserve">│  │              Self-Healing Automation Layer                    │  │</w:t>
            </w:r>
          </w:p>
          <w:p>
            <w:pPr>
              <w:spacing w:after="0" w:before="0"/>
            </w:pPr>
            <w:r>
              <w:rPr>
                <w:rFonts w:ascii="Courier New" w:cs="Courier New" w:eastAsia="Courier New" w:hAnsi="Courier New"/>
                <w:color w:val="1A3A5C"/>
                <w:sz w:val="17"/>
                <w:szCs w:val="17"/>
              </w:rPr>
              <w:t xml:space="preserve">│  │   Pod Restart  | Node Cordon  | Rollback  | Scale-Out         │  │</w:t>
            </w:r>
          </w:p>
          <w:p>
            <w:pPr>
              <w:spacing w:after="0" w:before="0"/>
            </w:pPr>
            <w:r>
              <w:rPr>
                <w:rFonts w:ascii="Courier New" w:cs="Courier New" w:eastAsia="Courier New" w:hAnsi="Courier New"/>
                <w:color w:val="1A3A5C"/>
                <w:sz w:val="17"/>
                <w:szCs w:val="17"/>
              </w:rPr>
              <w:t xml:space="preserve">│  └──────────────────────────────────────────────────────────────┘  │</w:t>
            </w:r>
          </w:p>
          <w:p>
            <w:pPr>
              <w:spacing w:after="0" w:before="0"/>
            </w:pPr>
            <w:r>
              <w:rPr>
                <w:rFonts w:ascii="Courier New" w:cs="Courier New" w:eastAsia="Courier New" w:hAnsi="Courier New"/>
                <w:color w:val="1A3A5C"/>
                <w:sz w:val="17"/>
                <w:szCs w:val="17"/>
              </w:rPr>
              <w:t xml:space="preserve">└─────────────────────────────────────────────────────────────────────┘</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2.2 Network Topology Explained</w:t>
      </w:r>
    </w:p>
    <w:p>
      <w:pPr>
        <w:spacing w:after="80" w:before="80"/>
        <w:jc w:val="left"/>
      </w:pPr>
      <w:r>
        <w:rPr>
          <w:rFonts w:ascii="Arial" w:cs="Arial" w:eastAsia="Arial" w:hAnsi="Arial"/>
          <w:b w:val="false"/>
          <w:bCs w:val="false"/>
          <w:i w:val="false"/>
          <w:iCs w:val="false"/>
          <w:color w:val="1E1E1E"/>
          <w:sz w:val="22"/>
          <w:szCs w:val="22"/>
        </w:rPr>
        <w:t xml:space="preserve">The VPC is structured with a classic 3-tier network design, which is the industry standard for production AWS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520"/>
        <w:gridCol w:w="3720"/>
      </w:tblGrid>
      <w:tr>
        <w:trPr>
          <w:tblHeader/>
        </w:trPr>
        <w:tc>
          <w:tcPr>
            <w:tcW w:type="dxa" w:w="15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Subnet</w:t>
            </w:r>
          </w:p>
        </w:tc>
        <w:tc>
          <w:tcPr>
            <w:tcW w:type="dxa" w:w="15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CIDR</w:t>
            </w:r>
          </w:p>
        </w:tc>
        <w:tc>
          <w:tcPr>
            <w:tcW w:type="dxa" w:w="252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Components</w:t>
            </w:r>
          </w:p>
        </w:tc>
        <w:tc>
          <w:tcPr>
            <w:tcW w:type="dxa" w:w="372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15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Public</w:t>
            </w:r>
          </w:p>
        </w:tc>
        <w:tc>
          <w:tcPr>
            <w:tcW w:type="dxa" w:w="15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10.0.1.0/24</w:t>
            </w:r>
          </w:p>
        </w:tc>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NAT Gateway, ALB</w:t>
            </w:r>
          </w:p>
        </w:tc>
        <w:tc>
          <w:tcPr>
            <w:tcW w:type="dxa" w:w="37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Handles inbound traffic; NAT allows private subnets to reach the internet outbound only</w:t>
            </w:r>
          </w:p>
        </w:tc>
      </w:tr>
      <w:tr>
        <w:tc>
          <w:tcPr>
            <w:tcW w:type="dxa" w:w="15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Private (App)</w:t>
            </w:r>
          </w:p>
        </w:tc>
        <w:tc>
          <w:tcPr>
            <w:tcW w:type="dxa" w:w="15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10.0.10.0/24</w:t>
            </w:r>
          </w:p>
        </w:tc>
        <w:tc>
          <w:tcPr>
            <w:tcW w:type="dxa" w:w="25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EKS Worker Nodes</w:t>
            </w:r>
          </w:p>
        </w:tc>
        <w:tc>
          <w:tcPr>
            <w:tcW w:type="dxa" w:w="37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Application compute; no direct internet exposure</w:t>
            </w:r>
          </w:p>
        </w:tc>
      </w:tr>
      <w:tr>
        <w:tc>
          <w:tcPr>
            <w:tcW w:type="dxa" w:w="15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Private (Data)</w:t>
            </w:r>
          </w:p>
        </w:tc>
        <w:tc>
          <w:tcPr>
            <w:tcW w:type="dxa" w:w="15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10.0.11.0/24</w:t>
            </w:r>
          </w:p>
        </w:tc>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RDS, ElastiCache</w:t>
            </w:r>
          </w:p>
        </w:tc>
        <w:tc>
          <w:tcPr>
            <w:tcW w:type="dxa" w:w="37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Data tier; isolated from public access</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2.3 EKS Node Pool Strategy</w:t>
      </w:r>
    </w:p>
    <w:p>
      <w:pPr>
        <w:spacing w:after="80" w:before="80"/>
        <w:jc w:val="left"/>
      </w:pPr>
      <w:r>
        <w:rPr>
          <w:rFonts w:ascii="Arial" w:cs="Arial" w:eastAsia="Arial" w:hAnsi="Arial"/>
          <w:b w:val="false"/>
          <w:bCs w:val="false"/>
          <w:i w:val="false"/>
          <w:iCs w:val="false"/>
          <w:color w:val="1E1E1E"/>
          <w:sz w:val="22"/>
          <w:szCs w:val="22"/>
        </w:rPr>
        <w:t xml:space="preserve">The EKS cluster uses three dedicated node groups, each optimized for a specific workload category:</w:t>
      </w:r>
    </w:p>
    <w:p>
      <w:pPr>
        <w:pStyle w:val="ListParagraph"/>
        <w:numPr>
          <w:ilvl w:val="0"/>
          <w:numId w:val="2"/>
        </w:numPr>
        <w:spacing w:after="60" w:before="60"/>
      </w:pPr>
      <w:r>
        <w:rPr>
          <w:rFonts w:ascii="Arial" w:cs="Arial" w:eastAsia="Arial" w:hAnsi="Arial"/>
          <w:color w:val="1E1E1E"/>
          <w:sz w:val="22"/>
          <w:szCs w:val="22"/>
        </w:rPr>
        <w:t xml:space="preserve">System Pool — Reserved for Kubernetes system components (CoreDNS, kube-proxy, metrics-server). Ensures cluster control-plane stability is never impacted by application workloads.</w:t>
      </w:r>
    </w:p>
    <w:p>
      <w:pPr>
        <w:pStyle w:val="ListParagraph"/>
        <w:numPr>
          <w:ilvl w:val="0"/>
          <w:numId w:val="2"/>
        </w:numPr>
        <w:spacing w:after="60" w:before="60"/>
      </w:pPr>
      <w:r>
        <w:rPr>
          <w:rFonts w:ascii="Arial" w:cs="Arial" w:eastAsia="Arial" w:hAnsi="Arial"/>
          <w:color w:val="1E1E1E"/>
          <w:sz w:val="22"/>
          <w:szCs w:val="22"/>
        </w:rPr>
        <w:t xml:space="preserve">Application Pool — On-demand EC2 instances for production services. Guaranteed capacity; no interruption risk.</w:t>
      </w:r>
    </w:p>
    <w:p>
      <w:pPr>
        <w:pStyle w:val="ListParagraph"/>
        <w:numPr>
          <w:ilvl w:val="0"/>
          <w:numId w:val="2"/>
        </w:numPr>
        <w:spacing w:after="60" w:before="60"/>
      </w:pPr>
      <w:r>
        <w:rPr>
          <w:rFonts w:ascii="Arial" w:cs="Arial" w:eastAsia="Arial" w:hAnsi="Arial"/>
          <w:color w:val="1E1E1E"/>
          <w:sz w:val="22"/>
          <w:szCs w:val="22"/>
        </w:rPr>
        <w:t xml:space="preserve">Spot Pool — AWS Spot Instances for batch, non-critical, or cost-sensitive workloads. Provides up to 90% cost savings with graceful eviction handling.</w:t>
      </w:r>
    </w:p>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3. Repository Structure &amp; Component Breakdown</w:t>
      </w:r>
    </w:p>
    <w:p>
      <w:pPr>
        <w:pBdr>
          <w:left w:val="single" w:color="0073CF" w:sz="12"/>
        </w:pBdr>
        <w:shd w:fill="EBF4FB" w:val="clear"/>
        <w:spacing w:after="120" w:before="120"/>
        <w:ind w:left="360" w:right="360"/>
      </w:pPr>
      <w:r>
        <w:rPr>
          <w:rFonts w:ascii="Arial" w:cs="Arial" w:eastAsia="Arial" w:hAnsi="Arial"/>
          <w:b w:val="false"/>
          <w:bCs w:val="false"/>
          <w:i/>
          <w:iCs/>
          <w:color w:val="1A3A5C"/>
          <w:sz w:val="21"/>
          <w:szCs w:val="21"/>
        </w:rPr>
        <w:t xml:space="preserve">Think of this repository as three layers: Infrastructure (Terraform), Automation (Python/Bash), and Observability (CloudWatch + Grafana). Each layer is self-contained and independently deployable.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3CF" w:sz="1"/>
              <w:left w:val="single" w:color="0073CF" w:sz="1"/>
              <w:bottom w:val="single" w:color="0073CF" w:sz="1"/>
              <w:right w:val="single" w:color="0073CF"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aws-sre-incident-automation/</w:t>
            </w:r>
          </w:p>
          <w:p>
            <w:pPr>
              <w:spacing w:after="0" w:before="0"/>
            </w:pPr>
            <w:r>
              <w:rPr>
                <w:rFonts w:ascii="Courier New" w:cs="Courier New" w:eastAsia="Courier New" w:hAnsi="Courier New"/>
                <w:color w:val="1A3A5C"/>
                <w:sz w:val="17"/>
                <w:szCs w:val="17"/>
              </w:rPr>
              <w:t xml:space="preserve">├── terraform/</w:t>
            </w:r>
          </w:p>
          <w:p>
            <w:pPr>
              <w:spacing w:after="0" w:before="0"/>
            </w:pPr>
            <w:r>
              <w:rPr>
                <w:rFonts w:ascii="Courier New" w:cs="Courier New" w:eastAsia="Courier New" w:hAnsi="Courier New"/>
                <w:color w:val="1A3A5C"/>
                <w:sz w:val="17"/>
                <w:szCs w:val="17"/>
              </w:rPr>
              <w:t xml:space="preserve">│   ├── main.tf                   # Root orchestrator — calls all modules</w:t>
            </w:r>
          </w:p>
          <w:p>
            <w:pPr>
              <w:spacing w:after="0" w:before="0"/>
            </w:pPr>
            <w:r>
              <w:rPr>
                <w:rFonts w:ascii="Courier New" w:cs="Courier New" w:eastAsia="Courier New" w:hAnsi="Courier New"/>
                <w:color w:val="1A3A5C"/>
                <w:sz w:val="17"/>
                <w:szCs w:val="17"/>
              </w:rPr>
              <w:t xml:space="preserve">│   ├── variables.tf              # Parameterized inputs (env, region, sizing)</w:t>
            </w:r>
          </w:p>
          <w:p>
            <w:pPr>
              <w:spacing w:after="0" w:before="0"/>
            </w:pPr>
            <w:r>
              <w:rPr>
                <w:rFonts w:ascii="Courier New" w:cs="Courier New" w:eastAsia="Courier New" w:hAnsi="Courier New"/>
                <w:color w:val="1A3A5C"/>
                <w:sz w:val="17"/>
                <w:szCs w:val="17"/>
              </w:rPr>
              <w:t xml:space="preserve">│   ├── outputs.tf                # Exported values (cluster endpoint, VPC ID)</w:t>
            </w:r>
          </w:p>
          <w:p>
            <w:pPr>
              <w:spacing w:after="0" w:before="0"/>
            </w:pPr>
            <w:r>
              <w:rPr>
                <w:rFonts w:ascii="Courier New" w:cs="Courier New" w:eastAsia="Courier New" w:hAnsi="Courier New"/>
                <w:color w:val="1A3A5C"/>
                <w:sz w:val="17"/>
                <w:szCs w:val="17"/>
              </w:rPr>
              <w:t xml:space="preserve">│   └── modules/</w:t>
            </w:r>
          </w:p>
          <w:p>
            <w:pPr>
              <w:spacing w:after="0" w:before="0"/>
            </w:pPr>
            <w:r>
              <w:rPr>
                <w:rFonts w:ascii="Courier New" w:cs="Courier New" w:eastAsia="Courier New" w:hAnsi="Courier New"/>
                <w:color w:val="1A3A5C"/>
                <w:sz w:val="17"/>
                <w:szCs w:val="17"/>
              </w:rPr>
              <w:t xml:space="preserve">│       ├── vpc/                  # Network: VPC, subnets, NAT, route tables</w:t>
            </w:r>
          </w:p>
          <w:p>
            <w:pPr>
              <w:spacing w:after="0" w:before="0"/>
            </w:pPr>
            <w:r>
              <w:rPr>
                <w:rFonts w:ascii="Courier New" w:cs="Courier New" w:eastAsia="Courier New" w:hAnsi="Courier New"/>
                <w:color w:val="1A3A5C"/>
                <w:sz w:val="17"/>
                <w:szCs w:val="17"/>
              </w:rPr>
              <w:t xml:space="preserve">│       ├── eks/                  # EKS cluster, node groups, IRSA roles</w:t>
            </w:r>
          </w:p>
          <w:p>
            <w:pPr>
              <w:spacing w:after="0" w:before="0"/>
            </w:pPr>
            <w:r>
              <w:rPr>
                <w:rFonts w:ascii="Courier New" w:cs="Courier New" w:eastAsia="Courier New" w:hAnsi="Courier New"/>
                <w:color w:val="1A3A5C"/>
                <w:sz w:val="17"/>
                <w:szCs w:val="17"/>
              </w:rPr>
              <w:t xml:space="preserve">│       └── monitoring/           # CloudWatch alarms, SNS, dashboards</w:t>
            </w:r>
          </w:p>
          <w:p>
            <w:pPr>
              <w:spacing w:after="0" w:before="0"/>
            </w:pPr>
            <w:r>
              <w:rPr>
                <w:rFonts w:ascii="Courier New" w:cs="Courier New" w:eastAsia="Courier New" w:hAnsi="Courier New"/>
                <w:color w:val="1A3A5C"/>
                <w:sz w:val="17"/>
                <w:szCs w:val="17"/>
              </w:rPr>
              <w:t xml:space="preserve">├── scripts/</w:t>
            </w:r>
          </w:p>
          <w:p>
            <w:pPr>
              <w:spacing w:after="0" w:before="0"/>
            </w:pPr>
            <w:r>
              <w:rPr>
                <w:rFonts w:ascii="Courier New" w:cs="Courier New" w:eastAsia="Courier New" w:hAnsi="Courier New"/>
                <w:color w:val="1A3A5C"/>
                <w:sz w:val="17"/>
                <w:szCs w:val="17"/>
              </w:rPr>
              <w:t xml:space="preserve">│   ├── incident_triage.py        # Core: automated triage + RCA generation</w:t>
            </w:r>
          </w:p>
          <w:p>
            <w:pPr>
              <w:spacing w:after="0" w:before="0"/>
            </w:pPr>
            <w:r>
              <w:rPr>
                <w:rFonts w:ascii="Courier New" w:cs="Courier New" w:eastAsia="Courier New" w:hAnsi="Courier New"/>
                <w:color w:val="1A3A5C"/>
                <w:sz w:val="17"/>
                <w:szCs w:val="17"/>
              </w:rPr>
              <w:t xml:space="preserve">│   ├── health_check.sh           # Lightweight cluster/service health probe</w:t>
            </w:r>
          </w:p>
          <w:p>
            <w:pPr>
              <w:spacing w:after="0" w:before="0"/>
            </w:pPr>
            <w:r>
              <w:rPr>
                <w:rFonts w:ascii="Courier New" w:cs="Courier New" w:eastAsia="Courier New" w:hAnsi="Courier New"/>
                <w:color w:val="1A3A5C"/>
                <w:sz w:val="17"/>
                <w:szCs w:val="17"/>
              </w:rPr>
              <w:t xml:space="preserve">│   └── alert_handler.py         # Self-healing: responds to SNS alert events</w:t>
            </w:r>
          </w:p>
          <w:p>
            <w:pPr>
              <w:spacing w:after="0" w:before="0"/>
            </w:pPr>
            <w:r>
              <w:rPr>
                <w:rFonts w:ascii="Courier New" w:cs="Courier New" w:eastAsia="Courier New" w:hAnsi="Courier New"/>
                <w:color w:val="1A3A5C"/>
                <w:sz w:val="17"/>
                <w:szCs w:val="17"/>
              </w:rPr>
              <w:t xml:space="preserve">├── jenkins/</w:t>
            </w:r>
          </w:p>
          <w:p>
            <w:pPr>
              <w:spacing w:after="0" w:before="0"/>
            </w:pPr>
            <w:r>
              <w:rPr>
                <w:rFonts w:ascii="Courier New" w:cs="Courier New" w:eastAsia="Courier New" w:hAnsi="Courier New"/>
                <w:color w:val="1A3A5C"/>
                <w:sz w:val="17"/>
                <w:szCs w:val="17"/>
              </w:rPr>
              <w:t xml:space="preserve">│   └── Jenkinsfile               # Multi-stage CI/CD with rollback capability</w:t>
            </w:r>
          </w:p>
          <w:p>
            <w:pPr>
              <w:spacing w:after="0" w:before="0"/>
            </w:pPr>
            <w:r>
              <w:rPr>
                <w:rFonts w:ascii="Courier New" w:cs="Courier New" w:eastAsia="Courier New" w:hAnsi="Courier New"/>
                <w:color w:val="1A3A5C"/>
                <w:sz w:val="17"/>
                <w:szCs w:val="17"/>
              </w:rPr>
              <w:t xml:space="preserve">├── monitoring/</w:t>
            </w:r>
          </w:p>
          <w:p>
            <w:pPr>
              <w:spacing w:after="0" w:before="0"/>
            </w:pPr>
            <w:r>
              <w:rPr>
                <w:rFonts w:ascii="Courier New" w:cs="Courier New" w:eastAsia="Courier New" w:hAnsi="Courier New"/>
                <w:color w:val="1A3A5C"/>
                <w:sz w:val="17"/>
                <w:szCs w:val="17"/>
              </w:rPr>
              <w:t xml:space="preserve">│   ├── cloudwatch-alarms.tf      # Alarm definitions (standalone module)</w:t>
            </w:r>
          </w:p>
          <w:p>
            <w:pPr>
              <w:spacing w:after="0" w:before="0"/>
            </w:pPr>
            <w:r>
              <w:rPr>
                <w:rFonts w:ascii="Courier New" w:cs="Courier New" w:eastAsia="Courier New" w:hAnsi="Courier New"/>
                <w:color w:val="1A3A5C"/>
                <w:sz w:val="17"/>
                <w:szCs w:val="17"/>
              </w:rPr>
              <w:t xml:space="preserve">│   └── grafana-dashboard.json   # Pre-built EKS + RDS + App dashboard</w:t>
            </w:r>
          </w:p>
          <w:p>
            <w:pPr>
              <w:spacing w:after="0" w:before="0"/>
            </w:pPr>
            <w:r>
              <w:rPr>
                <w:rFonts w:ascii="Courier New" w:cs="Courier New" w:eastAsia="Courier New" w:hAnsi="Courier New"/>
                <w:color w:val="1A3A5C"/>
                <w:sz w:val="17"/>
                <w:szCs w:val="17"/>
              </w:rPr>
              <w:t xml:space="preserve">└── RUNBOOK.md                    # Incident response playbooks (this doc's source)</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3.1 Terraform Modules — Infrastructure Layer</w:t>
      </w:r>
    </w:p>
    <w:p>
      <w:pPr>
        <w:spacing w:after="80" w:before="80"/>
        <w:jc w:val="left"/>
      </w:pPr>
      <w:r>
        <w:rPr>
          <w:rFonts w:ascii="Arial" w:cs="Arial" w:eastAsia="Arial" w:hAnsi="Arial"/>
          <w:b w:val="false"/>
          <w:bCs w:val="false"/>
          <w:i w:val="false"/>
          <w:iCs w:val="false"/>
          <w:color w:val="1E1E1E"/>
          <w:sz w:val="22"/>
          <w:szCs w:val="22"/>
        </w:rPr>
        <w:t xml:space="preserve">Each Terraform module is single-responsibility and follows the HashiCorp module standard. A ServiceNow developer familiar with CMDB will find this analogous to CI Class hierarchy — each module represents a distinct Configuration Item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rPr>
          <w:tblHeader/>
        </w:trPr>
        <w:tc>
          <w:tcPr>
            <w:tcW w:type="dxa" w:w="18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Module</w:t>
            </w:r>
          </w:p>
        </w:tc>
        <w:tc>
          <w:tcPr>
            <w:tcW w:type="dxa" w:w="468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Manages</w:t>
            </w:r>
          </w:p>
        </w:tc>
        <w:tc>
          <w:tcPr>
            <w:tcW w:type="dxa" w:w="288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Outputs</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vpc/</w:t>
            </w:r>
          </w:p>
        </w:tc>
        <w:tc>
          <w:tcPr>
            <w:tcW w:type="dxa" w:w="46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VPC, 3 subnets, NAT Gateway, Internet Gateway, route tables</w:t>
            </w:r>
          </w:p>
        </w:tc>
        <w:tc>
          <w:tcPr>
            <w:tcW w:type="dxa" w:w="28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vpc_id, subnet_ids, nat_gateway_ip</w:t>
            </w:r>
          </w:p>
        </w:tc>
      </w:tr>
      <w:tr>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eks/</w:t>
            </w:r>
          </w:p>
        </w:tc>
        <w:tc>
          <w:tcPr>
            <w:tcW w:type="dxa" w:w="468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EKS cluster, 3 node groups, IAM roles, OIDC provider for IRSA</w:t>
            </w:r>
          </w:p>
        </w:tc>
        <w:tc>
          <w:tcPr>
            <w:tcW w:type="dxa" w:w="288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cluster_endpoint, cluster_ca, node_role_arn</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monitoring/</w:t>
            </w:r>
          </w:p>
        </w:tc>
        <w:tc>
          <w:tcPr>
            <w:tcW w:type="dxa" w:w="46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CloudWatch alarms, SNS topics, log groups, metric filters</w:t>
            </w:r>
          </w:p>
        </w:tc>
        <w:tc>
          <w:tcPr>
            <w:tcW w:type="dxa" w:w="28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alarm_arns, sns_topic_arn</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3.2 Scripts — Automation Layer</w:t>
      </w:r>
    </w:p>
    <w:p>
      <w:pPr>
        <w:pStyle w:val="Heading3"/>
        <w:spacing w:after="100" w:before="200"/>
      </w:pPr>
      <w:r>
        <w:rPr>
          <w:rFonts w:ascii="Arial" w:cs="Arial" w:eastAsia="Arial" w:hAnsi="Arial"/>
          <w:b/>
          <w:bCs/>
          <w:color w:val="1A3A5C"/>
          <w:sz w:val="24"/>
          <w:szCs w:val="24"/>
        </w:rPr>
        <w:t xml:space="preserve">incident_triage.py — The Brain of Incident Response</w:t>
      </w:r>
    </w:p>
    <w:p>
      <w:pPr>
        <w:spacing w:after="80" w:before="80"/>
        <w:jc w:val="left"/>
      </w:pPr>
      <w:r>
        <w:rPr>
          <w:rFonts w:ascii="Arial" w:cs="Arial" w:eastAsia="Arial" w:hAnsi="Arial"/>
          <w:b w:val="false"/>
          <w:bCs w:val="false"/>
          <w:i w:val="false"/>
          <w:iCs w:val="false"/>
          <w:color w:val="1E1E1E"/>
          <w:sz w:val="22"/>
          <w:szCs w:val="22"/>
        </w:rPr>
        <w:t xml:space="preserve">This script automates the first 15 minutes of any incident. In a ServiceNow context, it is equivalent to an automated Discovery scan combined with an Event Management correlation rule — it ingests raw signals and produces structured, actionable output.</w:t>
      </w:r>
    </w:p>
    <w:p>
      <w:pPr>
        <w:spacing w:after="80" w:before="80"/>
        <w:jc w:val="left"/>
      </w:pPr>
      <w:r>
        <w:rPr>
          <w:rFonts w:ascii="Arial" w:cs="Arial" w:eastAsia="Arial" w:hAnsi="Arial"/>
          <w:b w:val="false"/>
          <w:bCs w:val="false"/>
          <w:i w:val="false"/>
          <w:iCs w:val="false"/>
          <w:color w:val="1E1E1E"/>
          <w:sz w:val="22"/>
          <w:szCs w:val="22"/>
        </w:rPr>
        <w:t xml:space="preserve">What it does, step by step:</w:t>
      </w:r>
    </w:p>
    <w:p>
      <w:pPr>
        <w:pStyle w:val="ListParagraph"/>
        <w:numPr>
          <w:ilvl w:val="0"/>
          <w:numId w:val="2"/>
        </w:numPr>
        <w:spacing w:after="60" w:before="60"/>
      </w:pPr>
      <w:r>
        <w:rPr>
          <w:rFonts w:ascii="Arial" w:cs="Arial" w:eastAsia="Arial" w:hAnsi="Arial"/>
          <w:color w:val="1E1E1E"/>
          <w:sz w:val="22"/>
          <w:szCs w:val="22"/>
        </w:rPr>
        <w:t xml:space="preserve">Connects to the EKS cluster via kubeconfig and queries pod/node health via the Kubernetes API.</w:t>
      </w:r>
    </w:p>
    <w:p>
      <w:pPr>
        <w:pStyle w:val="ListParagraph"/>
        <w:numPr>
          <w:ilvl w:val="0"/>
          <w:numId w:val="2"/>
        </w:numPr>
        <w:spacing w:after="60" w:before="60"/>
      </w:pPr>
      <w:r>
        <w:rPr>
          <w:rFonts w:ascii="Arial" w:cs="Arial" w:eastAsia="Arial" w:hAnsi="Arial"/>
          <w:color w:val="1E1E1E"/>
          <w:sz w:val="22"/>
          <w:szCs w:val="22"/>
        </w:rPr>
        <w:t xml:space="preserve">Pulls CloudWatch metric data for CPU, memory, error rates, and disk I/O for the specified time window.</w:t>
      </w:r>
    </w:p>
    <w:p>
      <w:pPr>
        <w:pStyle w:val="ListParagraph"/>
        <w:numPr>
          <w:ilvl w:val="0"/>
          <w:numId w:val="2"/>
        </w:numPr>
        <w:spacing w:after="60" w:before="60"/>
      </w:pPr>
      <w:r>
        <w:rPr>
          <w:rFonts w:ascii="Arial" w:cs="Arial" w:eastAsia="Arial" w:hAnsi="Arial"/>
          <w:color w:val="1E1E1E"/>
          <w:sz w:val="22"/>
          <w:szCs w:val="22"/>
        </w:rPr>
        <w:t xml:space="preserve">Correlates Kubernetes events with CloudWatch anomalies — e.g., links a pod OOMKill event to a memory metric spike.</w:t>
      </w:r>
    </w:p>
    <w:p>
      <w:pPr>
        <w:pStyle w:val="ListParagraph"/>
        <w:numPr>
          <w:ilvl w:val="0"/>
          <w:numId w:val="2"/>
        </w:numPr>
        <w:spacing w:after="60" w:before="60"/>
      </w:pPr>
      <w:r>
        <w:rPr>
          <w:rFonts w:ascii="Arial" w:cs="Arial" w:eastAsia="Arial" w:hAnsi="Arial"/>
          <w:color w:val="1E1E1E"/>
          <w:sz w:val="22"/>
          <w:szCs w:val="22"/>
        </w:rPr>
        <w:t xml:space="preserve">Checks recent deployments via kubectl rollout history — the most common root cause of incidents.</w:t>
      </w:r>
    </w:p>
    <w:p>
      <w:pPr>
        <w:pStyle w:val="ListParagraph"/>
        <w:numPr>
          <w:ilvl w:val="0"/>
          <w:numId w:val="2"/>
        </w:numPr>
        <w:spacing w:after="60" w:before="60"/>
      </w:pPr>
      <w:r>
        <w:rPr>
          <w:rFonts w:ascii="Arial" w:cs="Arial" w:eastAsia="Arial" w:hAnsi="Arial"/>
          <w:color w:val="1E1E1E"/>
          <w:sz w:val="22"/>
          <w:szCs w:val="22"/>
        </w:rPr>
        <w:t xml:space="preserve">Generates a structured Markdown RCA (Root Cause Analysis) report, ready for a post-incident review.</w:t>
      </w:r>
    </w:p>
    <w:p>
      <w:pPr>
        <w:spacing w:after="0" w:before="80"/>
      </w:pPr>
      <w:r>
        <w:t xml:space="preserve"/>
      </w:r>
    </w:p>
    <w:p>
      <w:pPr>
        <w:spacing w:after="80" w:before="80"/>
        <w:jc w:val="left"/>
      </w:pPr>
      <w:r>
        <w:rPr>
          <w:rFonts w:ascii="Arial" w:cs="Arial" w:eastAsia="Arial" w:hAnsi="Arial"/>
          <w:b w:val="false"/>
          <w:bCs w:val="false"/>
          <w:i/>
          <w:iCs/>
          <w:color w:val="1E1E1E"/>
          <w:sz w:val="22"/>
          <w:szCs w:val="22"/>
        </w:rPr>
        <w:t xml:space="preserve">Example command — run a 30-minute triage on the production cluster:</w:t>
      </w:r>
    </w:p>
    <w:p>
      <w:pPr>
        <w:shd w:fill="F2F2F2" w:val="clear"/>
        <w:spacing w:after="60" w:before="60"/>
        <w:ind w:left="360" w:right="360"/>
      </w:pPr>
      <w:r>
        <w:rPr>
          <w:rFonts w:ascii="Courier New" w:cs="Courier New" w:eastAsia="Courier New" w:hAnsi="Courier New"/>
          <w:color w:val="1A1A2E"/>
          <w:sz w:val="18"/>
          <w:szCs w:val="18"/>
        </w:rPr>
        <w:t xml:space="preserve">python scripts/incident_triage.py \</w:t>
      </w:r>
    </w:p>
    <w:p>
      <w:pPr>
        <w:shd w:fill="F2F2F2" w:val="clear"/>
        <w:spacing w:after="60" w:before="60"/>
        <w:ind w:left="360" w:right="360"/>
      </w:pPr>
      <w:r>
        <w:rPr>
          <w:rFonts w:ascii="Courier New" w:cs="Courier New" w:eastAsia="Courier New" w:hAnsi="Courier New"/>
          <w:color w:val="1A1A2E"/>
          <w:sz w:val="18"/>
          <w:szCs w:val="18"/>
        </w:rPr>
        <w:t xml:space="preserve">  --cluster eks-sre-prod \</w:t>
      </w:r>
    </w:p>
    <w:p>
      <w:pPr>
        <w:shd w:fill="F2F2F2" w:val="clear"/>
        <w:spacing w:after="60" w:before="60"/>
        <w:ind w:left="360" w:right="360"/>
      </w:pPr>
      <w:r>
        <w:rPr>
          <w:rFonts w:ascii="Courier New" w:cs="Courier New" w:eastAsia="Courier New" w:hAnsi="Courier New"/>
          <w:color w:val="1A1A2E"/>
          <w:sz w:val="18"/>
          <w:szCs w:val="18"/>
        </w:rPr>
        <w:t xml:space="preserve">  --namespace production \</w:t>
      </w:r>
    </w:p>
    <w:p>
      <w:pPr>
        <w:shd w:fill="F2F2F2" w:val="clear"/>
        <w:spacing w:after="60" w:before="60"/>
        <w:ind w:left="360" w:right="360"/>
      </w:pPr>
      <w:r>
        <w:rPr>
          <w:rFonts w:ascii="Courier New" w:cs="Courier New" w:eastAsia="Courier New" w:hAnsi="Courier New"/>
          <w:color w:val="1A1A2E"/>
          <w:sz w:val="18"/>
          <w:szCs w:val="18"/>
        </w:rPr>
        <w:t xml:space="preserve">  --region us-east-1 \</w:t>
      </w:r>
    </w:p>
    <w:p>
      <w:pPr>
        <w:shd w:fill="F2F2F2" w:val="clear"/>
        <w:spacing w:after="60" w:before="60"/>
        <w:ind w:left="360" w:right="360"/>
      </w:pPr>
      <w:r>
        <w:rPr>
          <w:rFonts w:ascii="Courier New" w:cs="Courier New" w:eastAsia="Courier New" w:hAnsi="Courier New"/>
          <w:color w:val="1A1A2E"/>
          <w:sz w:val="18"/>
          <w:szCs w:val="18"/>
        </w:rPr>
        <w:t xml:space="preserve">  --output rca-$(date +%Y%m%d-%H%M%S).md</w:t>
      </w:r>
    </w:p>
    <w:p>
      <w:pPr>
        <w:spacing w:after="0" w:before="80"/>
      </w:pPr>
      <w:r>
        <w:t xml:space="preserve"/>
      </w:r>
    </w:p>
    <w:p>
      <w:pPr>
        <w:pStyle w:val="Heading3"/>
        <w:spacing w:after="100" w:before="200"/>
      </w:pPr>
      <w:r>
        <w:rPr>
          <w:rFonts w:ascii="Arial" w:cs="Arial" w:eastAsia="Arial" w:hAnsi="Arial"/>
          <w:b/>
          <w:bCs/>
          <w:color w:val="1A3A5C"/>
          <w:sz w:val="24"/>
          <w:szCs w:val="24"/>
        </w:rPr>
        <w:t xml:space="preserve">alert_handler.py — The Self-Healing Engine</w:t>
      </w:r>
    </w:p>
    <w:p>
      <w:pPr>
        <w:spacing w:after="80" w:before="80"/>
        <w:jc w:val="left"/>
      </w:pPr>
      <w:r>
        <w:rPr>
          <w:rFonts w:ascii="Arial" w:cs="Arial" w:eastAsia="Arial" w:hAnsi="Arial"/>
          <w:b w:val="false"/>
          <w:bCs w:val="false"/>
          <w:i w:val="false"/>
          <w:iCs w:val="false"/>
          <w:color w:val="1E1E1E"/>
          <w:sz w:val="22"/>
          <w:szCs w:val="22"/>
        </w:rPr>
        <w:t xml:space="preserve">This script is triggered by SNS notifications from CloudWatch alarms. It matches alert types to pre-coded remediation workflows. Think of it as a ServiceNow Flow Designer automation, but executing kubectl and AWS CLI commands directly against the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Alert Trigger</w:t>
            </w:r>
          </w:p>
        </w:tc>
        <w:tc>
          <w:tcPr>
            <w:tcW w:type="dxa" w:w="324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Automated Action</w:t>
            </w:r>
          </w:p>
        </w:tc>
        <w:tc>
          <w:tcPr>
            <w:tcW w:type="dxa" w:w="36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Manual Fallback</w:t>
            </w:r>
          </w:p>
        </w:tc>
      </w:tr>
      <w:tr>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CrashLoopBackOff &gt; 3 restarts</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Cordon node, capture logs, restart pod</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Playbook: High Pod Restart Rate</w:t>
            </w:r>
          </w:p>
        </w:tc>
      </w:tr>
      <w:tr>
        <w:tc>
          <w:tcPr>
            <w:tcW w:type="dxa" w:w="25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Node Memory &gt; 90%</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Evict low-priority pods, trigger ASG scale-out</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Playbook: Node Not Ready</w:t>
            </w:r>
          </w:p>
        </w:tc>
      </w:tr>
      <w:tr>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Deployment rollout stalled</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kubectl rollout undo — revert to last stable revision</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Check Jenkinsfile rollback stage</w:t>
            </w:r>
          </w:p>
        </w:tc>
      </w:tr>
      <w:tr>
        <w:tc>
          <w:tcPr>
            <w:tcW w:type="dxa" w:w="25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Certificate expiry &lt; 7 days</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Trigger cert-manager certificate renewal</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Manual: kubectl annotate cert</w:t>
            </w:r>
          </w:p>
        </w:tc>
      </w:tr>
      <w:tr>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Kafka consumer lag &gt; threshold</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Scale consumer deployment replicas +2</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Playbook: Kafka Consumer Lag</w:t>
            </w:r>
          </w:p>
        </w:tc>
      </w:tr>
    </w:tbl>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4. CI/CD Pipeline — Jenkins</w:t>
      </w:r>
    </w:p>
    <w:p>
      <w:pPr>
        <w:pStyle w:val="Heading2"/>
        <w:spacing w:after="140" w:before="280"/>
      </w:pPr>
      <w:r>
        <w:rPr>
          <w:rFonts w:ascii="Arial" w:cs="Arial" w:eastAsia="Arial" w:hAnsi="Arial"/>
          <w:b/>
          <w:bCs/>
          <w:color w:val="0073CF"/>
          <w:sz w:val="28"/>
          <w:szCs w:val="28"/>
        </w:rPr>
        <w:t xml:space="preserve">4.1 Pipeline Flow</w:t>
      </w:r>
    </w:p>
    <w:p>
      <w:pPr>
        <w:spacing w:after="80" w:before="80"/>
        <w:jc w:val="left"/>
      </w:pPr>
      <w:r>
        <w:rPr>
          <w:rFonts w:ascii="Arial" w:cs="Arial" w:eastAsia="Arial" w:hAnsi="Arial"/>
          <w:b w:val="false"/>
          <w:bCs w:val="false"/>
          <w:i w:val="false"/>
          <w:iCs w:val="false"/>
          <w:color w:val="1E1E1E"/>
          <w:sz w:val="22"/>
          <w:szCs w:val="22"/>
        </w:rPr>
        <w:t xml:space="preserve">The Jenkins pipeline implements a deployment gate model. No code reaches production without passing health checks. This is architecturally equivalent to a ServiceNow Change Management workflow with automated CAB approval gates.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3CF" w:sz="1"/>
              <w:left w:val="single" w:color="0073CF" w:sz="1"/>
              <w:bottom w:val="single" w:color="0073CF" w:sz="1"/>
              <w:right w:val="single" w:color="0073CF" w:sz="1"/>
            </w:tcBorders>
            <w:shd w:fill="F0F0F0" w:val="clear"/>
            <w:tcMar>
              <w:top w:type="dxa" w:w="120"/>
              <w:left w:type="dxa" w:w="200"/>
              <w:bottom w:type="dxa" w:w="120"/>
              <w:right w:type="dxa" w:w="200"/>
            </w:tcMar>
          </w:tcPr>
          <w:p>
            <w:pPr>
              <w:spacing w:after="0" w:before="0"/>
            </w:pPr>
            <w:r>
              <w:rPr>
                <w:rFonts w:ascii="Courier New" w:cs="Courier New" w:eastAsia="Courier New" w:hAnsi="Courier New"/>
                <w:color w:val="1A3A5C"/>
                <w:sz w:val="17"/>
                <w:szCs w:val="17"/>
              </w:rPr>
              <w:t xml:space="preserve">                         JENKINS PIPELINE FLOW</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  ┌──────────┐   ┌──────────┐   ┌──────────┐   ┌──────────┐   ┌──────────┐</w:t>
            </w:r>
          </w:p>
          <w:p>
            <w:pPr>
              <w:spacing w:after="0" w:before="0"/>
            </w:pPr>
            <w:r>
              <w:rPr>
                <w:rFonts w:ascii="Courier New" w:cs="Courier New" w:eastAsia="Courier New" w:hAnsi="Courier New"/>
                <w:color w:val="1A3A5C"/>
                <w:sz w:val="17"/>
                <w:szCs w:val="17"/>
              </w:rPr>
              <w:t xml:space="preserve">  │ Stage 1  │   │ Stage 2  │   │ Stage 3  │   │ Stage 4  │   │ Stage 5  │</w:t>
            </w:r>
          </w:p>
          <w:p>
            <w:pPr>
              <w:spacing w:after="0" w:before="0"/>
            </w:pPr>
            <w:r>
              <w:rPr>
                <w:rFonts w:ascii="Courier New" w:cs="Courier New" w:eastAsia="Courier New" w:hAnsi="Courier New"/>
                <w:color w:val="1A3A5C"/>
                <w:sz w:val="17"/>
                <w:szCs w:val="17"/>
              </w:rPr>
              <w:t xml:space="preserve">  │          │   │          │   │          │   │          │   │          │</w:t>
            </w:r>
          </w:p>
          <w:p>
            <w:pPr>
              <w:spacing w:after="0" w:before="0"/>
            </w:pPr>
            <w:r>
              <w:rPr>
                <w:rFonts w:ascii="Courier New" w:cs="Courier New" w:eastAsia="Courier New" w:hAnsi="Courier New"/>
                <w:color w:val="1A3A5C"/>
                <w:sz w:val="17"/>
                <w:szCs w:val="17"/>
              </w:rPr>
              <w:t xml:space="preserve">  │ Build &amp;  ├──►│ Test &amp;   ├──►│ Deploy   ├──►│ Health   ├──►│ Deploy   │</w:t>
            </w:r>
          </w:p>
          <w:p>
            <w:pPr>
              <w:spacing w:after="0" w:before="0"/>
            </w:pPr>
            <w:r>
              <w:rPr>
                <w:rFonts w:ascii="Courier New" w:cs="Courier New" w:eastAsia="Courier New" w:hAnsi="Courier New"/>
                <w:color w:val="1A3A5C"/>
                <w:sz w:val="17"/>
                <w:szCs w:val="17"/>
              </w:rPr>
              <w:t xml:space="preserve">  │  Scan    │   │  Lint    │   │ Staging  │   │  Gate    │   │  Prod    │</w:t>
            </w:r>
          </w:p>
          <w:p>
            <w:pPr>
              <w:spacing w:after="0" w:before="0"/>
            </w:pPr>
            <w:r>
              <w:rPr>
                <w:rFonts w:ascii="Courier New" w:cs="Courier New" w:eastAsia="Courier New" w:hAnsi="Courier New"/>
                <w:color w:val="1A3A5C"/>
                <w:sz w:val="17"/>
                <w:szCs w:val="17"/>
              </w:rPr>
              <w:t xml:space="preserve">  └──────────┘   └──────────┘   └──────────┘   └────┬─────┘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w:t>
            </w:r>
          </w:p>
          <w:p>
            <w:pPr>
              <w:spacing w:after="0" w:before="0"/>
            </w:pPr>
            <w:r>
              <w:rPr>
                <w:rFonts w:ascii="Courier New" w:cs="Courier New" w:eastAsia="Courier New" w:hAnsi="Courier New"/>
                <w:color w:val="1A3A5C"/>
                <w:sz w:val="17"/>
                <w:szCs w:val="17"/>
              </w:rPr>
              <w:t xml:space="preserve">                                              │  GATE RESULT   │</w:t>
            </w:r>
          </w:p>
          <w:p>
            <w:pPr>
              <w:spacing w:after="0" w:before="0"/>
            </w:pPr>
            <w:r>
              <w:rPr>
                <w:rFonts w:ascii="Courier New" w:cs="Courier New" w:eastAsia="Courier New" w:hAnsi="Courier New"/>
                <w:color w:val="1A3A5C"/>
                <w:sz w:val="17"/>
                <w:szCs w:val="17"/>
              </w:rPr>
              <w:t xml:space="preserve">                                              │                │</w:t>
            </w:r>
          </w:p>
          <w:p>
            <w:pPr>
              <w:spacing w:after="0" w:before="0"/>
            </w:pPr>
            <w:r>
              <w:rPr>
                <w:rFonts w:ascii="Courier New" w:cs="Courier New" w:eastAsia="Courier New" w:hAnsi="Courier New"/>
                <w:color w:val="1A3A5C"/>
                <w:sz w:val="17"/>
                <w:szCs w:val="17"/>
              </w:rPr>
              <w:t xml:space="preserve">                                              │  PASS ──► Prod │</w:t>
            </w:r>
          </w:p>
          <w:p>
            <w:pPr>
              <w:spacing w:after="0" w:before="0"/>
            </w:pPr>
            <w:r>
              <w:rPr>
                <w:rFonts w:ascii="Courier New" w:cs="Courier New" w:eastAsia="Courier New" w:hAnsi="Courier New"/>
                <w:color w:val="1A3A5C"/>
                <w:sz w:val="17"/>
                <w:szCs w:val="17"/>
              </w:rPr>
              <w:t xml:space="preserve">                                              │  FAIL ──► Auto │</w:t>
            </w:r>
          </w:p>
          <w:p>
            <w:pPr>
              <w:spacing w:after="0" w:before="0"/>
            </w:pPr>
            <w:r>
              <w:rPr>
                <w:rFonts w:ascii="Courier New" w:cs="Courier New" w:eastAsia="Courier New" w:hAnsi="Courier New"/>
                <w:color w:val="1A3A5C"/>
                <w:sz w:val="17"/>
                <w:szCs w:val="17"/>
              </w:rPr>
              <w:t xml:space="preserve">                                              │         Rollback│</w:t>
            </w:r>
          </w:p>
          <w:p>
            <w:pPr>
              <w:spacing w:after="0" w:before="0"/>
            </w:pPr>
            <w:r>
              <w:rPr>
                <w:rFonts w:ascii="Courier New" w:cs="Courier New" w:eastAsia="Courier New" w:hAnsi="Courier New"/>
                <w:color w:val="1A3A5C"/>
                <w:sz w:val="17"/>
                <w:szCs w:val="17"/>
              </w:rPr>
              <w:t xml:space="preserve">                                              └────────────────┘</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4.2 Stage-by-Stage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rPr>
          <w:tblHeader/>
        </w:trPr>
        <w:tc>
          <w:tcPr>
            <w:tcW w:type="dxa" w:w="18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Stage</w:t>
            </w:r>
          </w:p>
        </w:tc>
        <w:tc>
          <w:tcPr>
            <w:tcW w:type="dxa" w:w="432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Runs</w:t>
            </w:r>
          </w:p>
        </w:tc>
        <w:tc>
          <w:tcPr>
            <w:tcW w:type="dxa" w:w="324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Gate Condition</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1. Build &amp; Scan</w:t>
            </w:r>
          </w:p>
        </w:tc>
        <w:tc>
          <w:tcPr>
            <w:tcW w:type="dxa" w:w="43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Docker image build + Trivy CVE vulnerability scan</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Zero CRITICAL vulnerabilities</w:t>
            </w:r>
          </w:p>
        </w:tc>
      </w:tr>
      <w:tr>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2. Test &amp; Lint</w:t>
            </w:r>
          </w:p>
        </w:tc>
        <w:tc>
          <w:tcPr>
            <w:tcW w:type="dxa" w:w="43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Python unit tests, flake8 lint, terraform validate + fmt</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All tests pass; no lint errors</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3. Deploy Staging</w:t>
            </w:r>
          </w:p>
        </w:tc>
        <w:tc>
          <w:tcPr>
            <w:tcW w:type="dxa" w:w="43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kubectl apply to staging namespace in EKS</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All pods reach Running state</w:t>
            </w:r>
          </w:p>
        </w:tc>
      </w:tr>
      <w:tr>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4. Health Gate</w:t>
            </w:r>
          </w:p>
        </w:tc>
        <w:tc>
          <w:tcPr>
            <w:tcW w:type="dxa" w:w="43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5-minute stability window: error rate, pod restarts, latency</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Error rate &lt; 1%, 0 restarts</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5. Deploy Production</w:t>
            </w:r>
          </w:p>
        </w:tc>
        <w:tc>
          <w:tcPr>
            <w:tcW w:type="dxa" w:w="43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Blue/green promotion or rolling update to production namespace</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Deployment rollout complete</w:t>
            </w:r>
          </w:p>
        </w:tc>
      </w:tr>
      <w:tr>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6. Post-Deploy</w:t>
            </w:r>
          </w:p>
        </w:tc>
        <w:tc>
          <w:tcPr>
            <w:tcW w:type="dxa" w:w="43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Synthetic health probe + Slack notification to #deployments</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HTTP 200 from health endpoint</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4.3 Rollback Mechanism</w:t>
      </w:r>
    </w:p>
    <w:p>
      <w:pPr>
        <w:spacing w:after="80" w:before="80"/>
        <w:jc w:val="left"/>
      </w:pPr>
      <w:r>
        <w:rPr>
          <w:rFonts w:ascii="Arial" w:cs="Arial" w:eastAsia="Arial" w:hAnsi="Arial"/>
          <w:b w:val="false"/>
          <w:bCs w:val="false"/>
          <w:i w:val="false"/>
          <w:iCs w:val="false"/>
          <w:color w:val="1E1E1E"/>
          <w:sz w:val="22"/>
          <w:szCs w:val="22"/>
        </w:rPr>
        <w:t xml:space="preserve">If the Health Gate fails, the pipeline automatically executes:</w:t>
      </w:r>
    </w:p>
    <w:p>
      <w:pPr>
        <w:shd w:fill="F2F2F2" w:val="clear"/>
        <w:spacing w:after="60" w:before="60"/>
        <w:ind w:left="360" w:right="360"/>
      </w:pPr>
      <w:r>
        <w:rPr>
          <w:rFonts w:ascii="Courier New" w:cs="Courier New" w:eastAsia="Courier New" w:hAnsi="Courier New"/>
          <w:color w:val="1A1A2E"/>
          <w:sz w:val="18"/>
          <w:szCs w:val="18"/>
        </w:rPr>
        <w:t xml:space="preserve">kubectl rollout undo deployment/&lt;deployment-name&gt; -n production</w:t>
      </w:r>
    </w:p>
    <w:p>
      <w:pPr>
        <w:shd w:fill="F2F2F2" w:val="clear"/>
        <w:spacing w:after="60" w:before="60"/>
        <w:ind w:left="360" w:right="360"/>
      </w:pPr>
      <w:r>
        <w:rPr>
          <w:rFonts w:ascii="Courier New" w:cs="Courier New" w:eastAsia="Courier New" w:hAnsi="Courier New"/>
          <w:color w:val="1A1A2E"/>
          <w:sz w:val="18"/>
          <w:szCs w:val="18"/>
        </w:rPr>
        <w:t xml:space="preserve">kubectl rollout status deployment/&lt;deployment-name&gt; -n production --timeout=5m</w:t>
      </w:r>
    </w:p>
    <w:p>
      <w:pPr>
        <w:spacing w:after="80" w:before="80"/>
        <w:jc w:val="left"/>
      </w:pPr>
      <w:r>
        <w:rPr>
          <w:rFonts w:ascii="Arial" w:cs="Arial" w:eastAsia="Arial" w:hAnsi="Arial"/>
          <w:b w:val="false"/>
          <w:bCs w:val="false"/>
          <w:i w:val="false"/>
          <w:iCs w:val="false"/>
          <w:color w:val="1E1E1E"/>
          <w:sz w:val="22"/>
          <w:szCs w:val="22"/>
        </w:rPr>
        <w:t xml:space="preserve">This reverts to the last stable ReplicaSet in under 60 seconds — no human action required. The incident is logged and the on-call team is notified via Slack.</w:t>
      </w:r>
    </w:p>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5. Monitoring, Alerting &amp; Observability</w:t>
      </w:r>
    </w:p>
    <w:p>
      <w:pPr>
        <w:pStyle w:val="Heading2"/>
        <w:spacing w:after="140" w:before="280"/>
      </w:pPr>
      <w:r>
        <w:rPr>
          <w:rFonts w:ascii="Arial" w:cs="Arial" w:eastAsia="Arial" w:hAnsi="Arial"/>
          <w:b/>
          <w:bCs/>
          <w:color w:val="0073CF"/>
          <w:sz w:val="28"/>
          <w:szCs w:val="28"/>
        </w:rPr>
        <w:t xml:space="preserve">5.1 CloudWatch Alarm Configuration</w:t>
      </w:r>
    </w:p>
    <w:p>
      <w:pPr>
        <w:spacing w:after="80" w:before="80"/>
        <w:jc w:val="left"/>
      </w:pPr>
      <w:r>
        <w:rPr>
          <w:rFonts w:ascii="Arial" w:cs="Arial" w:eastAsia="Arial" w:hAnsi="Arial"/>
          <w:b w:val="false"/>
          <w:bCs w:val="false"/>
          <w:i w:val="false"/>
          <w:iCs w:val="false"/>
          <w:color w:val="1E1E1E"/>
          <w:sz w:val="22"/>
          <w:szCs w:val="22"/>
        </w:rPr>
        <w:t xml:space="preserve">All alarms are managed as Terraform code — changes go through version control and peer review, not manual console edits. Alarms route to SNS, which fans out to PagerDuty (for paging) and Slack (for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080"/>
        <w:gridCol w:w="3240"/>
      </w:tblGrid>
      <w:tr>
        <w:trPr>
          <w:tblHeader/>
        </w:trPr>
        <w:tc>
          <w:tcPr>
            <w:tcW w:type="dxa" w:w="18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Alarm Name</w:t>
            </w:r>
          </w:p>
        </w:tc>
        <w:tc>
          <w:tcPr>
            <w:tcW w:type="dxa" w:w="18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Metric</w:t>
            </w:r>
          </w:p>
        </w:tc>
        <w:tc>
          <w:tcPr>
            <w:tcW w:type="dxa" w:w="144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Threshold</w:t>
            </w:r>
          </w:p>
        </w:tc>
        <w:tc>
          <w:tcPr>
            <w:tcW w:type="dxa" w:w="108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Severity</w:t>
            </w:r>
          </w:p>
        </w:tc>
        <w:tc>
          <w:tcPr>
            <w:tcW w:type="dxa" w:w="324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Response</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High CPU</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CPUUtilization</w:t>
            </w:r>
          </w:p>
        </w:tc>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&gt; 85% for 5 min</w:t>
            </w:r>
          </w:p>
        </w:tc>
        <w:tc>
          <w:tcPr>
            <w:tcW w:type="dxa" w:w="10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Warning</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alert_handler: scale-out</w:t>
            </w:r>
          </w:p>
        </w:tc>
      </w:tr>
      <w:tr>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Pod OOM Kill</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pod_oom_kill_total</w:t>
            </w:r>
          </w:p>
        </w:tc>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&gt; 0 (any)</w:t>
            </w:r>
          </w:p>
        </w:tc>
        <w:tc>
          <w:tcPr>
            <w:tcW w:type="dxa" w:w="108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Critical</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alert_handler: restart + log capture</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API 5xx Rate</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5XXError</w:t>
            </w:r>
          </w:p>
        </w:tc>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&gt; 1% for 3 min</w:t>
            </w:r>
          </w:p>
        </w:tc>
        <w:tc>
          <w:tcPr>
            <w:tcW w:type="dxa" w:w="10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Critical</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alert_handler: rollback check</w:t>
            </w:r>
          </w:p>
        </w:tc>
      </w:tr>
      <w:tr>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RDS Connections</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DatabaseConnections</w:t>
            </w:r>
          </w:p>
        </w:tc>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&gt; 80% max</w:t>
            </w:r>
          </w:p>
        </w:tc>
        <w:tc>
          <w:tcPr>
            <w:tcW w:type="dxa" w:w="108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Warning</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alert_handler: terminate idle</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Node Not Ready</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Kubernetes Events</w:t>
            </w:r>
          </w:p>
        </w:tc>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Any node</w:t>
            </w:r>
          </w:p>
        </w:tc>
        <w:tc>
          <w:tcPr>
            <w:tcW w:type="dxa" w:w="10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Critical</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alert_handler: cordon + drain</w:t>
            </w:r>
          </w:p>
        </w:tc>
      </w:tr>
      <w:tr>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Disk I/O Wait</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DiskReadOps</w:t>
            </w:r>
          </w:p>
        </w:tc>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&gt; 1000 IOPS</w:t>
            </w:r>
          </w:p>
        </w:tc>
        <w:tc>
          <w:tcPr>
            <w:tcW w:type="dxa" w:w="108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Warning</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alert_handler: evict + resize</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5.2 Service Level Objectives (SLOs)</w:t>
      </w:r>
    </w:p>
    <w:p>
      <w:pPr>
        <w:spacing w:after="80" w:before="80"/>
        <w:jc w:val="left"/>
      </w:pPr>
      <w:r>
        <w:rPr>
          <w:rFonts w:ascii="Arial" w:cs="Arial" w:eastAsia="Arial" w:hAnsi="Arial"/>
          <w:b w:val="false"/>
          <w:bCs w:val="false"/>
          <w:i w:val="false"/>
          <w:iCs w:val="false"/>
          <w:color w:val="1E1E1E"/>
          <w:sz w:val="22"/>
          <w:szCs w:val="22"/>
        </w:rPr>
        <w:t xml:space="preserve">The framework enforces defined SLOs per service. These are monitored continuously in Grafana and drive alarm thresholds in CloudWatch. SLO breaches are tracked for monthly error budget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rPr>
          <w:tblHeader/>
        </w:trPr>
        <w:tc>
          <w:tcPr>
            <w:tcW w:type="dxa" w:w="21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Service</w:t>
            </w:r>
          </w:p>
        </w:tc>
        <w:tc>
          <w:tcPr>
            <w:tcW w:type="dxa" w:w="18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Availability SLO</w:t>
            </w:r>
          </w:p>
        </w:tc>
        <w:tc>
          <w:tcPr>
            <w:tcW w:type="dxa" w:w="18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Latency SLO (P99)</w:t>
            </w:r>
          </w:p>
        </w:tc>
        <w:tc>
          <w:tcPr>
            <w:tcW w:type="dxa" w:w="36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Error Budget (Monthly)</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API Gateway</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99.9%</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&lt; 300ms</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43.8 minutes downtime allowed</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EKS Control Plane</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99.95%</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N/A</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21.9 minutes downtime allowed</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RDS PostgreSQL</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99.9%</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&lt; 50ms per query</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43.8 minutes downtime allowed</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Kafka</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99.5%</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&lt; 100ms produce</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3.6 hours downtime allowed</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5.3 Grafana Dashboard — Panel Reference</w:t>
      </w:r>
    </w:p>
    <w:p>
      <w:pPr>
        <w:spacing w:after="80" w:before="80"/>
        <w:jc w:val="left"/>
      </w:pPr>
      <w:r>
        <w:rPr>
          <w:rFonts w:ascii="Arial" w:cs="Arial" w:eastAsia="Arial" w:hAnsi="Arial"/>
          <w:b w:val="false"/>
          <w:bCs w:val="false"/>
          <w:i w:val="false"/>
          <w:iCs w:val="false"/>
          <w:color w:val="1E1E1E"/>
          <w:sz w:val="22"/>
          <w:szCs w:val="22"/>
        </w:rPr>
        <w:t xml:space="preserve">The pre-built Grafana dashboard (monitoring/grafana-dashboard.json) is imported into the cluster on first deploy. It covers five key observability panels using the RED method (Rate, Errors, Duration):</w:t>
      </w:r>
    </w:p>
    <w:p>
      <w:pPr>
        <w:pStyle w:val="ListParagraph"/>
        <w:numPr>
          <w:ilvl w:val="0"/>
          <w:numId w:val="2"/>
        </w:numPr>
        <w:spacing w:after="60" w:before="60"/>
      </w:pPr>
      <w:r>
        <w:rPr>
          <w:rFonts w:ascii="Arial" w:cs="Arial" w:eastAsia="Arial" w:hAnsi="Arial"/>
          <w:color w:val="1E1E1E"/>
          <w:sz w:val="22"/>
          <w:szCs w:val="22"/>
        </w:rPr>
        <w:t xml:space="preserve">Cluster Overview — Node count, total pod count, CPU/memory utilization across the cluster.</w:t>
      </w:r>
    </w:p>
    <w:p>
      <w:pPr>
        <w:pStyle w:val="ListParagraph"/>
        <w:numPr>
          <w:ilvl w:val="0"/>
          <w:numId w:val="2"/>
        </w:numPr>
        <w:spacing w:after="60" w:before="60"/>
      </w:pPr>
      <w:r>
        <w:rPr>
          <w:rFonts w:ascii="Arial" w:cs="Arial" w:eastAsia="Arial" w:hAnsi="Arial"/>
          <w:color w:val="1E1E1E"/>
          <w:sz w:val="22"/>
          <w:szCs w:val="22"/>
        </w:rPr>
        <w:t xml:space="preserve">Application Health — HTTP request rate, 5xx error rate, P50/P95/P99 latency per service.</w:t>
      </w:r>
    </w:p>
    <w:p>
      <w:pPr>
        <w:pStyle w:val="ListParagraph"/>
        <w:numPr>
          <w:ilvl w:val="0"/>
          <w:numId w:val="2"/>
        </w:numPr>
        <w:spacing w:after="60" w:before="60"/>
      </w:pPr>
      <w:r>
        <w:rPr>
          <w:rFonts w:ascii="Arial" w:cs="Arial" w:eastAsia="Arial" w:hAnsi="Arial"/>
          <w:color w:val="1E1E1E"/>
          <w:sz w:val="22"/>
          <w:szCs w:val="22"/>
        </w:rPr>
        <w:t xml:space="preserve">Infrastructure — Per-node CPU, memory, disk, and network I/O breakdown.</w:t>
      </w:r>
    </w:p>
    <w:p>
      <w:pPr>
        <w:pStyle w:val="ListParagraph"/>
        <w:numPr>
          <w:ilvl w:val="0"/>
          <w:numId w:val="2"/>
        </w:numPr>
        <w:spacing w:after="60" w:before="60"/>
      </w:pPr>
      <w:r>
        <w:rPr>
          <w:rFonts w:ascii="Arial" w:cs="Arial" w:eastAsia="Arial" w:hAnsi="Arial"/>
          <w:color w:val="1E1E1E"/>
          <w:sz w:val="22"/>
          <w:szCs w:val="22"/>
        </w:rPr>
        <w:t xml:space="preserve">Deployment Tracker — Active rollouts, restart counts, deployment age per namespace.</w:t>
      </w:r>
    </w:p>
    <w:p>
      <w:pPr>
        <w:pStyle w:val="ListParagraph"/>
        <w:numPr>
          <w:ilvl w:val="0"/>
          <w:numId w:val="2"/>
        </w:numPr>
        <w:spacing w:after="60" w:before="60"/>
      </w:pPr>
      <w:r>
        <w:rPr>
          <w:rFonts w:ascii="Arial" w:cs="Arial" w:eastAsia="Arial" w:hAnsi="Arial"/>
          <w:color w:val="1E1E1E"/>
          <w:sz w:val="22"/>
          <w:szCs w:val="22"/>
        </w:rPr>
        <w:t xml:space="preserve">Alert Timeline — Historical alert heatmap by severity — useful for identifying noisy alerts or patterns.</w:t>
      </w:r>
    </w:p>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6. Incident Response Runbook — Playbooks</w:t>
      </w:r>
    </w:p>
    <w:p>
      <w:pPr>
        <w:pStyle w:val="Heading2"/>
        <w:spacing w:after="140" w:before="280"/>
      </w:pPr>
      <w:r>
        <w:rPr>
          <w:rFonts w:ascii="Arial" w:cs="Arial" w:eastAsia="Arial" w:hAnsi="Arial"/>
          <w:b/>
          <w:bCs/>
          <w:color w:val="0073CF"/>
          <w:sz w:val="28"/>
          <w:szCs w:val="28"/>
        </w:rPr>
        <w:t xml:space="preserve">6.1 Severity Classification</w:t>
      </w:r>
    </w:p>
    <w:p>
      <w:pPr>
        <w:spacing w:after="80" w:before="80"/>
        <w:jc w:val="left"/>
      </w:pPr>
      <w:r>
        <w:rPr>
          <w:rFonts w:ascii="Arial" w:cs="Arial" w:eastAsia="Arial" w:hAnsi="Arial"/>
          <w:b w:val="false"/>
          <w:bCs w:val="false"/>
          <w:i w:val="false"/>
          <w:iCs w:val="false"/>
          <w:color w:val="1E1E1E"/>
          <w:sz w:val="22"/>
          <w:szCs w:val="22"/>
        </w:rPr>
        <w:t xml:space="preserve">Incidents are classified into four severity levels. The classification drives response SLAs, escalation paths, and automation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1260"/>
        <w:gridCol w:w="1440"/>
        <w:gridCol w:w="3600"/>
      </w:tblGrid>
      <w:tr>
        <w:trPr>
          <w:tblHeader/>
        </w:trPr>
        <w:tc>
          <w:tcPr>
            <w:tcW w:type="dxa" w:w="9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Severity</w:t>
            </w:r>
          </w:p>
        </w:tc>
        <w:tc>
          <w:tcPr>
            <w:tcW w:type="dxa" w:w="21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c>
          <w:tcPr>
            <w:tcW w:type="dxa" w:w="12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Response SLA</w:t>
            </w:r>
          </w:p>
        </w:tc>
        <w:tc>
          <w:tcPr>
            <w:tcW w:type="dxa" w:w="144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Automation?</w:t>
            </w:r>
          </w:p>
        </w:tc>
        <w:tc>
          <w:tcPr>
            <w:tcW w:type="dxa" w:w="36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Example</w:t>
            </w:r>
          </w:p>
        </w:tc>
      </w:tr>
      <w:tr>
        <w:tc>
          <w:tcPr>
            <w:tcW w:type="dxa" w:w="9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SEV-1</w:t>
            </w:r>
          </w:p>
        </w:tc>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Complete outage; revenue impact</w:t>
            </w:r>
          </w:p>
        </w:tc>
        <w:tc>
          <w:tcPr>
            <w:tcW w:type="dxa" w:w="12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5 minutes</w:t>
            </w:r>
          </w:p>
        </w:tc>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Full auto-triage + paging</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All pods crashed, DB unreachable</w:t>
            </w:r>
          </w:p>
        </w:tc>
      </w:tr>
      <w:tr>
        <w:tc>
          <w:tcPr>
            <w:tcW w:type="dxa" w:w="9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SEV-2</w:t>
            </w:r>
          </w:p>
        </w:tc>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Significant degradation, partial outage</w:t>
            </w:r>
          </w:p>
        </w:tc>
        <w:tc>
          <w:tcPr>
            <w:tcW w:type="dxa" w:w="12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15 minutes</w:t>
            </w:r>
          </w:p>
        </w:tc>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Auto-triage + alert</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Error rate &gt; 5%, latency &gt; 2x SLO</w:t>
            </w:r>
          </w:p>
        </w:tc>
      </w:tr>
      <w:tr>
        <w:tc>
          <w:tcPr>
            <w:tcW w:type="dxa" w:w="9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SEV-3</w:t>
            </w:r>
          </w:p>
        </w:tc>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Minor degradation; SLO impacted</w:t>
            </w:r>
          </w:p>
        </w:tc>
        <w:tc>
          <w:tcPr>
            <w:tcW w:type="dxa" w:w="12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1 hour</w:t>
            </w:r>
          </w:p>
        </w:tc>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Alert only</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Single node failure</w:t>
            </w:r>
          </w:p>
        </w:tc>
      </w:tr>
      <w:tr>
        <w:tc>
          <w:tcPr>
            <w:tcW w:type="dxa" w:w="9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SEV-4</w:t>
            </w:r>
          </w:p>
        </w:tc>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No user impact; potential risk</w:t>
            </w:r>
          </w:p>
        </w:tc>
        <w:tc>
          <w:tcPr>
            <w:tcW w:type="dxa" w:w="12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Next business day</w:t>
            </w:r>
          </w:p>
        </w:tc>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None (tracked in backlog)</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Cert expiry in 7 days</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6.2 First Response Checklist (First 5 Minutes)</w:t>
      </w:r>
    </w:p>
    <w:p>
      <w:pPr>
        <w:pBdr>
          <w:left w:val="single" w:color="0073CF" w:sz="12"/>
        </w:pBdr>
        <w:shd w:fill="EBF4FB" w:val="clear"/>
        <w:spacing w:after="120" w:before="120"/>
        <w:ind w:left="360" w:right="360"/>
      </w:pPr>
      <w:r>
        <w:rPr>
          <w:rFonts w:ascii="Arial" w:cs="Arial" w:eastAsia="Arial" w:hAnsi="Arial"/>
          <w:b w:val="false"/>
          <w:bCs w:val="false"/>
          <w:i/>
          <w:iCs/>
          <w:color w:val="1A3A5C"/>
          <w:sz w:val="21"/>
          <w:szCs w:val="21"/>
        </w:rPr>
        <w:t xml:space="preserve">Run these commands immediately upon any SEV-1 or SEV-2 alert. The incident_triage.py script automates 80% of this checklist.</w:t>
      </w:r>
    </w:p>
    <w:p>
      <w:pPr>
        <w:spacing w:after="0" w:before="80"/>
      </w:pPr>
      <w:r>
        <w:t xml:space="preserve"/>
      </w:r>
    </w:p>
    <w:p>
      <w:pPr>
        <w:spacing w:after="80" w:before="80"/>
        <w:jc w:val="left"/>
      </w:pPr>
      <w:r>
        <w:rPr>
          <w:rFonts w:ascii="Arial" w:cs="Arial" w:eastAsia="Arial" w:hAnsi="Arial"/>
          <w:b/>
          <w:bCs/>
          <w:i w:val="false"/>
          <w:iCs w:val="false"/>
          <w:color w:val="1E1E1E"/>
          <w:sz w:val="22"/>
          <w:szCs w:val="22"/>
        </w:rPr>
        <w:t xml:space="preserve">Step 1 — Confirm cluster connectivity:</w:t>
      </w:r>
    </w:p>
    <w:p>
      <w:pPr>
        <w:shd w:fill="F2F2F2" w:val="clear"/>
        <w:spacing w:after="60" w:before="60"/>
        <w:ind w:left="360" w:right="360"/>
      </w:pPr>
      <w:r>
        <w:rPr>
          <w:rFonts w:ascii="Courier New" w:cs="Courier New" w:eastAsia="Courier New" w:hAnsi="Courier New"/>
          <w:color w:val="1A1A2E"/>
          <w:sz w:val="18"/>
          <w:szCs w:val="18"/>
        </w:rPr>
        <w:t xml:space="preserve">kubectl get nodes</w:t>
      </w:r>
    </w:p>
    <w:p>
      <w:pPr>
        <w:spacing w:after="0" w:before="80"/>
      </w:pPr>
      <w:r>
        <w:t xml:space="preserve"/>
      </w:r>
    </w:p>
    <w:p>
      <w:pPr>
        <w:spacing w:after="80" w:before="80"/>
        <w:jc w:val="left"/>
      </w:pPr>
      <w:r>
        <w:rPr>
          <w:rFonts w:ascii="Arial" w:cs="Arial" w:eastAsia="Arial" w:hAnsi="Arial"/>
          <w:b/>
          <w:bCs/>
          <w:i w:val="false"/>
          <w:iCs w:val="false"/>
          <w:color w:val="1E1E1E"/>
          <w:sz w:val="22"/>
          <w:szCs w:val="22"/>
        </w:rPr>
        <w:t xml:space="preserve">Step 2 — Identify non-running pods:</w:t>
      </w:r>
    </w:p>
    <w:p>
      <w:pPr>
        <w:shd w:fill="F2F2F2" w:val="clear"/>
        <w:spacing w:after="60" w:before="60"/>
        <w:ind w:left="360" w:right="360"/>
      </w:pPr>
      <w:r>
        <w:rPr>
          <w:rFonts w:ascii="Courier New" w:cs="Courier New" w:eastAsia="Courier New" w:hAnsi="Courier New"/>
          <w:color w:val="1A1A2E"/>
          <w:sz w:val="18"/>
          <w:szCs w:val="18"/>
        </w:rPr>
        <w:t xml:space="preserve">kubectl get pods -A --field-selector=status.phase!=Running</w:t>
      </w:r>
    </w:p>
    <w:p>
      <w:pPr>
        <w:spacing w:after="0" w:before="80"/>
      </w:pPr>
      <w:r>
        <w:t xml:space="preserve"/>
      </w:r>
    </w:p>
    <w:p>
      <w:pPr>
        <w:spacing w:after="80" w:before="80"/>
        <w:jc w:val="left"/>
      </w:pPr>
      <w:r>
        <w:rPr>
          <w:rFonts w:ascii="Arial" w:cs="Arial" w:eastAsia="Arial" w:hAnsi="Arial"/>
          <w:b/>
          <w:bCs/>
          <w:i w:val="false"/>
          <w:iCs w:val="false"/>
          <w:color w:val="1E1E1E"/>
          <w:sz w:val="22"/>
          <w:szCs w:val="22"/>
        </w:rPr>
        <w:t xml:space="preserve">Step 3 — Run automated triage (generates RCA draft):</w:t>
      </w:r>
    </w:p>
    <w:p>
      <w:pPr>
        <w:shd w:fill="F2F2F2" w:val="clear"/>
        <w:spacing w:after="60" w:before="60"/>
        <w:ind w:left="360" w:right="360"/>
      </w:pPr>
      <w:r>
        <w:rPr>
          <w:rFonts w:ascii="Courier New" w:cs="Courier New" w:eastAsia="Courier New" w:hAnsi="Courier New"/>
          <w:color w:val="1A1A2E"/>
          <w:sz w:val="18"/>
          <w:szCs w:val="18"/>
        </w:rPr>
        <w:t xml:space="preserve">python scripts/incident_triage.py \</w:t>
      </w:r>
    </w:p>
    <w:p>
      <w:pPr>
        <w:shd w:fill="F2F2F2" w:val="clear"/>
        <w:spacing w:after="60" w:before="60"/>
        <w:ind w:left="360" w:right="360"/>
      </w:pPr>
      <w:r>
        <w:rPr>
          <w:rFonts w:ascii="Courier New" w:cs="Courier New" w:eastAsia="Courier New" w:hAnsi="Courier New"/>
          <w:color w:val="1A1A2E"/>
          <w:sz w:val="18"/>
          <w:szCs w:val="18"/>
        </w:rPr>
        <w:t xml:space="preserve">  --cluster eks-sre-prod --region us-east-1 \</w:t>
      </w:r>
    </w:p>
    <w:p>
      <w:pPr>
        <w:shd w:fill="F2F2F2" w:val="clear"/>
        <w:spacing w:after="60" w:before="60"/>
        <w:ind w:left="360" w:right="360"/>
      </w:pPr>
      <w:r>
        <w:rPr>
          <w:rFonts w:ascii="Courier New" w:cs="Courier New" w:eastAsia="Courier New" w:hAnsi="Courier New"/>
          <w:color w:val="1A1A2E"/>
          <w:sz w:val="18"/>
          <w:szCs w:val="18"/>
        </w:rPr>
        <w:t xml:space="preserve">  --time-window 30m --output /tmp/triage-$(date +%H%M%S).md</w:t>
      </w:r>
    </w:p>
    <w:p>
      <w:pPr>
        <w:spacing w:after="0" w:before="80"/>
      </w:pPr>
      <w:r>
        <w:t xml:space="preserve"/>
      </w:r>
    </w:p>
    <w:p>
      <w:pPr>
        <w:spacing w:after="80" w:before="80"/>
        <w:jc w:val="left"/>
      </w:pPr>
      <w:r>
        <w:rPr>
          <w:rFonts w:ascii="Arial" w:cs="Arial" w:eastAsia="Arial" w:hAnsi="Arial"/>
          <w:b/>
          <w:bCs/>
          <w:i w:val="false"/>
          <w:iCs w:val="false"/>
          <w:color w:val="1E1E1E"/>
          <w:sz w:val="22"/>
          <w:szCs w:val="22"/>
        </w:rPr>
        <w:t xml:space="preserve">Step 4 — Check for recent deployments (most common root cause):</w:t>
      </w:r>
    </w:p>
    <w:p>
      <w:pPr>
        <w:shd w:fill="F2F2F2" w:val="clear"/>
        <w:spacing w:after="60" w:before="60"/>
        <w:ind w:left="360" w:right="360"/>
      </w:pPr>
      <w:r>
        <w:rPr>
          <w:rFonts w:ascii="Courier New" w:cs="Courier New" w:eastAsia="Courier New" w:hAnsi="Courier New"/>
          <w:color w:val="1A1A2E"/>
          <w:sz w:val="18"/>
          <w:szCs w:val="18"/>
        </w:rPr>
        <w:t xml:space="preserve">kubectl rollout history deployment -A | tail -20</w:t>
      </w:r>
    </w:p>
    <w:p>
      <w:pPr>
        <w:spacing w:after="0" w:before="80"/>
      </w:pPr>
      <w:r>
        <w:t xml:space="preserve"/>
      </w:r>
    </w:p>
    <w:p>
      <w:pPr>
        <w:pStyle w:val="Heading2"/>
        <w:spacing w:after="140" w:before="280"/>
      </w:pPr>
      <w:r>
        <w:rPr>
          <w:rFonts w:ascii="Arial" w:cs="Arial" w:eastAsia="Arial" w:hAnsi="Arial"/>
          <w:b/>
          <w:bCs/>
          <w:color w:val="0073CF"/>
          <w:sz w:val="28"/>
          <w:szCs w:val="28"/>
        </w:rPr>
        <w:t xml:space="preserve">6.3 Playbook Summary — Common Incident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080"/>
        <w:gridCol w:w="3960"/>
      </w:tblGrid>
      <w:tr>
        <w:trPr>
          <w:tblHeader/>
        </w:trPr>
        <w:tc>
          <w:tcPr>
            <w:tcW w:type="dxa" w:w="21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Playbook</w:t>
            </w:r>
          </w:p>
        </w:tc>
        <w:tc>
          <w:tcPr>
            <w:tcW w:type="dxa" w:w="21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Trigger Alert</w:t>
            </w:r>
          </w:p>
        </w:tc>
        <w:tc>
          <w:tcPr>
            <w:tcW w:type="dxa" w:w="108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Severity</w:t>
            </w:r>
          </w:p>
        </w:tc>
        <w:tc>
          <w:tcPr>
            <w:tcW w:type="dxa" w:w="39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Resolution Command</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High Pod Restart Rate</w:t>
            </w:r>
          </w:p>
        </w:tc>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CrashLoopBackOff or OOMKilled</w:t>
            </w:r>
          </w:p>
        </w:tc>
        <w:tc>
          <w:tcPr>
            <w:tcW w:type="dxa" w:w="10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SEV-1 or SEV-2</w:t>
            </w:r>
          </w:p>
        </w:tc>
        <w:tc>
          <w:tcPr>
            <w:tcW w:type="dxa" w:w="39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kubectl rollout undo OR patch memory limits</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Node Not Ready</w:t>
            </w:r>
          </w:p>
        </w:tc>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kube_node_status_condition == 0</w:t>
            </w:r>
          </w:p>
        </w:tc>
        <w:tc>
          <w:tcPr>
            <w:tcW w:type="dxa" w:w="108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SEV-2</w:t>
            </w:r>
          </w:p>
        </w:tc>
        <w:tc>
          <w:tcPr>
            <w:tcW w:type="dxa" w:w="39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kubectl cordon + drain → aws ec2 terminate-instances</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API Error Rate Spike</w:t>
            </w:r>
          </w:p>
        </w:tc>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5XXError &gt; 1% for 3 min</w:t>
            </w:r>
          </w:p>
        </w:tc>
        <w:tc>
          <w:tcPr>
            <w:tcW w:type="dxa" w:w="10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SEV-1 or SEV-2</w:t>
            </w:r>
          </w:p>
        </w:tc>
        <w:tc>
          <w:tcPr>
            <w:tcW w:type="dxa" w:w="39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Rollback deployment OR scale replicas</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RDS Connection Exhaustion</w:t>
            </w:r>
          </w:p>
        </w:tc>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DatabaseConnections &gt; 80%</w:t>
            </w:r>
          </w:p>
        </w:tc>
        <w:tc>
          <w:tcPr>
            <w:tcW w:type="dxa" w:w="108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SEV-2</w:t>
            </w:r>
          </w:p>
        </w:tc>
        <w:tc>
          <w:tcPr>
            <w:tcW w:type="dxa" w:w="39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Terminate idle sessions via pg_terminate_backend</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Disk I/O Saturation</w:t>
            </w:r>
          </w:p>
        </w:tc>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node_disk_io_time &gt; 0.9</w:t>
            </w:r>
          </w:p>
        </w:tc>
        <w:tc>
          <w:tcPr>
            <w:tcW w:type="dxa" w:w="108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SEV-2 or SEV-3</w:t>
            </w:r>
          </w:p>
        </w:tc>
        <w:tc>
          <w:tcPr>
            <w:tcW w:type="dxa" w:w="39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Cordon node + resize EBS volume</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Kafka Consumer Lag</w:t>
            </w:r>
          </w:p>
        </w:tc>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consumer_group_lag &gt; 10,000</w:t>
            </w:r>
          </w:p>
        </w:tc>
        <w:tc>
          <w:tcPr>
            <w:tcW w:type="dxa" w:w="108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SEV-2 or SEV-3</w:t>
            </w:r>
          </w:p>
        </w:tc>
        <w:tc>
          <w:tcPr>
            <w:tcW w:type="dxa" w:w="39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kubectl scale consumer deployment +2 replicas</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6.4 Post-Incident Review (PIR) Process</w:t>
      </w:r>
    </w:p>
    <w:p>
      <w:pPr>
        <w:spacing w:after="80" w:before="80"/>
        <w:jc w:val="left"/>
      </w:pPr>
      <w:r>
        <w:rPr>
          <w:rFonts w:ascii="Arial" w:cs="Arial" w:eastAsia="Arial" w:hAnsi="Arial"/>
          <w:b w:val="false"/>
          <w:bCs w:val="false"/>
          <w:i w:val="false"/>
          <w:iCs w:val="false"/>
          <w:color w:val="1E1E1E"/>
          <w:sz w:val="22"/>
          <w:szCs w:val="22"/>
        </w:rPr>
        <w:t xml:space="preserve">Every SEV-1 or SEV-2 must result in a completed Post-Incident Review within 24 hours. The RUNBOOK.md includes a structured PIR template with five mandatory sections: Timeline, Root Cause, Contributing Factors, What Went Well, and Action Items.</w:t>
      </w:r>
    </w:p>
    <w:p>
      <w:pPr>
        <w:pBdr>
          <w:left w:val="single" w:color="0073CF" w:sz="12"/>
        </w:pBdr>
        <w:shd w:fill="EBF4FB" w:val="clear"/>
        <w:spacing w:after="120" w:before="120"/>
        <w:ind w:left="360" w:right="360"/>
      </w:pPr>
      <w:r>
        <w:rPr>
          <w:rFonts w:ascii="Arial" w:cs="Arial" w:eastAsia="Arial" w:hAnsi="Arial"/>
          <w:b w:val="false"/>
          <w:bCs w:val="false"/>
          <w:i/>
          <w:iCs/>
          <w:color w:val="1A3A5C"/>
          <w:sz w:val="21"/>
          <w:szCs w:val="21"/>
        </w:rPr>
        <w:t xml:space="preserve">A blameless PIR culture is central to SRE practice. The goal is systemic improvement, not individual accountability. Each PIR action item should reduce the likelihood or impact of recurrence.</w:t>
      </w:r>
    </w:p>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7. Security Architecture</w:t>
      </w:r>
    </w:p>
    <w:p>
      <w:pPr>
        <w:spacing w:after="80" w:before="80"/>
        <w:jc w:val="left"/>
      </w:pPr>
      <w:r>
        <w:rPr>
          <w:rFonts w:ascii="Arial" w:cs="Arial" w:eastAsia="Arial" w:hAnsi="Arial"/>
          <w:b w:val="false"/>
          <w:bCs w:val="false"/>
          <w:i w:val="false"/>
          <w:iCs w:val="false"/>
          <w:color w:val="1E1E1E"/>
          <w:sz w:val="22"/>
          <w:szCs w:val="22"/>
        </w:rPr>
        <w:t xml:space="preserve">Security is implemented at every layer — network, compute, identity, and secrets — following the AWS Well-Architected Framework security pillar and NIST least-privilege principles.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Security Control</w:t>
            </w:r>
          </w:p>
        </w:tc>
        <w:tc>
          <w:tcPr>
            <w:tcW w:type="dxa" w:w="324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Implementation</w:t>
            </w:r>
          </w:p>
        </w:tc>
        <w:tc>
          <w:tcPr>
            <w:tcW w:type="dxa" w:w="39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It Prevents</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IAM Roles for Service Accounts (IRSA)</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EKS pods get per-service AWS IAM roles via OIDC federation</w:t>
            </w:r>
          </w:p>
        </w:tc>
        <w:tc>
          <w:tcPr>
            <w:tcW w:type="dxa" w:w="39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Static AWS credentials stored in code or environment variables</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EKS Pod Security Standards</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'baseline' profile enforced cluster-wide via admission controller</w:t>
            </w:r>
          </w:p>
        </w:tc>
        <w:tc>
          <w:tcPr>
            <w:tcW w:type="dxa" w:w="39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Privilege escalation, host namespace access, root container execution</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AWS Secrets Manager + ESO</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Secrets injected at runtime via External Secrets Operator — never baked into images</w:t>
            </w:r>
          </w:p>
        </w:tc>
        <w:tc>
          <w:tcPr>
            <w:tcW w:type="dxa" w:w="39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Secrets in Docker layers, environment variable leakage</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VPC Flow Logs</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All VPC network traffic logged to CloudWatch Logs with 1-year retention</w:t>
            </w:r>
          </w:p>
        </w:tc>
        <w:tc>
          <w:tcPr>
            <w:tcW w:type="dxa" w:w="39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Undetected lateral movement or data exfiltration</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CloudTrail</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All AWS API calls logged; 1-year retention; alerts on anomalous IAM activity</w:t>
            </w:r>
          </w:p>
        </w:tc>
        <w:tc>
          <w:tcPr>
            <w:tcW w:type="dxa" w:w="39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Unauthorized API calls going undetected</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Security Groups (Least Privilege)</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No 0.0.0.0/0 ingress rules; all ports explicitly scoped by service</w:t>
            </w:r>
          </w:p>
        </w:tc>
        <w:tc>
          <w:tcPr>
            <w:tcW w:type="dxa" w:w="39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Broad network attack surface, port scanning exposure</w:t>
            </w:r>
          </w:p>
        </w:tc>
      </w:tr>
    </w:tbl>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8. Deployment &amp; Setup Guide</w:t>
      </w:r>
    </w:p>
    <w:p>
      <w:pPr>
        <w:pStyle w:val="Heading2"/>
        <w:spacing w:after="140" w:before="280"/>
      </w:pPr>
      <w:r>
        <w:rPr>
          <w:rFonts w:ascii="Arial" w:cs="Arial" w:eastAsia="Arial" w:hAnsi="Arial"/>
          <w:b/>
          <w:bCs/>
          <w:color w:val="0073CF"/>
          <w:sz w:val="28"/>
          <w:szCs w:val="28"/>
        </w:rPr>
        <w:t xml:space="preserve">8.1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Tool</w:t>
            </w:r>
          </w:p>
        </w:tc>
        <w:tc>
          <w:tcPr>
            <w:tcW w:type="dxa" w:w="18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Minimum Version</w:t>
            </w:r>
          </w:p>
        </w:tc>
        <w:tc>
          <w:tcPr>
            <w:tcW w:type="dxa" w:w="54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Terraform</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&gt;= 1.6</w:t>
            </w:r>
          </w:p>
        </w:tc>
        <w:tc>
          <w:tcPr>
            <w:tcW w:type="dxa" w:w="54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Infrastructure provisioning</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AWS CLI</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&gt;= 2.15</w:t>
            </w:r>
          </w:p>
        </w:tc>
        <w:tc>
          <w:tcPr>
            <w:tcW w:type="dxa" w:w="54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AWS API interactions, kubeconfig generation</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Python</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&gt;= 3.11</w:t>
            </w:r>
          </w:p>
        </w:tc>
        <w:tc>
          <w:tcPr>
            <w:tcW w:type="dxa" w:w="54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Incident triage and alert handler scripts</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kubectl</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&gt;= 1.28</w:t>
            </w:r>
          </w:p>
        </w:tc>
        <w:tc>
          <w:tcPr>
            <w:tcW w:type="dxa" w:w="54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Kubernetes cluster management</w:t>
            </w:r>
          </w:p>
        </w:tc>
      </w:tr>
      <w:tr>
        <w:tc>
          <w:tcPr>
            <w:tcW w:type="dxa" w:w="216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Helm</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&gt;= 3.13</w:t>
            </w:r>
          </w:p>
        </w:tc>
        <w:tc>
          <w:tcPr>
            <w:tcW w:type="dxa" w:w="54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Grafana and monitoring stack deployment</w:t>
            </w:r>
          </w:p>
        </w:tc>
      </w:tr>
      <w:tr>
        <w:tc>
          <w:tcPr>
            <w:tcW w:type="dxa" w:w="216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Jenkins</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&gt;= 2.440</w:t>
            </w:r>
          </w:p>
        </w:tc>
        <w:tc>
          <w:tcPr>
            <w:tcW w:type="dxa" w:w="54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CI/CD pipeline execution</w:t>
            </w:r>
          </w:p>
        </w:tc>
      </w:tr>
    </w:tbl>
    <w:p>
      <w:pPr>
        <w:spacing w:after="0" w:before="80"/>
      </w:pPr>
      <w:r>
        <w:t xml:space="preserve"/>
      </w:r>
    </w:p>
    <w:p>
      <w:pPr>
        <w:pStyle w:val="Heading2"/>
        <w:spacing w:after="140" w:before="280"/>
      </w:pPr>
      <w:r>
        <w:rPr>
          <w:rFonts w:ascii="Arial" w:cs="Arial" w:eastAsia="Arial" w:hAnsi="Arial"/>
          <w:b/>
          <w:bCs/>
          <w:color w:val="0073CF"/>
          <w:sz w:val="28"/>
          <w:szCs w:val="28"/>
        </w:rPr>
        <w:t xml:space="preserve">8.2 Step-by-Step Deployment</w:t>
      </w:r>
    </w:p>
    <w:p>
      <w:pPr>
        <w:pStyle w:val="Heading3"/>
        <w:spacing w:after="100" w:before="200"/>
      </w:pPr>
      <w:r>
        <w:rPr>
          <w:rFonts w:ascii="Arial" w:cs="Arial" w:eastAsia="Arial" w:hAnsi="Arial"/>
          <w:b/>
          <w:bCs/>
          <w:color w:val="1A3A5C"/>
          <w:sz w:val="24"/>
          <w:szCs w:val="24"/>
        </w:rPr>
        <w:t xml:space="preserve">Step 1 — Configure AWS Credentials</w:t>
      </w:r>
    </w:p>
    <w:p>
      <w:pPr>
        <w:shd w:fill="F2F2F2" w:val="clear"/>
        <w:spacing w:after="60" w:before="60"/>
        <w:ind w:left="360" w:right="360"/>
      </w:pPr>
      <w:r>
        <w:rPr>
          <w:rFonts w:ascii="Courier New" w:cs="Courier New" w:eastAsia="Courier New" w:hAnsi="Courier New"/>
          <w:color w:val="1A1A2E"/>
          <w:sz w:val="18"/>
          <w:szCs w:val="18"/>
        </w:rPr>
        <w:t xml:space="preserve">aws configure --profile platform-sre</w:t>
      </w:r>
    </w:p>
    <w:p>
      <w:pPr>
        <w:shd w:fill="F2F2F2" w:val="clear"/>
        <w:spacing w:after="60" w:before="60"/>
        <w:ind w:left="360" w:right="360"/>
      </w:pPr>
      <w:r>
        <w:rPr>
          <w:rFonts w:ascii="Courier New" w:cs="Courier New" w:eastAsia="Courier New" w:hAnsi="Courier New"/>
          <w:color w:val="1A1A2E"/>
          <w:sz w:val="18"/>
          <w:szCs w:val="18"/>
        </w:rPr>
        <w:t xml:space="preserve">export AWS_PROFILE=platform-sre</w:t>
      </w:r>
    </w:p>
    <w:p>
      <w:pPr>
        <w:shd w:fill="F2F2F2" w:val="clear"/>
        <w:spacing w:after="60" w:before="60"/>
        <w:ind w:left="360" w:right="360"/>
      </w:pPr>
      <w:r>
        <w:rPr>
          <w:rFonts w:ascii="Courier New" w:cs="Courier New" w:eastAsia="Courier New" w:hAnsi="Courier New"/>
          <w:color w:val="1A1A2E"/>
          <w:sz w:val="18"/>
          <w:szCs w:val="18"/>
        </w:rPr>
        <w:t xml:space="preserve">export AWS_REGION=us-east-1</w:t>
      </w:r>
    </w:p>
    <w:p>
      <w:pPr>
        <w:spacing w:after="0" w:before="80"/>
      </w:pPr>
      <w:r>
        <w:t xml:space="preserve"/>
      </w:r>
    </w:p>
    <w:p>
      <w:pPr>
        <w:pStyle w:val="Heading3"/>
        <w:spacing w:after="100" w:before="200"/>
      </w:pPr>
      <w:r>
        <w:rPr>
          <w:rFonts w:ascii="Arial" w:cs="Arial" w:eastAsia="Arial" w:hAnsi="Arial"/>
          <w:b/>
          <w:bCs/>
          <w:color w:val="1A3A5C"/>
          <w:sz w:val="24"/>
          <w:szCs w:val="24"/>
        </w:rPr>
        <w:t xml:space="preserve">Step 2 — Deploy Infrastructure via Terraform</w:t>
      </w:r>
    </w:p>
    <w:p>
      <w:pPr>
        <w:shd w:fill="F2F2F2" w:val="clear"/>
        <w:spacing w:after="60" w:before="60"/>
        <w:ind w:left="360" w:right="360"/>
      </w:pPr>
      <w:r>
        <w:rPr>
          <w:rFonts w:ascii="Courier New" w:cs="Courier New" w:eastAsia="Courier New" w:hAnsi="Courier New"/>
          <w:color w:val="1A1A2E"/>
          <w:sz w:val="18"/>
          <w:szCs w:val="18"/>
        </w:rPr>
        <w:t xml:space="preserve">cd terraform</w:t>
      </w:r>
    </w:p>
    <w:p>
      <w:pPr>
        <w:shd w:fill="F2F2F2" w:val="clear"/>
        <w:spacing w:after="60" w:before="60"/>
        <w:ind w:left="360" w:right="360"/>
      </w:pPr>
      <w:r>
        <w:rPr>
          <w:rFonts w:ascii="Courier New" w:cs="Courier New" w:eastAsia="Courier New" w:hAnsi="Courier New"/>
          <w:color w:val="1A1A2E"/>
          <w:sz w:val="18"/>
          <w:szCs w:val="18"/>
        </w:rPr>
        <w:t xml:space="preserve">terraform init</w:t>
      </w:r>
    </w:p>
    <w:p>
      <w:pPr>
        <w:shd w:fill="F2F2F2" w:val="clear"/>
        <w:spacing w:after="60" w:before="60"/>
        <w:ind w:left="360" w:right="360"/>
      </w:pPr>
      <w:r>
        <w:rPr>
          <w:rFonts w:ascii="Courier New" w:cs="Courier New" w:eastAsia="Courier New" w:hAnsi="Courier New"/>
          <w:color w:val="1A1A2E"/>
          <w:sz w:val="18"/>
          <w:szCs w:val="18"/>
        </w:rPr>
        <w:t xml:space="preserve">terraform plan -var-file="environments/prod.tfvars" -out=tfplan</w:t>
      </w:r>
    </w:p>
    <w:p>
      <w:pPr>
        <w:shd w:fill="F2F2F2" w:val="clear"/>
        <w:spacing w:after="60" w:before="60"/>
        <w:ind w:left="360" w:right="360"/>
      </w:pPr>
      <w:r>
        <w:rPr>
          <w:rFonts w:ascii="Courier New" w:cs="Courier New" w:eastAsia="Courier New" w:hAnsi="Courier New"/>
          <w:color w:val="1A1A2E"/>
          <w:sz w:val="18"/>
          <w:szCs w:val="18"/>
        </w:rPr>
        <w:t xml:space="preserve">terraform apply tfplan</w:t>
      </w:r>
    </w:p>
    <w:p>
      <w:pPr>
        <w:spacing w:after="0" w:before="80"/>
      </w:pPr>
      <w:r>
        <w:t xml:space="preserve"/>
      </w:r>
    </w:p>
    <w:p>
      <w:pPr>
        <w:pStyle w:val="Heading3"/>
        <w:spacing w:after="100" w:before="200"/>
      </w:pPr>
      <w:r>
        <w:rPr>
          <w:rFonts w:ascii="Arial" w:cs="Arial" w:eastAsia="Arial" w:hAnsi="Arial"/>
          <w:b/>
          <w:bCs/>
          <w:color w:val="1A3A5C"/>
          <w:sz w:val="24"/>
          <w:szCs w:val="24"/>
        </w:rPr>
        <w:t xml:space="preserve">Step 3 — Configure kubectl for EKS</w:t>
      </w:r>
    </w:p>
    <w:p>
      <w:pPr>
        <w:shd w:fill="F2F2F2" w:val="clear"/>
        <w:spacing w:after="60" w:before="60"/>
        <w:ind w:left="360" w:right="360"/>
      </w:pPr>
      <w:r>
        <w:rPr>
          <w:rFonts w:ascii="Courier New" w:cs="Courier New" w:eastAsia="Courier New" w:hAnsi="Courier New"/>
          <w:color w:val="1A1A2E"/>
          <w:sz w:val="18"/>
          <w:szCs w:val="18"/>
        </w:rPr>
        <w:t xml:space="preserve">aws eks update-kubeconfig \</w:t>
      </w:r>
    </w:p>
    <w:p>
      <w:pPr>
        <w:shd w:fill="F2F2F2" w:val="clear"/>
        <w:spacing w:after="60" w:before="60"/>
        <w:ind w:left="360" w:right="360"/>
      </w:pPr>
      <w:r>
        <w:rPr>
          <w:rFonts w:ascii="Courier New" w:cs="Courier New" w:eastAsia="Courier New" w:hAnsi="Courier New"/>
          <w:color w:val="1A1A2E"/>
          <w:sz w:val="18"/>
          <w:szCs w:val="18"/>
        </w:rPr>
        <w:t xml:space="preserve">  --region us-east-1 \</w:t>
      </w:r>
    </w:p>
    <w:p>
      <w:pPr>
        <w:shd w:fill="F2F2F2" w:val="clear"/>
        <w:spacing w:after="60" w:before="60"/>
        <w:ind w:left="360" w:right="360"/>
      </w:pPr>
      <w:r>
        <w:rPr>
          <w:rFonts w:ascii="Courier New" w:cs="Courier New" w:eastAsia="Courier New" w:hAnsi="Courier New"/>
          <w:color w:val="1A1A2E"/>
          <w:sz w:val="18"/>
          <w:szCs w:val="18"/>
        </w:rPr>
        <w:t xml:space="preserve">  --name eks-sre-prod \</w:t>
      </w:r>
    </w:p>
    <w:p>
      <w:pPr>
        <w:shd w:fill="F2F2F2" w:val="clear"/>
        <w:spacing w:after="60" w:before="60"/>
        <w:ind w:left="360" w:right="360"/>
      </w:pPr>
      <w:r>
        <w:rPr>
          <w:rFonts w:ascii="Courier New" w:cs="Courier New" w:eastAsia="Courier New" w:hAnsi="Courier New"/>
          <w:color w:val="1A1A2E"/>
          <w:sz w:val="18"/>
          <w:szCs w:val="18"/>
        </w:rPr>
        <w:t xml:space="preserve">  --kubeconfig ~/.kube/eks-sre-prod</w:t>
      </w:r>
    </w:p>
    <w:p>
      <w:pPr>
        <w:shd w:fill="F2F2F2" w:val="clear"/>
        <w:spacing w:after="60" w:before="60"/>
        <w:ind w:left="360" w:right="360"/>
      </w:pPr>
      <w:r>
        <w:rPr>
          <w:rFonts w:ascii="Courier New" w:cs="Courier New" w:eastAsia="Courier New" w:hAnsi="Courier New"/>
          <w:color w:val="1A1A2E"/>
          <w:sz w:val="18"/>
          <w:szCs w:val="18"/>
        </w:rPr>
        <w:t xml:space="preserve">kubectl get nodes</w:t>
      </w:r>
    </w:p>
    <w:p>
      <w:pPr>
        <w:spacing w:after="0" w:before="80"/>
      </w:pPr>
      <w:r>
        <w:t xml:space="preserve"/>
      </w:r>
    </w:p>
    <w:p>
      <w:pPr>
        <w:pStyle w:val="Heading3"/>
        <w:spacing w:after="100" w:before="200"/>
      </w:pPr>
      <w:r>
        <w:rPr>
          <w:rFonts w:ascii="Arial" w:cs="Arial" w:eastAsia="Arial" w:hAnsi="Arial"/>
          <w:b/>
          <w:bCs/>
          <w:color w:val="1A3A5C"/>
          <w:sz w:val="24"/>
          <w:szCs w:val="24"/>
        </w:rPr>
        <w:t xml:space="preserve">Step 4 — Install Grafana Monitoring Stack</w:t>
      </w:r>
    </w:p>
    <w:p>
      <w:pPr>
        <w:shd w:fill="F2F2F2" w:val="clear"/>
        <w:spacing w:after="60" w:before="60"/>
        <w:ind w:left="360" w:right="360"/>
      </w:pPr>
      <w:r>
        <w:rPr>
          <w:rFonts w:ascii="Courier New" w:cs="Courier New" w:eastAsia="Courier New" w:hAnsi="Courier New"/>
          <w:color w:val="1A1A2E"/>
          <w:sz w:val="18"/>
          <w:szCs w:val="18"/>
        </w:rPr>
        <w:t xml:space="preserve">helm repo add grafana https://grafana.github.io/helm-charts</w:t>
      </w:r>
    </w:p>
    <w:p>
      <w:pPr>
        <w:shd w:fill="F2F2F2" w:val="clear"/>
        <w:spacing w:after="60" w:before="60"/>
        <w:ind w:left="360" w:right="360"/>
      </w:pPr>
      <w:r>
        <w:rPr>
          <w:rFonts w:ascii="Courier New" w:cs="Courier New" w:eastAsia="Courier New" w:hAnsi="Courier New"/>
          <w:color w:val="1A1A2E"/>
          <w:sz w:val="18"/>
          <w:szCs w:val="18"/>
        </w:rPr>
        <w:t xml:space="preserve">helm repo update</w:t>
      </w:r>
    </w:p>
    <w:p>
      <w:pPr>
        <w:shd w:fill="F2F2F2" w:val="clear"/>
        <w:spacing w:after="60" w:before="60"/>
        <w:ind w:left="360" w:right="360"/>
      </w:pPr>
      <w:r>
        <w:rPr>
          <w:rFonts w:ascii="Courier New" w:cs="Courier New" w:eastAsia="Courier New" w:hAnsi="Courier New"/>
          <w:color w:val="1A1A2E"/>
          <w:sz w:val="18"/>
          <w:szCs w:val="18"/>
        </w:rPr>
        <w:t xml:space="preserve">helm upgrade --install grafana grafana/grafana \</w:t>
      </w:r>
    </w:p>
    <w:p>
      <w:pPr>
        <w:shd w:fill="F2F2F2" w:val="clear"/>
        <w:spacing w:after="60" w:before="60"/>
        <w:ind w:left="360" w:right="360"/>
      </w:pPr>
      <w:r>
        <w:rPr>
          <w:rFonts w:ascii="Courier New" w:cs="Courier New" w:eastAsia="Courier New" w:hAnsi="Courier New"/>
          <w:color w:val="1A1A2E"/>
          <w:sz w:val="18"/>
          <w:szCs w:val="18"/>
        </w:rPr>
        <w:t xml:space="preserve">  --namespace monitoring --create-namespace \</w:t>
      </w:r>
    </w:p>
    <w:p>
      <w:pPr>
        <w:shd w:fill="F2F2F2" w:val="clear"/>
        <w:spacing w:after="60" w:before="60"/>
        <w:ind w:left="360" w:right="360"/>
      </w:pPr>
      <w:r>
        <w:rPr>
          <w:rFonts w:ascii="Courier New" w:cs="Courier New" w:eastAsia="Courier New" w:hAnsi="Courier New"/>
          <w:color w:val="1A1A2E"/>
          <w:sz w:val="18"/>
          <w:szCs w:val="18"/>
        </w:rPr>
        <w:t xml:space="preserve">  --set persistence.enabled=true \</w:t>
      </w:r>
    </w:p>
    <w:p>
      <w:pPr>
        <w:shd w:fill="F2F2F2" w:val="clear"/>
        <w:spacing w:after="60" w:before="60"/>
        <w:ind w:left="360" w:right="360"/>
      </w:pPr>
      <w:r>
        <w:rPr>
          <w:rFonts w:ascii="Courier New" w:cs="Courier New" w:eastAsia="Courier New" w:hAnsi="Courier New"/>
          <w:color w:val="1A1A2E"/>
          <w:sz w:val="18"/>
          <w:szCs w:val="18"/>
        </w:rPr>
        <w:t xml:space="preserve">  --set persistence.storageClassName=gp3</w:t>
      </w:r>
    </w:p>
    <w:p>
      <w:pPr>
        <w:spacing w:after="0" w:before="80"/>
      </w:pPr>
      <w:r>
        <w:t xml:space="preserve"/>
      </w:r>
    </w:p>
    <w:p>
      <w:pPr>
        <w:pStyle w:val="Heading3"/>
        <w:spacing w:after="100" w:before="200"/>
      </w:pPr>
      <w:r>
        <w:rPr>
          <w:rFonts w:ascii="Arial" w:cs="Arial" w:eastAsia="Arial" w:hAnsi="Arial"/>
          <w:b/>
          <w:bCs/>
          <w:color w:val="1A3A5C"/>
          <w:sz w:val="24"/>
          <w:szCs w:val="24"/>
        </w:rPr>
        <w:t xml:space="preserve">Step 5 — Activate Incident Triage Scripts</w:t>
      </w:r>
    </w:p>
    <w:p>
      <w:pPr>
        <w:shd w:fill="F2F2F2" w:val="clear"/>
        <w:spacing w:after="60" w:before="60"/>
        <w:ind w:left="360" w:right="360"/>
      </w:pPr>
      <w:r>
        <w:rPr>
          <w:rFonts w:ascii="Courier New" w:cs="Courier New" w:eastAsia="Courier New" w:hAnsi="Courier New"/>
          <w:color w:val="1A1A2E"/>
          <w:sz w:val="18"/>
          <w:szCs w:val="18"/>
        </w:rPr>
        <w:t xml:space="preserve">cd scripts &amp;&amp; pip install -r requirements.txt</w:t>
      </w:r>
    </w:p>
    <w:p>
      <w:pPr>
        <w:shd w:fill="F2F2F2" w:val="clear"/>
        <w:spacing w:after="60" w:before="60"/>
        <w:ind w:left="360" w:right="360"/>
      </w:pPr>
      <w:r>
        <w:rPr>
          <w:rFonts w:ascii="Courier New" w:cs="Courier New" w:eastAsia="Courier New" w:hAnsi="Courier New"/>
          <w:color w:val="1A1A2E"/>
          <w:sz w:val="18"/>
          <w:szCs w:val="18"/>
        </w:rPr>
        <w:t xml:space="preserve">python incident_triage.py \</w:t>
      </w:r>
    </w:p>
    <w:p>
      <w:pPr>
        <w:shd w:fill="F2F2F2" w:val="clear"/>
        <w:spacing w:after="60" w:before="60"/>
        <w:ind w:left="360" w:right="360"/>
      </w:pPr>
      <w:r>
        <w:rPr>
          <w:rFonts w:ascii="Courier New" w:cs="Courier New" w:eastAsia="Courier New" w:hAnsi="Courier New"/>
          <w:color w:val="1A1A2E"/>
          <w:sz w:val="18"/>
          <w:szCs w:val="18"/>
        </w:rPr>
        <w:t xml:space="preserve">  --cluster eks-sre-prod --region us-east-1 --time-window 30m</w:t>
      </w:r>
    </w:p>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9. Escalation Matrix &amp; Contacts</w:t>
      </w:r>
    </w:p>
    <w:p>
      <w:pPr>
        <w:spacing w:after="80" w:before="80"/>
        <w:jc w:val="left"/>
      </w:pPr>
      <w:r>
        <w:rPr>
          <w:rFonts w:ascii="Arial" w:cs="Arial" w:eastAsia="Arial" w:hAnsi="Arial"/>
          <w:b w:val="false"/>
          <w:bCs w:val="false"/>
          <w:i w:val="false"/>
          <w:iCs w:val="false"/>
          <w:color w:val="1E1E1E"/>
          <w:sz w:val="22"/>
          <w:szCs w:val="22"/>
        </w:rPr>
        <w:t xml:space="preserve">The following escalation paths are defined in the RUNBOOK.md and enforced by PagerDuty routing rules. ServiceNow users will recognize this as equivalent to an Assignment Group routing policy with SLA breach escalation.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20"/>
        <w:gridCol w:w="3240"/>
      </w:tblGrid>
      <w:tr>
        <w:trPr>
          <w:tblHeader/>
        </w:trPr>
        <w:tc>
          <w:tcPr>
            <w:tcW w:type="dxa" w:w="18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 / Team</w:t>
            </w:r>
          </w:p>
        </w:tc>
        <w:tc>
          <w:tcPr>
            <w:tcW w:type="dxa" w:w="18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Contact Channel</w:t>
            </w:r>
          </w:p>
        </w:tc>
        <w:tc>
          <w:tcPr>
            <w:tcW w:type="dxa" w:w="252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When to Escalate</w:t>
            </w:r>
          </w:p>
        </w:tc>
        <w:tc>
          <w:tcPr>
            <w:tcW w:type="dxa" w:w="324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Ownership</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Platform SRE On-Call</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PagerDuty — platform-sre</w:t>
            </w:r>
          </w:p>
        </w:tc>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Any SEV-1; SEV-2 unresolved &gt; 15 min</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Kubernetes, EKS, networking</w:t>
            </w:r>
          </w:p>
        </w:tc>
      </w:tr>
      <w:tr>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Database Team</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#db-oncall (Slack)</w:t>
            </w:r>
          </w:p>
        </w:tc>
        <w:tc>
          <w:tcPr>
            <w:tcW w:type="dxa" w:w="25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RDS / PostgreSQL incidents, connection exhaustion</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RDS, query performance</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Security Team</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#security-incidents (Slack)</w:t>
            </w:r>
          </w:p>
        </w:tc>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Suspected breach, IAM anomaly, unusual CloudTrail events</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IAM, compliance, vault</w:t>
            </w:r>
          </w:p>
        </w:tc>
      </w:tr>
      <w:tr>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Cloud Provider (AWS)</w:t>
            </w:r>
          </w:p>
        </w:tc>
        <w:tc>
          <w:tcPr>
            <w:tcW w:type="dxa" w:w="18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AWS Business Support</w:t>
            </w:r>
          </w:p>
        </w:tc>
        <w:tc>
          <w:tcPr>
            <w:tcW w:type="dxa" w:w="25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Confirmed AWS service incident (e.g., AZ outage)</w:t>
            </w:r>
          </w:p>
        </w:tc>
        <w:tc>
          <w:tcPr>
            <w:tcW w:type="dxa" w:w="32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AWS infrastructure</w:t>
            </w:r>
          </w:p>
        </w:tc>
      </w:tr>
      <w:tr>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Engineering Lead</w:t>
            </w:r>
          </w:p>
        </w:tc>
        <w:tc>
          <w:tcPr>
            <w:tcW w:type="dxa" w:w="18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Direct message</w:t>
            </w:r>
          </w:p>
        </w:tc>
        <w:tc>
          <w:tcPr>
            <w:tcW w:type="dxa" w:w="25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Customer-facing impact sustained &gt; 30 minutes</w:t>
            </w:r>
          </w:p>
        </w:tc>
        <w:tc>
          <w:tcPr>
            <w:tcW w:type="dxa" w:w="32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Executive communication</w:t>
            </w:r>
          </w:p>
        </w:tc>
      </w:tr>
    </w:tbl>
    <w:p>
      <w:r>
        <w:br w:type="page"/>
      </w:r>
    </w:p>
    <w:p>
      <w:pPr>
        <w:pStyle w:val="Heading1"/>
        <w:pBdr>
          <w:bottom w:val="single" w:color="0073CF" w:sz="8" w:space="6"/>
        </w:pBdr>
        <w:spacing w:after="200" w:before="360"/>
      </w:pPr>
      <w:r>
        <w:rPr>
          <w:rFonts w:ascii="Arial" w:cs="Arial" w:eastAsia="Arial" w:hAnsi="Arial"/>
          <w:b/>
          <w:bCs/>
          <w:color w:val="1A3A5C"/>
          <w:sz w:val="36"/>
          <w:szCs w:val="36"/>
        </w:rPr>
        <w:t xml:space="preserve">10. Glossary of Key Terms</w:t>
      </w:r>
    </w:p>
    <w:p>
      <w:pPr>
        <w:spacing w:after="80" w:before="80"/>
        <w:jc w:val="left"/>
      </w:pPr>
      <w:r>
        <w:rPr>
          <w:rFonts w:ascii="Arial" w:cs="Arial" w:eastAsia="Arial" w:hAnsi="Arial"/>
          <w:b w:val="false"/>
          <w:bCs w:val="false"/>
          <w:i w:val="false"/>
          <w:iCs w:val="false"/>
          <w:color w:val="1E1E1E"/>
          <w:sz w:val="22"/>
          <w:szCs w:val="22"/>
        </w:rPr>
        <w:t xml:space="preserve">This glossary maps SRE/DevOps terminology to concepts familiar to a ServiceNow developer: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rPr>
          <w:tblHeader/>
        </w:trPr>
        <w:tc>
          <w:tcPr>
            <w:tcW w:type="dxa" w:w="144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360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c>
          <w:tcPr>
            <w:tcW w:type="dxa" w:w="4320"/>
            <w:tcBorders>
              <w:top w:val="single" w:color="0073CF" w:sz="1"/>
              <w:left w:val="single" w:color="0073CF" w:sz="1"/>
              <w:bottom w:val="single" w:color="0073CF" w:sz="1"/>
              <w:right w:val="single" w:color="0073CF" w:sz="1"/>
            </w:tcBorders>
            <w:shd w:fill="1A3A5C"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ServiceNow Equivalent</w:t>
            </w:r>
          </w:p>
        </w:tc>
      </w:tr>
      <w:tr>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EKS</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Elastic Kubernetes Service — AWS managed Kubernetes cluster</w:t>
            </w:r>
          </w:p>
        </w:tc>
        <w:tc>
          <w:tcPr>
            <w:tcW w:type="dxa" w:w="43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MID Server cluster / CMDB CI Group</w:t>
            </w:r>
          </w:p>
        </w:tc>
      </w:tr>
      <w:tr>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Terraform</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Infrastructure as Code tool — provisions AWS resources declaratively</w:t>
            </w:r>
          </w:p>
        </w:tc>
        <w:tc>
          <w:tcPr>
            <w:tcW w:type="dxa" w:w="43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Discovery pattern / CMDB population script</w:t>
            </w:r>
          </w:p>
        </w:tc>
      </w:tr>
      <w:tr>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CloudWatch</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AWS native monitoring and alerting service</w:t>
            </w:r>
          </w:p>
        </w:tc>
        <w:tc>
          <w:tcPr>
            <w:tcW w:type="dxa" w:w="43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ServiceNow Event Management / Health Log Analytics</w:t>
            </w:r>
          </w:p>
        </w:tc>
      </w:tr>
      <w:tr>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SNS</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Simple Notification Service — AWS pub/sub messaging for alerts</w:t>
            </w:r>
          </w:p>
        </w:tc>
        <w:tc>
          <w:tcPr>
            <w:tcW w:type="dxa" w:w="43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ServiceNow Notification Engine / Event Broker</w:t>
            </w:r>
          </w:p>
        </w:tc>
      </w:tr>
      <w:tr>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IRSA</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IAM Roles for Service Accounts — pod-level AWS permissions via OIDC</w:t>
            </w:r>
          </w:p>
        </w:tc>
        <w:tc>
          <w:tcPr>
            <w:tcW w:type="dxa" w:w="43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ServiceNow OAuth scopes / user role assignment</w:t>
            </w:r>
          </w:p>
        </w:tc>
      </w:tr>
      <w:tr>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Helm</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Kubernetes package manager — deploys applications as versioned 'charts'</w:t>
            </w:r>
          </w:p>
        </w:tc>
        <w:tc>
          <w:tcPr>
            <w:tcW w:type="dxa" w:w="43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ServiceNow Update Set / Application deployment</w:t>
            </w:r>
          </w:p>
        </w:tc>
      </w:tr>
      <w:tr>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MTTD</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Mean Time to Detect — avg time from incident start to alert firing</w:t>
            </w:r>
          </w:p>
        </w:tc>
        <w:tc>
          <w:tcPr>
            <w:tcW w:type="dxa" w:w="43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SLA: Time to first notification</w:t>
            </w:r>
          </w:p>
        </w:tc>
      </w:tr>
      <w:tr>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MTTR</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Mean Time to Recovery — avg time from alert to service restoration</w:t>
            </w:r>
          </w:p>
        </w:tc>
        <w:tc>
          <w:tcPr>
            <w:tcW w:type="dxa" w:w="43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SLA: Resolution time</w:t>
            </w:r>
          </w:p>
        </w:tc>
      </w:tr>
      <w:tr>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SLO</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Service Level Objective — internal reliability target (e.g., 99.9%)</w:t>
            </w:r>
          </w:p>
        </w:tc>
        <w:tc>
          <w:tcPr>
            <w:tcW w:type="dxa" w:w="43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SLA target / OLA (Operational Level Agreement)</w:t>
            </w:r>
          </w:p>
        </w:tc>
      </w:tr>
      <w:tr>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PIR</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Post-Incident Review — blameless retrospective after a SEV-1/SEV-2</w:t>
            </w:r>
          </w:p>
        </w:tc>
        <w:tc>
          <w:tcPr>
            <w:tcW w:type="dxa" w:w="43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Problem Management post-review / RCA report</w:t>
            </w:r>
          </w:p>
        </w:tc>
      </w:tr>
      <w:tr>
        <w:tc>
          <w:tcPr>
            <w:tcW w:type="dxa" w:w="144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CrashLoopBackOff</w:t>
            </w:r>
          </w:p>
        </w:tc>
        <w:tc>
          <w:tcPr>
            <w:tcW w:type="dxa" w:w="360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Kubernetes state: pod repeatedly crashing and restarting</w:t>
            </w:r>
          </w:p>
        </w:tc>
        <w:tc>
          <w:tcPr>
            <w:tcW w:type="dxa" w:w="4320"/>
            <w:tcBorders>
              <w:top w:val="single" w:color="AACDE8" w:sz="1"/>
              <w:left w:val="single" w:color="AACDE8" w:sz="1"/>
              <w:bottom w:val="single" w:color="AACDE8" w:sz="1"/>
              <w:right w:val="single" w:color="AACDE8" w:sz="1"/>
            </w:tcBorders>
            <w:shd w:fill="FFFFFF" w:val="clear"/>
            <w:tcMar>
              <w:top w:type="dxa" w:w="80"/>
              <w:left w:type="dxa" w:w="150"/>
              <w:bottom w:type="dxa" w:w="80"/>
              <w:right w:type="dxa" w:w="150"/>
            </w:tcMar>
            <w:vAlign w:val="center"/>
          </w:tcPr>
          <w:p>
            <w:r>
              <w:rPr>
                <w:rFonts w:ascii="Arial" w:cs="Arial" w:eastAsia="Arial" w:hAnsi="Arial"/>
                <w:color w:val="1E1E1E"/>
                <w:sz w:val="20"/>
                <w:szCs w:val="20"/>
              </w:rPr>
              <w:t xml:space="preserve">Application CI in 'Error' operational status</w:t>
            </w:r>
          </w:p>
        </w:tc>
      </w:tr>
      <w:tr>
        <w:tc>
          <w:tcPr>
            <w:tcW w:type="dxa" w:w="144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OOMKill</w:t>
            </w:r>
          </w:p>
        </w:tc>
        <w:tc>
          <w:tcPr>
            <w:tcW w:type="dxa" w:w="360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Out-of-Memory Kill — pod terminated by OS due to exceeding memory limit</w:t>
            </w:r>
          </w:p>
        </w:tc>
        <w:tc>
          <w:tcPr>
            <w:tcW w:type="dxa" w:w="4320"/>
            <w:tcBorders>
              <w:top w:val="single" w:color="AACDE8" w:sz="1"/>
              <w:left w:val="single" w:color="AACDE8" w:sz="1"/>
              <w:bottom w:val="single" w:color="AACDE8" w:sz="1"/>
              <w:right w:val="single" w:color="AACDE8" w:sz="1"/>
            </w:tcBorders>
            <w:shd w:fill="F4F8FC" w:val="clear"/>
            <w:tcMar>
              <w:top w:type="dxa" w:w="80"/>
              <w:left w:type="dxa" w:w="150"/>
              <w:bottom w:type="dxa" w:w="80"/>
              <w:right w:type="dxa" w:w="150"/>
            </w:tcMar>
            <w:vAlign w:val="center"/>
          </w:tcPr>
          <w:p>
            <w:r>
              <w:rPr>
                <w:rFonts w:ascii="Arial" w:cs="Arial" w:eastAsia="Arial" w:hAnsi="Arial"/>
                <w:color w:val="1E1E1E"/>
                <w:sz w:val="20"/>
                <w:szCs w:val="20"/>
              </w:rPr>
              <w:t xml:space="preserve">Resource exhaustion alert / disk full CI alarm</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73C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2026-04-22T20:20:00.756Z</dcterms:created>
  <dcterms:modified xsi:type="dcterms:W3CDTF">2026-04-22T20:20:00.757Z</dcterms:modified>
</cp:coreProperties>
</file>

<file path=docProps/custom.xml><?xml version="1.0" encoding="utf-8"?>
<Properties xmlns="http://schemas.openxmlformats.org/officeDocument/2006/custom-properties" xmlns:vt="http://schemas.openxmlformats.org/officeDocument/2006/docPropsVTypes"/>
</file>