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480"/>
              <w:left w:type="dxa" w:w="480"/>
              <w:bottom w:type="dxa" w:w="480"/>
              <w:right w:type="dxa" w:w="480"/>
            </w:tcMar>
          </w:tcPr>
          <w:p>
            <w:pPr>
              <w:spacing w:after="80" w:before="0"/>
            </w:pPr>
            <w:r>
              <w:rPr>
                <w:rFonts w:ascii="Arial" w:cs="Arial" w:eastAsia="Arial" w:hAnsi="Arial"/>
                <w:b/>
                <w:bCs/>
                <w:caps/>
                <w:color w:val="0078D4"/>
                <w:sz w:val="18"/>
                <w:szCs w:val="18"/>
              </w:rPr>
              <w:t xml:space="preserve">TECHNICAL REFERENCE DOCUMENT</w:t>
            </w:r>
          </w:p>
          <w:p>
            <w:pPr>
              <w:spacing w:after="160" w:before="0"/>
            </w:pPr>
            <w:r>
              <w:rPr>
                <w:rFonts w:ascii="Arial" w:cs="Arial" w:eastAsia="Arial" w:hAnsi="Arial"/>
                <w:b/>
                <w:bCs/>
                <w:color w:val="FFFFFF"/>
                <w:sz w:val="48"/>
                <w:szCs w:val="48"/>
              </w:rPr>
              <w:t xml:space="preserve">Azure AKS Platform Bootstrap</w:t>
            </w:r>
          </w:p>
          <w:p>
            <w:pPr>
              <w:spacing w:after="240" w:before="0"/>
            </w:pPr>
            <w:r>
              <w:rPr>
                <w:rFonts w:ascii="Arial" w:cs="Arial" w:eastAsia="Arial" w:hAnsi="Arial"/>
                <w:color w:val="D9D9D9"/>
                <w:sz w:val="22"/>
                <w:szCs w:val="22"/>
              </w:rPr>
              <w:t xml:space="preserve">Enterprise Kubernetes Platform on Microsoft Azure — Architecture, Design &amp; Operations Guide</w:t>
            </w:r>
          </w:p>
          <w:p>
            <w:pPr>
              <w:spacing w:after="0" w:before="0"/>
            </w:pPr>
            <w:r>
              <w:rPr>
                <w:rFonts w:ascii="Arial" w:cs="Arial" w:eastAsia="Arial" w:hAnsi="Arial"/>
                <w:color w:val="D9D9D9"/>
                <w:sz w:val="20"/>
                <w:szCs w:val="20"/>
              </w:rPr>
              <w:t xml:space="preserve">Prepared by: </w:t>
            </w:r>
            <w:r>
              <w:rPr>
                <w:rFonts w:ascii="Arial" w:cs="Arial" w:eastAsia="Arial" w:hAnsi="Arial"/>
                <w:b/>
                <w:bCs/>
                <w:color w:val="FFFFFF"/>
                <w:sz w:val="20"/>
                <w:szCs w:val="20"/>
              </w:rPr>
              <w:t xml:space="preserve">Platform Engineering Team  </w:t>
            </w:r>
            <w:r>
              <w:rPr>
                <w:rFonts w:ascii="Arial" w:cs="Arial" w:eastAsia="Arial" w:hAnsi="Arial"/>
                <w:color w:val="D9D9D9"/>
                <w:sz w:val="20"/>
                <w:szCs w:val="20"/>
              </w:rPr>
              <w:t xml:space="preserve">  |  Version: 1.0  |  Audience: Senior Developers &amp; Architects</w:t>
            </w:r>
          </w:p>
        </w:tc>
      </w:tr>
    </w:tbl>
    <w:p>
      <w:pPr>
        <w:spacing w:after="0" w:before="4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1. Executive Summary</w:t>
      </w:r>
    </w:p>
    <w:p>
      <w:pPr>
        <w:spacing w:after="100" w:before="80"/>
      </w:pPr>
      <w:r>
        <w:rPr>
          <w:rFonts w:ascii="Arial" w:cs="Arial" w:eastAsia="Arial" w:hAnsi="Arial"/>
          <w:color w:val="212121"/>
          <w:sz w:val="22"/>
          <w:szCs w:val="22"/>
        </w:rPr>
        <w:t xml:space="preserve">This document provides a complete technical walkthrough of the Azure AKS Platform Bootstrap project — an enterprise-grade Infrastructure-as-Code (IaC) solution that provisions a production-ready Kubernetes cluster on Microsoft Azure, fully automated through CI/CD pipelines.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0078D4" w:sz="12"/>
              <w:bottom w:val="single" w:color="D9D9D9" w:sz="1"/>
              <w:right w:val="single" w:color="D9D9D9" w:sz="1"/>
            </w:tcBorders>
            <w:shd w:fill="EBF3FB"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Who This Document Is For</w:t>
            </w:r>
          </w:p>
          <w:p>
            <w:pPr>
              <w:spacing w:after="0" w:before="0"/>
            </w:pPr>
            <w:r>
              <w:rPr>
                <w:rFonts w:ascii="Arial" w:cs="Arial" w:eastAsia="Arial" w:hAnsi="Arial"/>
                <w:color w:val="212121"/>
                <w:sz w:val="20"/>
                <w:szCs w:val="20"/>
              </w:rPr>
              <w:t xml:space="preserve">This reference is written for a Senior Developer (4+ years) with ServiceNow platform experience. It maps familiar concepts (workflow automation, RBAC, environment promotion) to their equivalents in the Kubernetes/Azure ecosystem, and explains every design decision with enterprise production context.</w:t>
            </w:r>
          </w:p>
        </w:tc>
      </w:tr>
    </w:tbl>
    <w:p>
      <w:pPr>
        <w:spacing w:after="0" w:before="200"/>
      </w:pPr>
      <w:r>
        <w:t xml:space="preserve"/>
      </w:r>
    </w:p>
    <w:p>
      <w:pPr>
        <w:pStyle w:val="Heading2"/>
        <w:spacing w:after="120" w:before="320"/>
      </w:pPr>
      <w:r>
        <w:rPr>
          <w:rFonts w:ascii="Arial" w:cs="Arial" w:eastAsia="Arial" w:hAnsi="Arial"/>
          <w:b/>
          <w:bCs/>
          <w:color w:val="1A1A2E"/>
          <w:sz w:val="26"/>
          <w:szCs w:val="26"/>
        </w:rPr>
        <w:t xml:space="preserve">Core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Principle</w:t>
            </w:r>
          </w:p>
        </w:tc>
        <w:tc>
          <w:tcPr>
            <w:tcW w:type="dxa" w:w="40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Means</w:t>
            </w:r>
          </w:p>
        </w:tc>
        <w:tc>
          <w:tcPr>
            <w:tcW w:type="dxa" w:w="31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ServiceNow Analogy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Security by Default</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Every resource is private; least-privilege access enforced everywhere</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ACL rules blocking all unless explicitly granted</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GitOps-Driven</w:t>
            </w:r>
          </w:p>
        </w:tc>
        <w:tc>
          <w:tcPr>
            <w:tcW w:type="dxa" w:w="4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 infra changes flow through version-controlled pipelines</w:t>
            </w:r>
          </w:p>
        </w:tc>
        <w:tc>
          <w:tcPr>
            <w:tcW w:type="dxa" w:w="3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Update Sets + Automated Deployment Pipeline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Observable at Every Layer</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Metrics, logs, and traces from node to application</w:t>
            </w:r>
          </w:p>
        </w:tc>
        <w:tc>
          <w:tcPr>
            <w:tcW w:type="dxa" w:w="3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Event Management + Performance Analytics</w:t>
            </w:r>
          </w:p>
        </w:tc>
      </w:tr>
    </w:tbl>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2. Technology Stack</w:t>
      </w:r>
    </w:p>
    <w:p>
      <w:pPr>
        <w:spacing w:after="100" w:before="80"/>
      </w:pPr>
      <w:r>
        <w:rPr>
          <w:rFonts w:ascii="Arial" w:cs="Arial" w:eastAsia="Arial" w:hAnsi="Arial"/>
          <w:color w:val="212121"/>
          <w:sz w:val="22"/>
          <w:szCs w:val="22"/>
        </w:rPr>
        <w:t xml:space="preserve">The platform is composed of carefully chosen, industry-standard tools. Each layer has a specific responsibility — no tool overlaps with another.</w:t>
      </w:r>
    </w:p>
    <w:p>
      <w:pPr>
        <w:spacing w:after="0" w:before="120"/>
      </w:pPr>
      <w:r>
        <w:t xml:space="preserve"/>
      </w:r>
    </w:p>
    <w:tbl>
      <w:tblPr>
        <w:tblW w:type="dxa" w:w="10260"/>
        <w:tblBorders>
          <w:top w:val="single" w:color="auto" w:sz="4"/>
          <w:left w:val="single" w:color="auto" w:sz="4"/>
          <w:bottom w:val="single" w:color="auto" w:sz="4"/>
          <w:right w:val="single" w:color="auto" w:sz="4"/>
          <w:insideH w:val="single" w:color="auto" w:sz="4"/>
          <w:insideV w:val="single" w:color="auto" w:sz="4"/>
        </w:tblBorders>
      </w:tblPr>
      <w:tblGrid>
        <w:gridCol w:w="2100"/>
        <w:gridCol w:w="2200"/>
        <w:gridCol w:w="1100"/>
        <w:gridCol w:w="4860"/>
      </w:tblGrid>
      <w:tr>
        <w:trPr>
          <w:tblHeader/>
        </w:trPr>
        <w:tc>
          <w:tcPr>
            <w:tcW w:type="dxa" w:w="21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11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Version</w:t>
            </w:r>
          </w:p>
        </w:tc>
        <w:tc>
          <w:tcPr>
            <w:tcW w:type="dxa" w:w="48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Infrastructure as Code</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Terraform</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1.6+</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Declarative provisioning of all Azure resources</w:t>
            </w:r>
          </w:p>
        </w:tc>
      </w:tr>
      <w:tr>
        <w:tc>
          <w:tcPr>
            <w:tcW w:type="dxa" w:w="21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Cloud Provider</w:t>
            </w:r>
          </w:p>
        </w:tc>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Microsoft Azure</w:t>
            </w:r>
          </w:p>
        </w:tc>
        <w:tc>
          <w:tcPr>
            <w:tcW w:type="dxa" w:w="11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48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Primary cloud — compute, networking, identity</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Container Orchestration</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AKS (Kubernetes)</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1.28+</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Manages containerized application workloads</w:t>
            </w:r>
          </w:p>
        </w:tc>
      </w:tr>
      <w:tr>
        <w:tc>
          <w:tcPr>
            <w:tcW w:type="dxa" w:w="21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Container Networking</w:t>
            </w:r>
          </w:p>
        </w:tc>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Azure CNI</w:t>
            </w:r>
          </w:p>
        </w:tc>
        <w:tc>
          <w:tcPr>
            <w:tcW w:type="dxa" w:w="11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48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Pods get real VNet IPs — native Azure networking</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Secrets Management</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Azure Key Vault + CSI Driver</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Zero secrets ever stored in code or images</w:t>
            </w:r>
          </w:p>
        </w:tc>
      </w:tr>
      <w:tr>
        <w:tc>
          <w:tcPr>
            <w:tcW w:type="dxa" w:w="21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CI/CD Automation</w:t>
            </w:r>
          </w:p>
        </w:tc>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GitHub Actions</w:t>
            </w:r>
          </w:p>
        </w:tc>
        <w:tc>
          <w:tcPr>
            <w:tcW w:type="dxa" w:w="11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48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Automated plan/apply pipeline with approval gates</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Helm</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Helm 3</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3.x</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Kubernetes application lifecycle &amp; templating</w:t>
            </w:r>
          </w:p>
        </w:tc>
      </w:tr>
      <w:tr>
        <w:tc>
          <w:tcPr>
            <w:tcW w:type="dxa" w:w="21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Metrics</w:t>
            </w:r>
          </w:p>
        </w:tc>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Prometheus + Grafana</w:t>
            </w:r>
          </w:p>
        </w:tc>
        <w:tc>
          <w:tcPr>
            <w:tcW w:type="dxa" w:w="11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48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Real-time scraping, dashboards, alerting</w:t>
            </w:r>
          </w:p>
        </w:tc>
      </w:tr>
      <w:tr>
        <w:tc>
          <w:tcPr>
            <w:tcW w:type="dxa" w:w="2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Logging</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Azure Monitor + Log Analytics</w:t>
            </w:r>
          </w:p>
        </w:tc>
        <w:tc>
          <w:tcPr>
            <w:tcW w:type="dxa" w:w="11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t>
            </w:r>
          </w:p>
        </w:tc>
        <w:tc>
          <w:tcPr>
            <w:tcW w:type="dxa" w:w="48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Centralized log aggregation and querying</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0078D4" w:sz="12"/>
              <w:bottom w:val="single" w:color="D9D9D9" w:sz="1"/>
              <w:right w:val="single" w:color="D9D9D9" w:sz="1"/>
            </w:tcBorders>
            <w:shd w:fill="EBF3FB"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Why Terraform?</w:t>
            </w:r>
          </w:p>
          <w:p>
            <w:pPr>
              <w:spacing w:after="0" w:before="0"/>
            </w:pPr>
            <w:r>
              <w:rPr>
                <w:rFonts w:ascii="Arial" w:cs="Arial" w:eastAsia="Arial" w:hAnsi="Arial"/>
                <w:color w:val="212121"/>
                <w:sz w:val="20"/>
                <w:szCs w:val="20"/>
              </w:rPr>
              <w:t xml:space="preserve">Terraform allows the entire Azure infrastructure to be described as code — versioned in Git, reviewed in PRs, and applied through automated pipelines. This is equivalent to defining all your ServiceNow configuration in XML update sets and deploying them through an automated CI/CD process rather than clicking through the UI. Every change is auditable, repeatable, and reversible.</w:t>
            </w:r>
          </w:p>
        </w:tc>
      </w:tr>
    </w:tbl>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3. Repository Structure</w:t>
      </w:r>
    </w:p>
    <w:p>
      <w:pPr>
        <w:spacing w:after="100" w:before="80"/>
      </w:pPr>
      <w:r>
        <w:rPr>
          <w:rFonts w:ascii="Arial" w:cs="Arial" w:eastAsia="Arial" w:hAnsi="Arial"/>
          <w:color w:val="212121"/>
          <w:sz w:val="22"/>
          <w:szCs w:val="22"/>
        </w:rPr>
        <w:t xml:space="preserve">The repository is organized by concern — infrastructure code, CI/CD workflows, Helm charts, and scripts are cleanly separated. This mirrors a clean modular architecture where each folder has a single responsibility.</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Directory Layout</w:t>
      </w:r>
    </w:p>
    <w:p>
      <w:pPr>
        <w:spacing w:after="0" w:before="0"/>
        <w:ind w:left="360"/>
      </w:pPr>
      <w:r>
        <w:rPr>
          <w:rFonts w:ascii="Courier New" w:cs="Courier New" w:eastAsia="Courier New" w:hAnsi="Courier New"/>
          <w:color w:val="D83B01"/>
          <w:sz w:val="18"/>
          <w:szCs w:val="18"/>
        </w:rPr>
        <w:t xml:space="preserve">azure-aks-platform-bootstrap/</w:t>
      </w:r>
    </w:p>
    <w:p>
      <w:pPr>
        <w:spacing w:after="0" w:before="0"/>
        <w:ind w:left="360"/>
      </w:pPr>
      <w:r>
        <w:rPr>
          <w:rFonts w:ascii="Courier New" w:cs="Courier New" w:eastAsia="Courier New" w:hAnsi="Courier New"/>
          <w:color w:val="D83B01"/>
          <w:sz w:val="18"/>
          <w:szCs w:val="18"/>
        </w:rPr>
        <w:t xml:space="preserve">├── .github/</w:t>
      </w:r>
    </w:p>
    <w:p>
      <w:pPr>
        <w:spacing w:after="0" w:before="0"/>
        <w:ind w:left="360"/>
      </w:pPr>
      <w:r>
        <w:rPr>
          <w:rFonts w:ascii="Courier New" w:cs="Courier New" w:eastAsia="Courier New" w:hAnsi="Courier New"/>
          <w:color w:val="D83B01"/>
          <w:sz w:val="18"/>
          <w:szCs w:val="18"/>
        </w:rPr>
        <w:t xml:space="preserve">│   └── workflows/</w:t>
      </w:r>
    </w:p>
    <w:p>
      <w:pPr>
        <w:spacing w:after="0" w:before="0"/>
        <w:ind w:left="360"/>
      </w:pPr>
      <w:r>
        <w:rPr>
          <w:rFonts w:ascii="Courier New" w:cs="Courier New" w:eastAsia="Courier New" w:hAnsi="Courier New"/>
          <w:color w:val="D83B01"/>
          <w:sz w:val="18"/>
          <w:szCs w:val="18"/>
        </w:rPr>
        <w:t xml:space="preserve">│       ├── terraform-plan.yml      # Triggered on every PR — validates + plans</w:t>
      </w:r>
    </w:p>
    <w:p>
      <w:pPr>
        <w:spacing w:after="0" w:before="0"/>
        <w:ind w:left="360"/>
      </w:pPr>
      <w:r>
        <w:rPr>
          <w:rFonts w:ascii="Courier New" w:cs="Courier New" w:eastAsia="Courier New" w:hAnsi="Courier New"/>
          <w:color w:val="D83B01"/>
          <w:sz w:val="18"/>
          <w:szCs w:val="18"/>
        </w:rPr>
        <w:t xml:space="preserve">│       └── terraform-apply.yml     # Triggered on merge to main — applies infra</w:t>
      </w:r>
    </w:p>
    <w:p>
      <w:pPr>
        <w:spacing w:after="0" w:before="0"/>
        <w:ind w:left="360"/>
      </w:pPr>
      <w:r>
        <w:rPr>
          <w:rFonts w:ascii="Courier New" w:cs="Courier New" w:eastAsia="Courier New" w:hAnsi="Courier New"/>
          <w:color w:val="D83B01"/>
          <w:sz w:val="18"/>
          <w:szCs w:val="18"/>
        </w:rPr>
        <w:t xml:space="preserve">├── terraform/</w:t>
      </w:r>
    </w:p>
    <w:p>
      <w:pPr>
        <w:spacing w:after="0" w:before="0"/>
        <w:ind w:left="360"/>
      </w:pPr>
      <w:r>
        <w:rPr>
          <w:rFonts w:ascii="Courier New" w:cs="Courier New" w:eastAsia="Courier New" w:hAnsi="Courier New"/>
          <w:color w:val="D83B01"/>
          <w:sz w:val="18"/>
          <w:szCs w:val="18"/>
        </w:rPr>
        <w:t xml:space="preserve">│   ├── main.tf                     # Root composition — wires modules together</w:t>
      </w:r>
    </w:p>
    <w:p>
      <w:pPr>
        <w:spacing w:after="0" w:before="0"/>
        <w:ind w:left="360"/>
      </w:pPr>
      <w:r>
        <w:rPr>
          <w:rFonts w:ascii="Courier New" w:cs="Courier New" w:eastAsia="Courier New" w:hAnsi="Courier New"/>
          <w:color w:val="D83B01"/>
          <w:sz w:val="18"/>
          <w:szCs w:val="18"/>
        </w:rPr>
        <w:t xml:space="preserve">│   ├── variables.tf                # All input parameters declared here</w:t>
      </w:r>
    </w:p>
    <w:p>
      <w:pPr>
        <w:spacing w:after="0" w:before="0"/>
        <w:ind w:left="360"/>
      </w:pPr>
      <w:r>
        <w:rPr>
          <w:rFonts w:ascii="Courier New" w:cs="Courier New" w:eastAsia="Courier New" w:hAnsi="Courier New"/>
          <w:color w:val="D83B01"/>
          <w:sz w:val="18"/>
          <w:szCs w:val="18"/>
        </w:rPr>
        <w:t xml:space="preserve">│   ├── outputs.tf                  # Exposes values (e.g. cluster endpoint)</w:t>
      </w:r>
    </w:p>
    <w:p>
      <w:pPr>
        <w:spacing w:after="0" w:before="0"/>
        <w:ind w:left="360"/>
      </w:pPr>
      <w:r>
        <w:rPr>
          <w:rFonts w:ascii="Courier New" w:cs="Courier New" w:eastAsia="Courier New" w:hAnsi="Courier New"/>
          <w:color w:val="D83B01"/>
          <w:sz w:val="18"/>
          <w:szCs w:val="18"/>
        </w:rPr>
        <w:t xml:space="preserve">│   ├── providers.tf                # Azure provider + remote backend config</w:t>
      </w:r>
    </w:p>
    <w:p>
      <w:pPr>
        <w:spacing w:after="0" w:before="0"/>
        <w:ind w:left="360"/>
      </w:pPr>
      <w:r>
        <w:rPr>
          <w:rFonts w:ascii="Courier New" w:cs="Courier New" w:eastAsia="Courier New" w:hAnsi="Courier New"/>
          <w:color w:val="D83B01"/>
          <w:sz w:val="18"/>
          <w:szCs w:val="18"/>
        </w:rPr>
        <w:t xml:space="preserve">│   └── modules/</w:t>
      </w:r>
    </w:p>
    <w:p>
      <w:pPr>
        <w:spacing w:after="0" w:before="0"/>
        <w:ind w:left="360"/>
      </w:pPr>
      <w:r>
        <w:rPr>
          <w:rFonts w:ascii="Courier New" w:cs="Courier New" w:eastAsia="Courier New" w:hAnsi="Courier New"/>
          <w:color w:val="D83B01"/>
          <w:sz w:val="18"/>
          <w:szCs w:val="18"/>
        </w:rPr>
        <w:t xml:space="preserve">│       ├── networking/             # VNet, subnets, NSGs, private endpoints</w:t>
      </w:r>
    </w:p>
    <w:p>
      <w:pPr>
        <w:spacing w:after="0" w:before="0"/>
        <w:ind w:left="360"/>
      </w:pPr>
      <w:r>
        <w:rPr>
          <w:rFonts w:ascii="Courier New" w:cs="Courier New" w:eastAsia="Courier New" w:hAnsi="Courier New"/>
          <w:color w:val="D83B01"/>
          <w:sz w:val="18"/>
          <w:szCs w:val="18"/>
        </w:rPr>
        <w:t xml:space="preserve">│       └── aks/                    # AKS cluster, node pools, RBAC, Key Vault</w:t>
      </w:r>
    </w:p>
    <w:p>
      <w:pPr>
        <w:spacing w:after="0" w:before="0"/>
        <w:ind w:left="360"/>
      </w:pPr>
      <w:r>
        <w:rPr>
          <w:rFonts w:ascii="Courier New" w:cs="Courier New" w:eastAsia="Courier New" w:hAnsi="Courier New"/>
          <w:color w:val="D83B01"/>
          <w:sz w:val="18"/>
          <w:szCs w:val="18"/>
        </w:rPr>
        <w:t xml:space="preserve">├── helm/</w:t>
      </w:r>
    </w:p>
    <w:p>
      <w:pPr>
        <w:spacing w:after="0" w:before="0"/>
        <w:ind w:left="360"/>
      </w:pPr>
      <w:r>
        <w:rPr>
          <w:rFonts w:ascii="Courier New" w:cs="Courier New" w:eastAsia="Courier New" w:hAnsi="Courier New"/>
          <w:color w:val="D83B01"/>
          <w:sz w:val="18"/>
          <w:szCs w:val="18"/>
        </w:rPr>
        <w:t xml:space="preserve">│   └── observability/              # Prometheus + Grafana deployment values</w:t>
      </w:r>
    </w:p>
    <w:p>
      <w:pPr>
        <w:spacing w:after="0" w:before="0"/>
        <w:ind w:left="360"/>
      </w:pPr>
      <w:r>
        <w:rPr>
          <w:rFonts w:ascii="Courier New" w:cs="Courier New" w:eastAsia="Courier New" w:hAnsi="Courier New"/>
          <w:color w:val="D83B01"/>
          <w:sz w:val="18"/>
          <w:szCs w:val="18"/>
        </w:rPr>
        <w:t xml:space="preserve">├── scripts/</w:t>
      </w:r>
    </w:p>
    <w:p>
      <w:pPr>
        <w:spacing w:after="0" w:before="0"/>
        <w:ind w:left="360"/>
      </w:pPr>
      <w:r>
        <w:rPr>
          <w:rFonts w:ascii="Courier New" w:cs="Courier New" w:eastAsia="Courier New" w:hAnsi="Courier New"/>
          <w:color w:val="D83B01"/>
          <w:sz w:val="18"/>
          <w:szCs w:val="18"/>
        </w:rPr>
        <w:t xml:space="preserve">│   └── bootstrap.sh               # One-shot setup for a fresh environment</w:t>
      </w:r>
    </w:p>
    <w:p>
      <w:pPr>
        <w:spacing w:after="0" w:before="0"/>
        <w:ind w:left="360"/>
      </w:pPr>
      <w:r>
        <w:rPr>
          <w:rFonts w:ascii="Courier New" w:cs="Courier New" w:eastAsia="Courier New" w:hAnsi="Courier New"/>
          <w:color w:val="D83B01"/>
          <w:sz w:val="18"/>
          <w:szCs w:val="18"/>
        </w:rPr>
        <w:t xml:space="preserve">├── ARCHITECTURE.md                # Architecture decisions + diagrams</w:t>
      </w:r>
    </w:p>
    <w:p>
      <w:pPr>
        <w:spacing w:after="0" w:before="0"/>
        <w:ind w:left="360"/>
      </w:pPr>
      <w:r>
        <w:rPr>
          <w:rFonts w:ascii="Courier New" w:cs="Courier New" w:eastAsia="Courier New" w:hAnsi="Courier New"/>
          <w:color w:val="D83B01"/>
          <w:sz w:val="18"/>
          <w:szCs w:val="18"/>
        </w:rPr>
        <w:t xml:space="preserve">└── README.md</w:t>
      </w:r>
    </w:p>
    <w:p>
      <w:pPr>
        <w:spacing w:after="0" w:before="200"/>
      </w:pPr>
      <w:r>
        <w:t xml:space="preserve"/>
      </w:r>
    </w:p>
    <w:tbl>
      <w:tblPr>
        <w:tblW w:type="dxa" w:w="101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760"/>
      </w:tblGrid>
      <w:tr>
        <w:trPr>
          <w:tblHeader/>
        </w:trPr>
        <w:tc>
          <w:tcPr>
            <w:tcW w:type="dxa" w:w="24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Folder</w:t>
            </w:r>
          </w:p>
        </w:tc>
        <w:tc>
          <w:tcPr>
            <w:tcW w:type="dxa" w:w="50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c>
          <w:tcPr>
            <w:tcW w:type="dxa" w:w="27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Edited By</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.github/workflows/</w:t>
            </w:r>
          </w:p>
        </w:tc>
        <w:tc>
          <w:tcPr>
            <w:tcW w:type="dxa" w:w="5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CI/CD pipeline definitions — plan and apply triggers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Platform Engineers</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terraform/</w:t>
            </w:r>
          </w:p>
        </w:tc>
        <w:tc>
          <w:tcPr>
            <w:tcW w:type="dxa" w:w="5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 Azure infrastructure definitions (IaC)</w:t>
            </w:r>
          </w:p>
        </w:tc>
        <w:tc>
          <w:tcPr>
            <w:tcW w:type="dxa" w:w="27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Platform Engineers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terraform/modules/</w:t>
            </w:r>
          </w:p>
        </w:tc>
        <w:tc>
          <w:tcPr>
            <w:tcW w:type="dxa" w:w="5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Reusable infra modules — networking, AKS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Platform Engineers</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helm/observability/</w:t>
            </w:r>
          </w:p>
        </w:tc>
        <w:tc>
          <w:tcPr>
            <w:tcW w:type="dxa" w:w="5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Prometheus + Grafana Helm chart values</w:t>
            </w:r>
          </w:p>
        </w:tc>
        <w:tc>
          <w:tcPr>
            <w:tcW w:type="dxa" w:w="27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Platform / SRE Engineers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scripts/</w:t>
            </w:r>
          </w:p>
        </w:tc>
        <w:tc>
          <w:tcPr>
            <w:tcW w:type="dxa" w:w="5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Bootstrap automation helpers</w:t>
            </w:r>
          </w:p>
        </w:tc>
        <w:tc>
          <w:tcPr>
            <w:tcW w:type="dxa" w:w="2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Any team member</w:t>
            </w:r>
          </w:p>
        </w:tc>
      </w:tr>
    </w:tbl>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4. Networking Design</w:t>
      </w:r>
    </w:p>
    <w:p>
      <w:pPr>
        <w:spacing w:after="100" w:before="80"/>
      </w:pPr>
      <w:r>
        <w:rPr>
          <w:rFonts w:ascii="Arial" w:cs="Arial" w:eastAsia="Arial" w:hAnsi="Arial"/>
          <w:color w:val="212121"/>
          <w:sz w:val="22"/>
          <w:szCs w:val="22"/>
        </w:rPr>
        <w:t xml:space="preserve">All workloads run inside a private Azure Virtual Network (VNet). There are no public IPs on any node or service. External access is strictly controlled through internal load balancers and private endpoints.</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4.1 VNet &amp; Subnet Layout</w:t>
      </w:r>
    </w:p>
    <w:p>
      <w:pPr>
        <w:spacing w:after="100" w:before="80"/>
      </w:pPr>
      <w:r>
        <w:rPr>
          <w:rFonts w:ascii="Arial" w:cs="Arial" w:eastAsia="Arial" w:hAnsi="Arial"/>
          <w:color w:val="212121"/>
          <w:sz w:val="22"/>
          <w:szCs w:val="22"/>
        </w:rPr>
        <w:t xml:space="preserve">The VNet uses the 10.0.0.0/16 CIDR block, subdivided into purpose-specific subnets. Isolation between subnets is enforced through Network Security Groups (NSGs).</w:t>
      </w:r>
    </w:p>
    <w:p>
      <w:pPr>
        <w:spacing w:after="0" w:before="100"/>
      </w:pPr>
      <w:r>
        <w:t xml:space="preserve"/>
      </w:r>
    </w:p>
    <w:p>
      <w:pPr>
        <w:spacing w:after="0" w:before="0"/>
        <w:ind w:left="360"/>
      </w:pPr>
      <w:r>
        <w:rPr>
          <w:rFonts w:ascii="Courier New" w:cs="Courier New" w:eastAsia="Courier New" w:hAnsi="Courier New"/>
          <w:color w:val="D83B01"/>
          <w:sz w:val="18"/>
          <w:szCs w:val="18"/>
        </w:rPr>
        <w:t xml:space="preserve">VNet: 10.0.0.0/16  (65,536 total addresses)</w:t>
      </w:r>
    </w:p>
    <w:p>
      <w:pPr>
        <w:spacing w:after="0" w:before="0"/>
        <w:ind w:left="360"/>
      </w:pPr>
      <w:r>
        <w:rPr>
          <w:rFonts w:ascii="Courier New" w:cs="Courier New" w:eastAsia="Courier New" w:hAnsi="Courier New"/>
          <w:color w:val="D83B01"/>
          <w:sz w:val="18"/>
          <w:szCs w:val="18"/>
        </w:rPr>
        <w:t xml:space="preserve">│</w:t>
      </w:r>
    </w:p>
    <w:p>
      <w:pPr>
        <w:spacing w:after="0" w:before="0"/>
        <w:ind w:left="360"/>
      </w:pPr>
      <w:r>
        <w:rPr>
          <w:rFonts w:ascii="Courier New" w:cs="Courier New" w:eastAsia="Courier New" w:hAnsi="Courier New"/>
          <w:color w:val="D83B01"/>
          <w:sz w:val="18"/>
          <w:szCs w:val="18"/>
        </w:rPr>
        <w:t xml:space="preserve">├── aks-nodes         10.0.1.0/24   — AKS node pool NICs (256 addresses)</w:t>
      </w:r>
    </w:p>
    <w:p>
      <w:pPr>
        <w:spacing w:after="0" w:before="0"/>
        <w:ind w:left="360"/>
      </w:pPr>
      <w:r>
        <w:rPr>
          <w:rFonts w:ascii="Courier New" w:cs="Courier New" w:eastAsia="Courier New" w:hAnsi="Courier New"/>
          <w:color w:val="D83B01"/>
          <w:sz w:val="18"/>
          <w:szCs w:val="18"/>
        </w:rPr>
        <w:t xml:space="preserve">├── aks-pods          10.0.2.0/23   — Pod IP space via Azure CNI (512 addresses)</w:t>
      </w:r>
    </w:p>
    <w:p>
      <w:pPr>
        <w:spacing w:after="0" w:before="0"/>
        <w:ind w:left="360"/>
      </w:pPr>
      <w:r>
        <w:rPr>
          <w:rFonts w:ascii="Courier New" w:cs="Courier New" w:eastAsia="Courier New" w:hAnsi="Courier New"/>
          <w:color w:val="D83B01"/>
          <w:sz w:val="18"/>
          <w:szCs w:val="18"/>
        </w:rPr>
        <w:t xml:space="preserve">├── private-endpoints 10.0.4.0/24   — Key Vault, ACR private endpoints</w:t>
      </w:r>
    </w:p>
    <w:p>
      <w:pPr>
        <w:spacing w:after="0" w:before="0"/>
        <w:ind w:left="360"/>
      </w:pPr>
      <w:r>
        <w:rPr>
          <w:rFonts w:ascii="Courier New" w:cs="Courier New" w:eastAsia="Courier New" w:hAnsi="Courier New"/>
          <w:color w:val="D83B01"/>
          <w:sz w:val="18"/>
          <w:szCs w:val="18"/>
        </w:rPr>
        <w:t xml:space="preserve">├── ingress           10.0.5.0/24   — Internal Load Balancer (no public access)</w:t>
      </w:r>
    </w:p>
    <w:p>
      <w:pPr>
        <w:spacing w:after="0" w:before="0"/>
        <w:ind w:left="360"/>
      </w:pPr>
      <w:r>
        <w:rPr>
          <w:rFonts w:ascii="Courier New" w:cs="Courier New" w:eastAsia="Courier New" w:hAnsi="Courier New"/>
          <w:color w:val="D83B01"/>
          <w:sz w:val="18"/>
          <w:szCs w:val="18"/>
        </w:rPr>
        <w:t xml:space="preserve">└── bastion           10.0.6.0/27   — Azure Bastion jump host (admin access only)</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0078D4" w:sz="12"/>
              <w:bottom w:val="single" w:color="D9D9D9" w:sz="1"/>
              <w:right w:val="single" w:color="D9D9D9" w:sz="1"/>
            </w:tcBorders>
            <w:shd w:fill="EBF3FB"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What is Azure CNI?</w:t>
            </w:r>
          </w:p>
          <w:p>
            <w:pPr>
              <w:spacing w:after="0" w:before="0"/>
            </w:pPr>
            <w:r>
              <w:rPr>
                <w:rFonts w:ascii="Arial" w:cs="Arial" w:eastAsia="Arial" w:hAnsi="Arial"/>
                <w:color w:val="212121"/>
                <w:sz w:val="20"/>
                <w:szCs w:val="20"/>
              </w:rPr>
              <w:t xml:space="preserve">Azure Container Networking Interface (CNI) assigns real VNet IP addresses directly to each Kubernetes pod — not a secondary overlay network. This means pods are first-class citizens on the Azure network, can be reached by IP from other Azure services, and are subject to all NSG rules natively. Compare this to how ServiceNow instances communicate directly through MID Servers rather than going through extra NAT layers.</w:t>
            </w:r>
          </w:p>
        </w:tc>
      </w:tr>
    </w:tbl>
    <w:p>
      <w:pPr>
        <w:spacing w:after="0" w:before="200"/>
      </w:pPr>
      <w:r>
        <w:t xml:space="preserve"/>
      </w:r>
    </w:p>
    <w:p>
      <w:pPr>
        <w:pStyle w:val="Heading2"/>
        <w:spacing w:after="120" w:before="320"/>
      </w:pPr>
      <w:r>
        <w:rPr>
          <w:rFonts w:ascii="Arial" w:cs="Arial" w:eastAsia="Arial" w:hAnsi="Arial"/>
          <w:b/>
          <w:bCs/>
          <w:color w:val="1A1A2E"/>
          <w:sz w:val="26"/>
          <w:szCs w:val="26"/>
        </w:rPr>
        <w:t xml:space="preserve">4.2 Network Security Groups (NSGs)</w:t>
      </w:r>
    </w:p>
    <w:p>
      <w:pPr>
        <w:spacing w:after="100" w:before="80"/>
      </w:pPr>
      <w:r>
        <w:rPr>
          <w:rFonts w:ascii="Arial" w:cs="Arial" w:eastAsia="Arial" w:hAnsi="Arial"/>
          <w:color w:val="212121"/>
          <w:sz w:val="22"/>
          <w:szCs w:val="22"/>
        </w:rPr>
        <w:t xml:space="preserve">Each subnet has a dedicated NSG with explicit allow/deny rules following a default-deny posture — everything is blocked unless explicitly permitted.</w:t>
      </w:r>
    </w:p>
    <w:p>
      <w:pPr>
        <w:spacing w:after="0" w:before="10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1200"/>
        <w:gridCol w:w="4160"/>
      </w:tblGrid>
      <w:tr>
        <w:trPr>
          <w:tblHeader/>
        </w:trPr>
        <w:tc>
          <w:tcPr>
            <w:tcW w:type="dxa" w:w="24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Rule Name</w:t>
            </w:r>
          </w:p>
        </w:tc>
        <w:tc>
          <w:tcPr>
            <w:tcW w:type="dxa" w:w="14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Direction</w:t>
            </w:r>
          </w:p>
        </w:tc>
        <w:tc>
          <w:tcPr>
            <w:tcW w:type="dxa" w:w="1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c>
          <w:tcPr>
            <w:tcW w:type="dxa" w:w="1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w:t>
            </w:r>
          </w:p>
        </w:tc>
        <w:tc>
          <w:tcPr>
            <w:tcW w:type="dxa" w:w="41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AllowKubeAPIServer</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Inbound</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ALLOW</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AKS control plane talks to nodes</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AllowInternalLB</w:t>
            </w:r>
          </w:p>
        </w:tc>
        <w:tc>
          <w:tcPr>
            <w:tcW w:type="dxa" w:w="1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Inbound</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200</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ALLOW</w:t>
            </w:r>
          </w:p>
        </w:tc>
        <w:tc>
          <w:tcPr>
            <w:tcW w:type="dxa" w:w="4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Ingress controller health probes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AllowVNetInternal</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Inbound</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300</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ALLOW</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Pod-to-pod communication within VNet</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DenyAllInbound</w:t>
            </w:r>
          </w:p>
        </w:tc>
        <w:tc>
          <w:tcPr>
            <w:tcW w:type="dxa" w:w="1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Inbound</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4096</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DENY</w:t>
            </w:r>
          </w:p>
        </w:tc>
        <w:tc>
          <w:tcPr>
            <w:tcW w:type="dxa" w:w="4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Baseline deny — anything not matched above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AllowInternetEgress</w:t>
            </w:r>
          </w:p>
        </w:tc>
        <w:tc>
          <w:tcPr>
            <w:tcW w:type="dxa" w:w="1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Outbound</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100</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ALLOW</w:t>
            </w:r>
          </w:p>
        </w:tc>
        <w:tc>
          <w:tcPr>
            <w:tcW w:type="dxa" w:w="4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Image pulls via ACR private endpoint</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DenyPublicEgress</w:t>
            </w:r>
          </w:p>
        </w:tc>
        <w:tc>
          <w:tcPr>
            <w:tcW w:type="dxa" w:w="1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Outbound</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200</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DENY</w:t>
            </w:r>
          </w:p>
        </w:tc>
        <w:tc>
          <w:tcPr>
            <w:tcW w:type="dxa" w:w="4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 direct internet egress from pods</w:t>
            </w:r>
          </w:p>
        </w:tc>
      </w:tr>
    </w:tbl>
    <w:p>
      <w:pPr>
        <w:spacing w:after="0" w:before="200"/>
      </w:pPr>
      <w:r>
        <w:t xml:space="preserve"/>
      </w:r>
    </w:p>
    <w:p>
      <w:pPr>
        <w:pStyle w:val="Heading2"/>
        <w:spacing w:after="120" w:before="320"/>
      </w:pPr>
      <w:r>
        <w:rPr>
          <w:rFonts w:ascii="Arial" w:cs="Arial" w:eastAsia="Arial" w:hAnsi="Arial"/>
          <w:b/>
          <w:bCs/>
          <w:color w:val="1A1A2E"/>
          <w:sz w:val="26"/>
          <w:szCs w:val="26"/>
        </w:rPr>
        <w:t xml:space="preserve">4.3 Private Endpoints</w:t>
      </w:r>
    </w:p>
    <w:p>
      <w:pPr>
        <w:spacing w:after="100" w:before="80"/>
      </w:pPr>
      <w:r>
        <w:rPr>
          <w:rFonts w:ascii="Arial" w:cs="Arial" w:eastAsia="Arial" w:hAnsi="Arial"/>
          <w:color w:val="212121"/>
          <w:sz w:val="22"/>
          <w:szCs w:val="22"/>
        </w:rPr>
        <w:t xml:space="preserve">The following Azure PaaS services are accessed exclusively through private endpoints. Traffic to these services never leaves the Azure backbone — it stays entirely within the VNet.</w:t>
      </w:r>
    </w:p>
    <w:p>
      <w:pPr>
        <w:spacing w:after="0" w:before="100"/>
      </w:pPr>
      <w:r>
        <w:t xml:space="preserve"/>
      </w:r>
    </w:p>
    <w:p>
      <w:pPr>
        <w:pStyle w:val="ListParagraph"/>
        <w:numPr>
          <w:ilvl w:val="0"/>
          <w:numId w:val="2"/>
        </w:numPr>
        <w:spacing w:after="60" w:before="60"/>
      </w:pPr>
      <w:r>
        <w:rPr>
          <w:rFonts w:ascii="Arial" w:cs="Arial" w:eastAsia="Arial" w:hAnsi="Arial"/>
          <w:color w:val="212121"/>
          <w:sz w:val="22"/>
          <w:szCs w:val="22"/>
        </w:rPr>
        <w:t xml:space="preserve">Azure Container Registry (ACR) — all image pulls are private, never hitting the public internet</w:t>
      </w:r>
    </w:p>
    <w:p>
      <w:pPr>
        <w:pStyle w:val="ListParagraph"/>
        <w:numPr>
          <w:ilvl w:val="0"/>
          <w:numId w:val="2"/>
        </w:numPr>
        <w:spacing w:after="60" w:before="60"/>
      </w:pPr>
      <w:r>
        <w:rPr>
          <w:rFonts w:ascii="Arial" w:cs="Arial" w:eastAsia="Arial" w:hAnsi="Arial"/>
          <w:color w:val="212121"/>
          <w:sz w:val="22"/>
          <w:szCs w:val="22"/>
        </w:rPr>
        <w:t xml:space="preserve">Azure Key Vault — all secret reads are private, no public API surface exposed</w:t>
      </w:r>
    </w:p>
    <w:p>
      <w:pPr>
        <w:pStyle w:val="ListParagraph"/>
        <w:numPr>
          <w:ilvl w:val="0"/>
          <w:numId w:val="2"/>
        </w:numPr>
        <w:spacing w:after="60" w:before="60"/>
      </w:pPr>
      <w:r>
        <w:rPr>
          <w:rFonts w:ascii="Arial" w:cs="Arial" w:eastAsia="Arial" w:hAnsi="Arial"/>
          <w:color w:val="212121"/>
          <w:sz w:val="22"/>
          <w:szCs w:val="22"/>
        </w:rPr>
        <w:t xml:space="preserve">Azure Monitor / Log Analytics — telemetry ingestion stays on Azure backbone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0078D4" w:sz="12"/>
              <w:bottom w:val="single" w:color="D9D9D9" w:sz="1"/>
              <w:right w:val="single" w:color="D9D9D9" w:sz="1"/>
            </w:tcBorders>
            <w:shd w:fill="EBF3FB" w:val="clear"/>
            <w:tcMar>
              <w:top w:type="dxa" w:w="120"/>
              <w:left w:type="dxa" w:w="180"/>
              <w:bottom w:type="dxa" w:w="120"/>
              <w:right w:type="dxa" w:w="180"/>
            </w:tcMar>
          </w:tcPr>
          <w:p>
            <w:pPr>
              <w:spacing w:after="60" w:before="0"/>
            </w:pPr>
            <w:r>
              <w:rPr>
                <w:rFonts w:ascii="Arial" w:cs="Arial" w:eastAsia="Arial" w:hAnsi="Arial"/>
                <w:b/>
                <w:bCs/>
                <w:color w:val="2E75B6"/>
                <w:sz w:val="20"/>
                <w:szCs w:val="20"/>
              </w:rPr>
              <w:t xml:space="preserve">Why Private Endpoints Matter</w:t>
            </w:r>
          </w:p>
          <w:p>
            <w:pPr>
              <w:spacing w:after="0" w:before="0"/>
            </w:pPr>
            <w:r>
              <w:rPr>
                <w:rFonts w:ascii="Arial" w:cs="Arial" w:eastAsia="Arial" w:hAnsi="Arial"/>
                <w:color w:val="212121"/>
                <w:sz w:val="20"/>
                <w:szCs w:val="20"/>
              </w:rPr>
              <w:t xml:space="preserve">Without private endpoints, a service like Azure Key Vault is reachable via its public DNS name (e.g. myvault.vault.azure.net) from anywhere on the internet. Private endpoints give it a private IP inside your VNet, making it unreachable from outside. This is equivalent to moving a ServiceNow REST API endpoint behind a firewall rule that only allows traffic from your MID Server subnet.</w:t>
            </w:r>
          </w:p>
        </w:tc>
      </w:tr>
    </w:tbl>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5. AKS Cluster Design</w:t>
      </w:r>
    </w:p>
    <w:p>
      <w:pPr>
        <w:spacing w:after="100" w:before="80"/>
      </w:pPr>
      <w:r>
        <w:rPr>
          <w:rFonts w:ascii="Arial" w:cs="Arial" w:eastAsia="Arial" w:hAnsi="Arial"/>
          <w:color w:val="212121"/>
          <w:sz w:val="22"/>
          <w:szCs w:val="22"/>
        </w:rPr>
        <w:t xml:space="preserve">The AKS cluster uses multiple node pools, each sized and configured for a specific workload type. This provides isolation, independent scaling, and cost efficiency.</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5.1 Node Pool Strategy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200"/>
        <w:gridCol w:w="1200"/>
        <w:gridCol w:w="4760"/>
      </w:tblGrid>
      <w:tr>
        <w:trPr>
          <w:tblHeader/>
        </w:trPr>
        <w:tc>
          <w:tcPr>
            <w:tcW w:type="dxa" w:w="16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Pool Name</w:t>
            </w:r>
          </w:p>
        </w:tc>
        <w:tc>
          <w:tcPr>
            <w:tcW w:type="dxa" w:w="26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VM SKU</w:t>
            </w:r>
          </w:p>
        </w:tc>
        <w:tc>
          <w:tcPr>
            <w:tcW w:type="dxa" w:w="1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Min Nodes</w:t>
            </w:r>
          </w:p>
        </w:tc>
        <w:tc>
          <w:tcPr>
            <w:tcW w:type="dxa" w:w="1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Max Nodes</w:t>
            </w:r>
          </w:p>
        </w:tc>
        <w:tc>
          <w:tcPr>
            <w:tcW w:type="dxa" w:w="47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system</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Standard_D4s_v5 (4 vCPU / 16 GB)</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DNS, metrics-server, CSI drivers — platform internals only</w:t>
            </w:r>
          </w:p>
        </w:tc>
      </w:tr>
      <w:tr>
        <w:tc>
          <w:tcPr>
            <w:tcW w:type="dxa" w:w="16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workload</w:t>
            </w:r>
          </w:p>
        </w:tc>
        <w:tc>
          <w:tcPr>
            <w:tcW w:type="dxa" w:w="26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Standard_D8s_v5 (8 vCPU / 32 GB)</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20</w:t>
            </w:r>
          </w:p>
        </w:tc>
        <w:tc>
          <w:tcPr>
            <w:tcW w:type="dxa" w:w="47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 application and API workloads — main fleet</w:t>
            </w:r>
          </w:p>
        </w:tc>
      </w:tr>
      <w:tr>
        <w:tc>
          <w:tcPr>
            <w:tcW w:type="dxa" w:w="1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data</w:t>
            </w:r>
          </w:p>
        </w:tc>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Standard_E8s_v5 (8 vCPU / 64 GB)</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10</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Memory-intensive data processing — isolated by taint</w:t>
            </w:r>
          </w:p>
        </w:tc>
      </w:tr>
    </w:tbl>
    <w:p>
      <w:pPr>
        <w:spacing w:after="0" w:before="160"/>
      </w:pPr>
      <w:r>
        <w:t xml:space="preserve"/>
      </w:r>
    </w:p>
    <w:p>
      <w:pPr>
        <w:spacing w:after="100" w:before="80"/>
      </w:pPr>
      <w:r>
        <w:rPr>
          <w:rFonts w:ascii="Arial" w:cs="Arial" w:eastAsia="Arial" w:hAnsi="Arial"/>
          <w:b/>
          <w:bCs/>
          <w:color w:val="212121"/>
          <w:sz w:val="22"/>
          <w:szCs w:val="22"/>
        </w:rPr>
        <w:t xml:space="preserve">Node pools use Kubernetes taints/tolerations to enforce isolation:</w:t>
      </w:r>
    </w:p>
    <w:p>
      <w:pPr>
        <w:spacing w:after="0" w:before="60"/>
      </w:pPr>
      <w:r>
        <w:t xml:space="preserve"/>
      </w:r>
    </w:p>
    <w:p>
      <w:pPr>
        <w:pStyle w:val="ListParagraph"/>
        <w:numPr>
          <w:ilvl w:val="0"/>
          <w:numId w:val="2"/>
        </w:numPr>
        <w:spacing w:after="60" w:before="60"/>
      </w:pPr>
      <w:r>
        <w:rPr>
          <w:rFonts w:ascii="Arial" w:cs="Arial" w:eastAsia="Arial" w:hAnsi="Arial"/>
          <w:color w:val="212121"/>
          <w:sz w:val="22"/>
          <w:szCs w:val="22"/>
        </w:rPr>
        <w:t xml:space="preserve">system pool: taint CriticalAddonsOnly=true:NoSchedule — only platform components schedule here</w:t>
      </w:r>
    </w:p>
    <w:p>
      <w:pPr>
        <w:pStyle w:val="ListParagraph"/>
        <w:numPr>
          <w:ilvl w:val="0"/>
          <w:numId w:val="2"/>
        </w:numPr>
        <w:spacing w:after="60" w:before="60"/>
      </w:pPr>
      <w:r>
        <w:rPr>
          <w:rFonts w:ascii="Arial" w:cs="Arial" w:eastAsia="Arial" w:hAnsi="Arial"/>
          <w:color w:val="212121"/>
          <w:sz w:val="22"/>
          <w:szCs w:val="22"/>
        </w:rPr>
        <w:t xml:space="preserve">data pool: taint workload=data:NoSchedule — only pods with matching tolerations schedule here</w:t>
      </w:r>
    </w:p>
    <w:p>
      <w:pPr>
        <w:pStyle w:val="ListParagraph"/>
        <w:numPr>
          <w:ilvl w:val="0"/>
          <w:numId w:val="2"/>
        </w:numPr>
        <w:spacing w:after="60" w:before="60"/>
      </w:pPr>
      <w:r>
        <w:rPr>
          <w:rFonts w:ascii="Arial" w:cs="Arial" w:eastAsia="Arial" w:hAnsi="Arial"/>
          <w:color w:val="212121"/>
          <w:sz w:val="22"/>
          <w:szCs w:val="22"/>
        </w:rPr>
        <w:t xml:space="preserve">workload pool: no taints — open to all application deployments</w:t>
      </w:r>
    </w:p>
    <w:p>
      <w:pPr>
        <w:spacing w:after="0" w:before="200"/>
      </w:pPr>
      <w:r>
        <w:t xml:space="preserve"/>
      </w:r>
    </w:p>
    <w:p>
      <w:pPr>
        <w:pStyle w:val="Heading2"/>
        <w:spacing w:after="120" w:before="320"/>
      </w:pPr>
      <w:r>
        <w:rPr>
          <w:rFonts w:ascii="Arial" w:cs="Arial" w:eastAsia="Arial" w:hAnsi="Arial"/>
          <w:b/>
          <w:bCs/>
          <w:color w:val="1A1A2E"/>
          <w:sz w:val="26"/>
          <w:szCs w:val="26"/>
        </w:rPr>
        <w:t xml:space="preserve">5.2 Autoscaling Configuration</w:t>
      </w:r>
    </w:p>
    <w:p>
      <w:pPr>
        <w:spacing w:after="100" w:before="80"/>
      </w:pPr>
      <w:r>
        <w:rPr>
          <w:rFonts w:ascii="Arial" w:cs="Arial" w:eastAsia="Arial" w:hAnsi="Arial"/>
          <w:color w:val="212121"/>
          <w:sz w:val="22"/>
          <w:szCs w:val="22"/>
        </w:rPr>
        <w:t xml:space="preserve">Two complementary autoscaling mechanisms work together:</w:t>
      </w:r>
    </w:p>
    <w:p>
      <w:pPr>
        <w:spacing w:after="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3460"/>
      </w:tblGrid>
      <w:tr>
        <w:trPr>
          <w:tblHeader/>
        </w:trPr>
        <w:tc>
          <w:tcPr>
            <w:tcW w:type="dxa" w:w="25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Mechanism</w:t>
            </w:r>
          </w:p>
        </w:tc>
        <w:tc>
          <w:tcPr>
            <w:tcW w:type="dxa" w:w="2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Scales</w:t>
            </w:r>
          </w:p>
        </w:tc>
        <w:tc>
          <w:tcPr>
            <w:tcW w:type="dxa" w:w="2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Trigger Condition</w:t>
            </w:r>
          </w:p>
        </w:tc>
        <w:tc>
          <w:tcPr>
            <w:tcW w:type="dxa" w:w="34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r>
      <w:tr>
        <w:tc>
          <w:tcPr>
            <w:tcW w:type="dxa" w:w="25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Cluster Autoscaler (CA)</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Number of nodes in a pool</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Pod cannot be scheduled due to insufficient resources</w:t>
            </w:r>
          </w:p>
        </w:tc>
        <w:tc>
          <w:tcPr>
            <w:tcW w:type="dxa" w:w="34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scale-down after 10 min idle, max graceful termination 600s</w:t>
            </w:r>
          </w:p>
        </w:tc>
      </w:tr>
      <w:tr>
        <w:tc>
          <w:tcPr>
            <w:tcW w:type="dxa" w:w="25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Horizontal Pod Autoscaler (HPA)</w:t>
            </w:r>
          </w:p>
        </w:tc>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Number of pod replicas</w:t>
            </w:r>
          </w:p>
        </w:tc>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CPU &gt; 70% or Memory &gt; 80%</w:t>
            </w:r>
          </w:p>
        </w:tc>
        <w:tc>
          <w:tcPr>
            <w:tcW w:type="dxa" w:w="34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Applied globally to all Deployments by default</w:t>
            </w:r>
          </w:p>
        </w:tc>
      </w:tr>
    </w:tbl>
    <w:p>
      <w:pPr>
        <w:spacing w:after="0" w:before="200"/>
      </w:pPr>
      <w:r>
        <w:t xml:space="preserve"/>
      </w:r>
    </w:p>
    <w:p>
      <w:pPr>
        <w:pStyle w:val="Heading2"/>
        <w:spacing w:after="120" w:before="320"/>
      </w:pPr>
      <w:r>
        <w:rPr>
          <w:rFonts w:ascii="Arial" w:cs="Arial" w:eastAsia="Arial" w:hAnsi="Arial"/>
          <w:b/>
          <w:bCs/>
          <w:color w:val="1A1A2E"/>
          <w:sz w:val="26"/>
          <w:szCs w:val="26"/>
        </w:rPr>
        <w:t xml:space="preserve">5.3 Identity and RBAC</w:t>
      </w:r>
    </w:p>
    <w:p>
      <w:pPr>
        <w:spacing w:after="100" w:before="80"/>
      </w:pPr>
      <w:r>
        <w:rPr>
          <w:rFonts w:ascii="Arial" w:cs="Arial" w:eastAsia="Arial" w:hAnsi="Arial"/>
          <w:color w:val="212121"/>
          <w:sz w:val="22"/>
          <w:szCs w:val="22"/>
        </w:rPr>
        <w:t xml:space="preserve">No service principal credentials are stored anywhere. All identities use Managed Identities — credentials are issued and rotated automatically by Azure.</w:t>
      </w:r>
    </w:p>
    <w:p>
      <w:pPr>
        <w:spacing w:after="0" w:before="10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360"/>
      </w:tblGrid>
      <w:tr>
        <w:trPr>
          <w:tblHeader/>
        </w:trPr>
        <w:tc>
          <w:tcPr>
            <w:tcW w:type="dxa" w:w="2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Identity</w:t>
            </w:r>
          </w:p>
        </w:tc>
        <w:tc>
          <w:tcPr>
            <w:tcW w:type="dxa" w:w="28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53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Used For</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Cluster Identity</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User-assigned Managed Identity</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AKS control plane operations (load balancers, DNS, node provisioning)</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Kubelet Identity</w:t>
            </w:r>
          </w:p>
        </w:tc>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Managed Identity</w:t>
            </w:r>
          </w:p>
        </w:tc>
        <w:tc>
          <w:tcPr>
            <w:tcW w:type="dxa" w:w="5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Node-level operations — pulling images from ACR, accessing storage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Workload Identity</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OIDC-federated Managed Identity</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Pod-level Azure SDK calls — e.g. read secrets from Key Vault</w:t>
            </w:r>
          </w:p>
        </w:tc>
      </w:tr>
    </w:tbl>
    <w:p>
      <w:pPr>
        <w:spacing w:after="0" w:before="160"/>
      </w:pPr>
      <w:r>
        <w:t xml:space="preserve"/>
      </w:r>
    </w:p>
    <w:p>
      <w:pPr>
        <w:spacing w:after="100" w:before="80"/>
      </w:pPr>
      <w:r>
        <w:rPr>
          <w:rFonts w:ascii="Arial" w:cs="Arial" w:eastAsia="Arial" w:hAnsi="Arial"/>
          <w:b/>
          <w:bCs/>
          <w:color w:val="212121"/>
          <w:sz w:val="22"/>
          <w:szCs w:val="22"/>
        </w:rPr>
        <w:t xml:space="preserve">Azure AD Group to Kubernetes RBAC mapping:</w:t>
      </w:r>
    </w:p>
    <w:p>
      <w:pPr>
        <w:spacing w:after="0" w:before="80"/>
      </w:pPr>
      <w:r>
        <w:t xml:space="preserve"/>
      </w:r>
    </w:p>
    <w:p>
      <w:pPr>
        <w:spacing w:after="0" w:before="0"/>
        <w:ind w:left="360"/>
      </w:pPr>
      <w:r>
        <w:rPr>
          <w:rFonts w:ascii="Courier New" w:cs="Courier New" w:eastAsia="Courier New" w:hAnsi="Courier New"/>
          <w:color w:val="D83B01"/>
          <w:sz w:val="18"/>
          <w:szCs w:val="18"/>
        </w:rPr>
        <w:t xml:space="preserve">Azure AD Group: platform-admins  --&gt;  cluster-admin ClusterRole   (full cluster access)</w:t>
      </w:r>
    </w:p>
    <w:p>
      <w:pPr>
        <w:spacing w:after="0" w:before="0"/>
        <w:ind w:left="360"/>
      </w:pPr>
      <w:r>
        <w:rPr>
          <w:rFonts w:ascii="Courier New" w:cs="Courier New" w:eastAsia="Courier New" w:hAnsi="Courier New"/>
          <w:color w:val="D83B01"/>
          <w:sz w:val="18"/>
          <w:szCs w:val="18"/>
        </w:rPr>
        <w:t xml:space="preserve">Azure AD Group: developers       --&gt;  edit Role (per namespace)    (deploy + manage apps)</w:t>
      </w:r>
    </w:p>
    <w:p>
      <w:pPr>
        <w:spacing w:after="0" w:before="0"/>
        <w:ind w:left="360"/>
      </w:pPr>
      <w:r>
        <w:rPr>
          <w:rFonts w:ascii="Courier New" w:cs="Courier New" w:eastAsia="Courier New" w:hAnsi="Courier New"/>
          <w:color w:val="D83B01"/>
          <w:sz w:val="18"/>
          <w:szCs w:val="18"/>
        </w:rPr>
        <w:t xml:space="preserve">Azure AD Group: readonly         --&gt;  view ClusterRole             (read-only visibility)</w:t>
      </w:r>
    </w:p>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6. Security Architecture</w:t>
      </w:r>
    </w:p>
    <w:p>
      <w:pPr>
        <w:spacing w:after="100" w:before="80"/>
      </w:pPr>
      <w:r>
        <w:rPr>
          <w:rFonts w:ascii="Arial" w:cs="Arial" w:eastAsia="Arial" w:hAnsi="Arial"/>
          <w:color w:val="212121"/>
          <w:sz w:val="22"/>
          <w:szCs w:val="22"/>
        </w:rPr>
        <w:t xml:space="preserve">Security is implemented in six distinct layers. A breach at any single layer does not compromise the entire system — this is the defense-in-depth model.</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6.1 Defense-in-Depth Layers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7360"/>
      </w:tblGrid>
      <w:tr>
        <w:trPr>
          <w:tblHeader/>
        </w:trPr>
        <w:tc>
          <w:tcPr>
            <w:tcW w:type="dxa" w:w="1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18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Domain</w:t>
            </w:r>
          </w:p>
        </w:tc>
        <w:tc>
          <w:tcPr>
            <w:tcW w:type="dxa" w:w="73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Controls Applied</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Layer 1</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Network</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Private cluster, NSGs, private endpoints, zero public IPs</w:t>
            </w:r>
          </w:p>
        </w:tc>
      </w:tr>
      <w:tr>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Layer 2</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Identity</w:t>
            </w:r>
          </w:p>
        </w:tc>
        <w:tc>
          <w:tcPr>
            <w:tcW w:type="dxa" w:w="7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Managed Identities, OIDC federation, no stored credentials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Layer 3</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Secrets</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Key Vault + CSI Driver, automated rotation — secrets never in code</w:t>
            </w:r>
          </w:p>
        </w:tc>
      </w:tr>
      <w:tr>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Layer 4</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Workload</w:t>
            </w:r>
          </w:p>
        </w:tc>
        <w:tc>
          <w:tcPr>
            <w:tcW w:type="dxa" w:w="7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Pod Security Standards (restricted profile), Kubernetes Network Policies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Layer 5</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Supply Chain</w:t>
            </w:r>
          </w:p>
        </w:tc>
        <w:tc>
          <w:tcPr>
            <w:tcW w:type="dxa" w:w="7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ACR image scanning, signed images via Notation</w:t>
            </w:r>
          </w:p>
        </w:tc>
      </w:tr>
      <w:tr>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Layer 6</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Audit</w:t>
            </w:r>
          </w:p>
        </w:tc>
        <w:tc>
          <w:tcPr>
            <w:tcW w:type="dxa" w:w="7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Azure Monitor, Diagnostic Settings, full Kubernetes audit logs</w:t>
            </w:r>
          </w:p>
        </w:tc>
      </w:tr>
    </w:tbl>
    <w:p>
      <w:pPr>
        <w:spacing w:after="0" w:before="200"/>
      </w:pPr>
      <w:r>
        <w:t xml:space="preserve"/>
      </w:r>
    </w:p>
    <w:p>
      <w:pPr>
        <w:pStyle w:val="Heading2"/>
        <w:spacing w:after="120" w:before="320"/>
      </w:pPr>
      <w:r>
        <w:rPr>
          <w:rFonts w:ascii="Arial" w:cs="Arial" w:eastAsia="Arial" w:hAnsi="Arial"/>
          <w:b/>
          <w:bCs/>
          <w:color w:val="1A1A2E"/>
          <w:sz w:val="26"/>
          <w:szCs w:val="26"/>
        </w:rPr>
        <w:t xml:space="preserve">6.2 Secret Lifecycle</w:t>
      </w:r>
    </w:p>
    <w:p>
      <w:pPr>
        <w:spacing w:after="100" w:before="80"/>
      </w:pPr>
      <w:r>
        <w:rPr>
          <w:rFonts w:ascii="Arial" w:cs="Arial" w:eastAsia="Arial" w:hAnsi="Arial"/>
          <w:color w:val="212121"/>
          <w:sz w:val="22"/>
          <w:szCs w:val="22"/>
        </w:rPr>
        <w:t xml:space="preserve">Secrets are never stored in code, environment variables, or container images. The flow below shows exactly how a secret gets from Key Vault into a running pod:</w:t>
      </w:r>
    </w:p>
    <w:p>
      <w:pPr>
        <w:spacing w:after="0" w:before="100"/>
      </w:pPr>
      <w:r>
        <w:t xml:space="preserve"/>
      </w:r>
    </w:p>
    <w:p>
      <w:pPr>
        <w:spacing w:after="0" w:before="0"/>
        <w:ind w:left="360"/>
      </w:pPr>
      <w:r>
        <w:rPr>
          <w:rFonts w:ascii="Courier New" w:cs="Courier New" w:eastAsia="Courier New" w:hAnsi="Courier New"/>
          <w:color w:val="D83B01"/>
          <w:sz w:val="18"/>
          <w:szCs w:val="18"/>
        </w:rPr>
        <w:t xml:space="preserve">Step 1: Developer commits code (no secrets in code — ever)</w:t>
      </w:r>
    </w:p>
    <w:p>
      <w:pPr>
        <w:spacing w:after="0" w:before="0"/>
        <w:ind w:left="360"/>
      </w:pPr>
      <w:r>
        <w:rPr>
          <w:rFonts w:ascii="Courier New" w:cs="Courier New" w:eastAsia="Courier New" w:hAnsi="Courier New"/>
          <w:color w:val="D83B01"/>
          <w:sz w:val="18"/>
          <w:szCs w:val="18"/>
        </w:rPr>
        <w:t xml:space="preserve">        |</w:t>
      </w:r>
    </w:p>
    <w:p>
      <w:pPr>
        <w:spacing w:after="0" w:before="0"/>
        <w:ind w:left="360"/>
      </w:pPr>
      <w:r>
        <w:rPr>
          <w:rFonts w:ascii="Courier New" w:cs="Courier New" w:eastAsia="Courier New" w:hAnsi="Courier New"/>
          <w:color w:val="D83B01"/>
          <w:sz w:val="18"/>
          <w:szCs w:val="18"/>
        </w:rPr>
        <w:t xml:space="preserve">Step 2: GitHub Actions pipeline starts</w:t>
      </w:r>
    </w:p>
    <w:p>
      <w:pPr>
        <w:spacing w:after="0" w:before="0"/>
        <w:ind w:left="360"/>
      </w:pPr>
      <w:r>
        <w:rPr>
          <w:rFonts w:ascii="Courier New" w:cs="Courier New" w:eastAsia="Courier New" w:hAnsi="Courier New"/>
          <w:color w:val="D83B01"/>
          <w:sz w:val="18"/>
          <w:szCs w:val="18"/>
        </w:rPr>
        <w:t xml:space="preserve">        |</w:t>
      </w:r>
    </w:p>
    <w:p>
      <w:pPr>
        <w:spacing w:after="0" w:before="0"/>
        <w:ind w:left="360"/>
      </w:pPr>
      <w:r>
        <w:rPr>
          <w:rFonts w:ascii="Courier New" w:cs="Courier New" w:eastAsia="Courier New" w:hAnsi="Courier New"/>
          <w:color w:val="D83B01"/>
          <w:sz w:val="18"/>
          <w:szCs w:val="18"/>
        </w:rPr>
        <w:t xml:space="preserve">Step 3: Pipeline authenticates to Azure via OIDC (no stored client secret)</w:t>
      </w:r>
    </w:p>
    <w:p>
      <w:pPr>
        <w:spacing w:after="0" w:before="0"/>
        <w:ind w:left="360"/>
      </w:pPr>
      <w:r>
        <w:rPr>
          <w:rFonts w:ascii="Courier New" w:cs="Courier New" w:eastAsia="Courier New" w:hAnsi="Courier New"/>
          <w:color w:val="D83B01"/>
          <w:sz w:val="18"/>
          <w:szCs w:val="18"/>
        </w:rPr>
        <w:t xml:space="preserve">        |</w:t>
      </w:r>
    </w:p>
    <w:p>
      <w:pPr>
        <w:spacing w:after="0" w:before="0"/>
        <w:ind w:left="360"/>
      </w:pPr>
      <w:r>
        <w:rPr>
          <w:rFonts w:ascii="Courier New" w:cs="Courier New" w:eastAsia="Courier New" w:hAnsi="Courier New"/>
          <w:color w:val="D83B01"/>
          <w:sz w:val="18"/>
          <w:szCs w:val="18"/>
        </w:rPr>
        <w:t xml:space="preserve">Step 4: Pipeline reads required secrets from Azure Key Vault (RBAC-gated)</w:t>
      </w:r>
    </w:p>
    <w:p>
      <w:pPr>
        <w:spacing w:after="0" w:before="0"/>
        <w:ind w:left="360"/>
      </w:pPr>
      <w:r>
        <w:rPr>
          <w:rFonts w:ascii="Courier New" w:cs="Courier New" w:eastAsia="Courier New" w:hAnsi="Courier New"/>
          <w:color w:val="D83B01"/>
          <w:sz w:val="18"/>
          <w:szCs w:val="18"/>
        </w:rPr>
        <w:t xml:space="preserve">        |</w:t>
      </w:r>
    </w:p>
    <w:p>
      <w:pPr>
        <w:spacing w:after="0" w:before="0"/>
        <w:ind w:left="360"/>
      </w:pPr>
      <w:r>
        <w:rPr>
          <w:rFonts w:ascii="Courier New" w:cs="Courier New" w:eastAsia="Courier New" w:hAnsi="Courier New"/>
          <w:color w:val="D83B01"/>
          <w:sz w:val="18"/>
          <w:szCs w:val="18"/>
        </w:rPr>
        <w:t xml:space="preserve">Step 5: Terraform provisions infrastructure</w:t>
      </w:r>
    </w:p>
    <w:p>
      <w:pPr>
        <w:spacing w:after="0" w:before="0"/>
        <w:ind w:left="360"/>
      </w:pPr>
      <w:r>
        <w:rPr>
          <w:rFonts w:ascii="Courier New" w:cs="Courier New" w:eastAsia="Courier New" w:hAnsi="Courier New"/>
          <w:color w:val="D83B01"/>
          <w:sz w:val="18"/>
          <w:szCs w:val="18"/>
        </w:rPr>
        <w:t xml:space="preserve">        |</w:t>
      </w:r>
    </w:p>
    <w:p>
      <w:pPr>
        <w:spacing w:after="0" w:before="0"/>
        <w:ind w:left="360"/>
      </w:pPr>
      <w:r>
        <w:rPr>
          <w:rFonts w:ascii="Courier New" w:cs="Courier New" w:eastAsia="Courier New" w:hAnsi="Courier New"/>
          <w:color w:val="D83B01"/>
          <w:sz w:val="18"/>
          <w:szCs w:val="18"/>
        </w:rPr>
        <w:t xml:space="preserve">Step 6: CSI Secret Store Driver mounts Key Vault secrets as volume files in pods</w:t>
      </w:r>
    </w:p>
    <w:p>
      <w:pPr>
        <w:spacing w:after="0" w:before="0"/>
        <w:ind w:left="360"/>
      </w:pPr>
      <w:r>
        <w:rPr>
          <w:rFonts w:ascii="Courier New" w:cs="Courier New" w:eastAsia="Courier New" w:hAnsi="Courier New"/>
          <w:color w:val="D83B01"/>
          <w:sz w:val="18"/>
          <w:szCs w:val="18"/>
        </w:rPr>
        <w:t xml:space="preserve">        |</w:t>
      </w:r>
    </w:p>
    <w:p>
      <w:pPr>
        <w:spacing w:after="0" w:before="0"/>
        <w:ind w:left="360"/>
      </w:pPr>
      <w:r>
        <w:rPr>
          <w:rFonts w:ascii="Courier New" w:cs="Courier New" w:eastAsia="Courier New" w:hAnsi="Courier New"/>
          <w:color w:val="D83B01"/>
          <w:sz w:val="18"/>
          <w:szCs w:val="18"/>
        </w:rPr>
        <w:t xml:space="preserve">Step 7: Application reads secrets from the mounted file path at runtime</w:t>
      </w:r>
    </w:p>
    <w:p>
      <w:pPr>
        <w:spacing w:after="0" w:before="0"/>
        <w:ind w:left="360"/>
      </w:pPr>
      <w:r>
        <w:rPr>
          <w:rFonts w:ascii="Courier New" w:cs="Courier New" w:eastAsia="Courier New" w:hAnsi="Courier New"/>
          <w:color w:val="D83B01"/>
          <w:sz w:val="18"/>
          <w:szCs w:val="18"/>
        </w:rPr>
        <w:t xml:space="preserve">        (secret never stored in the container image or environment variable)</w:t>
      </w:r>
    </w:p>
    <w:p>
      <w:pPr>
        <w:spacing w:after="0" w:before="200"/>
      </w:pPr>
      <w:r>
        <w:t xml:space="preserve"/>
      </w:r>
    </w:p>
    <w:p>
      <w:pPr>
        <w:pStyle w:val="Heading2"/>
        <w:spacing w:after="120" w:before="320"/>
      </w:pPr>
      <w:r>
        <w:rPr>
          <w:rFonts w:ascii="Arial" w:cs="Arial" w:eastAsia="Arial" w:hAnsi="Arial"/>
          <w:b/>
          <w:bCs/>
          <w:color w:val="1A1A2E"/>
          <w:sz w:val="26"/>
          <w:szCs w:val="26"/>
        </w:rPr>
        <w:t xml:space="preserve">6.3 Encryption at Rest and In-Transit</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5560"/>
      </w:tblGrid>
      <w:tr>
        <w:trPr>
          <w:tblHeader/>
        </w:trPr>
        <w:tc>
          <w:tcPr>
            <w:tcW w:type="dxa" w:w="26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w:t>
            </w:r>
          </w:p>
        </w:tc>
        <w:tc>
          <w:tcPr>
            <w:tcW w:type="dxa" w:w="2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Encryption Standard</w:t>
            </w:r>
          </w:p>
        </w:tc>
        <w:tc>
          <w:tcPr>
            <w:tcW w:type="dxa" w:w="55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Management</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OS + Data Disks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AES-256</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Platform-managed key (Azure handles rotation)</w:t>
            </w:r>
          </w:p>
        </w:tc>
      </w:tr>
      <w:tr>
        <w:tc>
          <w:tcPr>
            <w:tcW w:type="dxa" w:w="26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etcd (cluster state)</w:t>
            </w:r>
          </w:p>
        </w:tc>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AES-256</w:t>
            </w:r>
          </w:p>
        </w:tc>
        <w:tc>
          <w:tcPr>
            <w:tcW w:type="dxa" w:w="5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Azure-managed</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Secrets in Key Vault</w:t>
            </w:r>
          </w:p>
        </w:tc>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RSA-2048</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HSM-backed — hardware security module</w:t>
            </w:r>
          </w:p>
        </w:tc>
      </w:tr>
      <w:tr>
        <w:tc>
          <w:tcPr>
            <w:tcW w:type="dxa" w:w="26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All data in transit</w:t>
            </w:r>
          </w:p>
        </w:tc>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TLS 1.2+</w:t>
            </w:r>
          </w:p>
        </w:tc>
        <w:tc>
          <w:tcPr>
            <w:tcW w:type="dxa" w:w="5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Auto-rotated certificates</w:t>
            </w:r>
          </w:p>
        </w:tc>
      </w:tr>
    </w:tbl>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7. Observability Stack</w:t>
      </w:r>
    </w:p>
    <w:p>
      <w:pPr>
        <w:spacing w:after="100" w:before="80"/>
      </w:pPr>
      <w:r>
        <w:rPr>
          <w:rFonts w:ascii="Arial" w:cs="Arial" w:eastAsia="Arial" w:hAnsi="Arial"/>
          <w:color w:val="212121"/>
          <w:sz w:val="22"/>
          <w:szCs w:val="22"/>
        </w:rPr>
        <w:t xml:space="preserve">Observability is implemented across three signals: metrics (what is happening), logs (what happened in detail), and alerts (when thresholds are breached). Two complementary systems cover different scopes.</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7.1 Metrics Pipeline</w:t>
      </w:r>
    </w:p>
    <w:p>
      <w:pPr>
        <w:spacing w:after="0" w:before="0"/>
        <w:ind w:left="360"/>
      </w:pPr>
      <w:r>
        <w:rPr>
          <w:rFonts w:ascii="Courier New" w:cs="Courier New" w:eastAsia="Courier New" w:hAnsi="Courier New"/>
          <w:color w:val="D83B01"/>
          <w:sz w:val="18"/>
          <w:szCs w:val="18"/>
        </w:rPr>
        <w:t xml:space="preserve">Application Pods</w:t>
      </w:r>
    </w:p>
    <w:p>
      <w:pPr>
        <w:spacing w:after="0" w:before="0"/>
        <w:ind w:left="360"/>
      </w:pPr>
      <w:r>
        <w:rPr>
          <w:rFonts w:ascii="Courier New" w:cs="Courier New" w:eastAsia="Courier New" w:hAnsi="Courier New"/>
          <w:color w:val="D83B01"/>
          <w:sz w:val="18"/>
          <w:szCs w:val="18"/>
        </w:rPr>
        <w:t xml:space="preserve">     | (Prometheus scrapes /metrics endpoint every 15s)</w:t>
      </w:r>
    </w:p>
    <w:p>
      <w:pPr>
        <w:spacing w:after="0" w:before="0"/>
        <w:ind w:left="360"/>
      </w:pPr>
      <w:r>
        <w:rPr>
          <w:rFonts w:ascii="Courier New" w:cs="Courier New" w:eastAsia="Courier New" w:hAnsi="Courier New"/>
          <w:color w:val="D83B01"/>
          <w:sz w:val="18"/>
          <w:szCs w:val="18"/>
        </w:rPr>
        <w:t xml:space="preserve">     v</w:t>
      </w:r>
    </w:p>
    <w:p>
      <w:pPr>
        <w:spacing w:after="0" w:before="0"/>
        <w:ind w:left="360"/>
      </w:pPr>
      <w:r>
        <w:rPr>
          <w:rFonts w:ascii="Courier New" w:cs="Courier New" w:eastAsia="Courier New" w:hAnsi="Courier New"/>
          <w:color w:val="D83B01"/>
          <w:sz w:val="18"/>
          <w:szCs w:val="18"/>
        </w:rPr>
        <w:t xml:space="preserve">Prometheus Server ──────────────────────────&gt; Grafana Dashboards (visualization)</w:t>
      </w:r>
    </w:p>
    <w:p>
      <w:pPr>
        <w:spacing w:after="0" w:before="0"/>
        <w:ind w:left="360"/>
      </w:pPr>
      <w:r>
        <w:rPr>
          <w:rFonts w:ascii="Courier New" w:cs="Courier New" w:eastAsia="Courier New" w:hAnsi="Courier New"/>
          <w:color w:val="D83B01"/>
          <w:sz w:val="18"/>
          <w:szCs w:val="18"/>
        </w:rPr>
        <w:t xml:space="preserve">     |                                               |</w:t>
      </w:r>
    </w:p>
    <w:p>
      <w:pPr>
        <w:spacing w:after="0" w:before="0"/>
        <w:ind w:left="360"/>
      </w:pPr>
      <w:r>
        <w:rPr>
          <w:rFonts w:ascii="Courier New" w:cs="Courier New" w:eastAsia="Courier New" w:hAnsi="Courier New"/>
          <w:color w:val="D83B01"/>
          <w:sz w:val="18"/>
          <w:szCs w:val="18"/>
        </w:rPr>
        <w:t xml:space="preserve">     | (remote write)                           (alerting rules)</w:t>
      </w:r>
    </w:p>
    <w:p>
      <w:pPr>
        <w:spacing w:after="0" w:before="0"/>
        <w:ind w:left="360"/>
      </w:pPr>
      <w:r>
        <w:rPr>
          <w:rFonts w:ascii="Courier New" w:cs="Courier New" w:eastAsia="Courier New" w:hAnsi="Courier New"/>
          <w:color w:val="D83B01"/>
          <w:sz w:val="18"/>
          <w:szCs w:val="18"/>
        </w:rPr>
        <w:t xml:space="preserve">     v                                               |</w:t>
      </w:r>
    </w:p>
    <w:p>
      <w:pPr>
        <w:spacing w:after="0" w:before="0"/>
        <w:ind w:left="360"/>
      </w:pPr>
      <w:r>
        <w:rPr>
          <w:rFonts w:ascii="Courier New" w:cs="Courier New" w:eastAsia="Courier New" w:hAnsi="Courier New"/>
          <w:color w:val="D83B01"/>
          <w:sz w:val="18"/>
          <w:szCs w:val="18"/>
        </w:rPr>
        <w:t xml:space="preserve">Azure Monitor Managed Prometheus               Alertmanager</w:t>
      </w:r>
    </w:p>
    <w:p>
      <w:pPr>
        <w:spacing w:after="0" w:before="0"/>
        <w:ind w:left="360"/>
      </w:pPr>
      <w:r>
        <w:rPr>
          <w:rFonts w:ascii="Courier New" w:cs="Courier New" w:eastAsia="Courier New" w:hAnsi="Courier New"/>
          <w:color w:val="D83B01"/>
          <w:sz w:val="18"/>
          <w:szCs w:val="18"/>
        </w:rPr>
        <w:t xml:space="preserve">     |                                               |</w:t>
      </w:r>
    </w:p>
    <w:p>
      <w:pPr>
        <w:spacing w:after="0" w:before="0"/>
        <w:ind w:left="360"/>
      </w:pPr>
      <w:r>
        <w:rPr>
          <w:rFonts w:ascii="Courier New" w:cs="Courier New" w:eastAsia="Courier New" w:hAnsi="Courier New"/>
          <w:color w:val="D83B01"/>
          <w:sz w:val="18"/>
          <w:szCs w:val="18"/>
        </w:rPr>
        <w:t xml:space="preserve">     v                                               v</w:t>
      </w:r>
    </w:p>
    <w:p>
      <w:pPr>
        <w:spacing w:after="0" w:before="0"/>
        <w:ind w:left="360"/>
      </w:pPr>
      <w:r>
        <w:rPr>
          <w:rFonts w:ascii="Courier New" w:cs="Courier New" w:eastAsia="Courier New" w:hAnsi="Courier New"/>
          <w:color w:val="D83B01"/>
          <w:sz w:val="18"/>
          <w:szCs w:val="18"/>
        </w:rPr>
        <w:t xml:space="preserve">Log Analytics Workspace                   PagerDuty / Slack notifications</w:t>
      </w:r>
    </w:p>
    <w:p>
      <w:pPr>
        <w:spacing w:after="0" w:before="200"/>
      </w:pPr>
      <w:r>
        <w:t xml:space="preserve"/>
      </w:r>
    </w:p>
    <w:p>
      <w:pPr>
        <w:pStyle w:val="Heading2"/>
        <w:spacing w:after="120" w:before="320"/>
      </w:pPr>
      <w:r>
        <w:rPr>
          <w:rFonts w:ascii="Arial" w:cs="Arial" w:eastAsia="Arial" w:hAnsi="Arial"/>
          <w:b/>
          <w:bCs/>
          <w:color w:val="1A1A2E"/>
          <w:sz w:val="26"/>
          <w:szCs w:val="26"/>
        </w:rPr>
        <w:t xml:space="preserve">7.2 SLOs and Alert Thresholds</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960"/>
        <w:gridCol w:w="3000"/>
      </w:tblGrid>
      <w:tr>
        <w:trPr>
          <w:tblHeader/>
        </w:trPr>
        <w:tc>
          <w:tcPr>
            <w:tcW w:type="dxa" w:w="28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Signal</w:t>
            </w:r>
          </w:p>
        </w:tc>
        <w:tc>
          <w:tcPr>
            <w:tcW w:type="dxa" w:w="18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SLO Target</w:t>
            </w:r>
          </w:p>
        </w:tc>
        <w:tc>
          <w:tcPr>
            <w:tcW w:type="dxa" w:w="18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Fires At</w:t>
            </w:r>
          </w:p>
        </w:tc>
        <w:tc>
          <w:tcPr>
            <w:tcW w:type="dxa" w:w="19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Alert Window</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API Server Availability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99.9%</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 99.5%</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 minutes</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Node CPU Utilization</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&lt; 80%</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&gt; 85%</w:t>
            </w:r>
          </w:p>
        </w:tc>
        <w:tc>
          <w:tcPr>
            <w:tcW w:type="dxa" w:w="1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10 minutes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Pod Restart Rate</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 5/hour</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&gt; 10/hour</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Immediate</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Deployment Success Rate</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&gt; 99%</w:t>
            </w:r>
          </w:p>
        </w:tc>
        <w:tc>
          <w:tcPr>
            <w:tcW w:type="dxa" w:w="1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&lt; 98%</w:t>
            </w:r>
          </w:p>
        </w:tc>
        <w:tc>
          <w:tcPr>
            <w:tcW w:type="dxa" w:w="19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Immediate</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Ingress P99 Latency</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 500ms</w:t>
            </w:r>
          </w:p>
        </w:tc>
        <w:tc>
          <w:tcPr>
            <w:tcW w:type="dxa" w:w="1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&gt; 800ms</w:t>
            </w:r>
          </w:p>
        </w:tc>
        <w:tc>
          <w:tcPr>
            <w:tcW w:type="dxa" w:w="19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 minutes</w:t>
            </w:r>
          </w:p>
        </w:tc>
      </w:tr>
    </w:tbl>
    <w:p>
      <w:pPr>
        <w:spacing w:after="0" w:before="200"/>
      </w:pPr>
      <w:r>
        <w:t xml:space="preserve"/>
      </w:r>
    </w:p>
    <w:p>
      <w:pPr>
        <w:pStyle w:val="Heading2"/>
        <w:spacing w:after="120" w:before="320"/>
      </w:pPr>
      <w:r>
        <w:rPr>
          <w:rFonts w:ascii="Arial" w:cs="Arial" w:eastAsia="Arial" w:hAnsi="Arial"/>
          <w:b/>
          <w:bCs/>
          <w:color w:val="1A1A2E"/>
          <w:sz w:val="26"/>
          <w:szCs w:val="26"/>
        </w:rPr>
        <w:t xml:space="preserve">7.3 Log Retention Strategy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760"/>
      </w:tblGrid>
      <w:tr>
        <w:trPr>
          <w:tblHeader/>
        </w:trPr>
        <w:tc>
          <w:tcPr>
            <w:tcW w:type="dxa" w:w="28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Log Source</w:t>
            </w:r>
          </w:p>
        </w:tc>
        <w:tc>
          <w:tcPr>
            <w:tcW w:type="dxa" w:w="28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Destination</w:t>
            </w:r>
          </w:p>
        </w:tc>
        <w:tc>
          <w:tcPr>
            <w:tcW w:type="dxa" w:w="47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Retention</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Kubernetes audit logs</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Log Analytics Workspace</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90 days</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Container stdout/stderr</w:t>
            </w:r>
          </w:p>
        </w:tc>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Log Analytics Workspace</w:t>
            </w:r>
          </w:p>
        </w:tc>
        <w:tc>
          <w:tcPr>
            <w:tcW w:type="dxa" w:w="47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30 days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Node syslog</w:t>
            </w:r>
          </w:p>
        </w:tc>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Log Analytics Workspace</w:t>
            </w:r>
          </w:p>
        </w:tc>
        <w:tc>
          <w:tcPr>
            <w:tcW w:type="dxa" w:w="47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14 days</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Azure Activity logs</w:t>
            </w:r>
          </w:p>
        </w:tc>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Log Analytics Workspace</w:t>
            </w:r>
          </w:p>
        </w:tc>
        <w:tc>
          <w:tcPr>
            <w:tcW w:type="dxa" w:w="47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365 days (compliance)</w:t>
            </w:r>
          </w:p>
        </w:tc>
      </w:tr>
    </w:tbl>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8. CI/CD Pipeline Design</w:t>
      </w:r>
    </w:p>
    <w:p>
      <w:pPr>
        <w:spacing w:after="100" w:before="80"/>
      </w:pPr>
      <w:r>
        <w:rPr>
          <w:rFonts w:ascii="Arial" w:cs="Arial" w:eastAsia="Arial" w:hAnsi="Arial"/>
          <w:color w:val="212121"/>
          <w:sz w:val="22"/>
          <w:szCs w:val="22"/>
        </w:rPr>
        <w:t xml:space="preserve">The CI/CD pipeline enforces quality gates at every stage. No infrastructure change reaches production without passing automated checks and human approval. This is analogous to a ServiceNow Update Set promotion workflow with mandatory testing at each stage.</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8.1 Pull Request Pipeline (terraform-plan.yml)</w:t>
      </w:r>
    </w:p>
    <w:p>
      <w:pPr>
        <w:spacing w:after="100" w:before="80"/>
      </w:pPr>
      <w:r>
        <w:rPr>
          <w:rFonts w:ascii="Arial" w:cs="Arial" w:eastAsia="Arial" w:hAnsi="Arial"/>
          <w:color w:val="212121"/>
          <w:sz w:val="22"/>
          <w:szCs w:val="22"/>
        </w:rPr>
        <w:t xml:space="preserve">Triggered automatically on every Pull Request targeting the main branch:</w:t>
      </w:r>
    </w:p>
    <w:p>
      <w:pPr>
        <w:spacing w:after="0" w:before="80"/>
      </w:pPr>
      <w:r>
        <w:t xml:space="preserve"/>
      </w:r>
    </w:p>
    <w:p>
      <w:pPr>
        <w:pStyle w:val="ListParagraph"/>
        <w:numPr>
          <w:ilvl w:val="0"/>
          <w:numId w:val="2"/>
        </w:numPr>
        <w:spacing w:after="60" w:before="60"/>
      </w:pPr>
      <w:r>
        <w:rPr>
          <w:rFonts w:ascii="Arial" w:cs="Arial" w:eastAsia="Arial" w:hAnsi="Arial"/>
          <w:color w:val="212121"/>
          <w:sz w:val="22"/>
          <w:szCs w:val="22"/>
        </w:rPr>
        <w:t xml:space="preserve">terraform fmt --check — code formatting validation (like a linter)</w:t>
      </w:r>
    </w:p>
    <w:p>
      <w:pPr>
        <w:pStyle w:val="ListParagraph"/>
        <w:numPr>
          <w:ilvl w:val="0"/>
          <w:numId w:val="2"/>
        </w:numPr>
        <w:spacing w:after="60" w:before="60"/>
      </w:pPr>
      <w:r>
        <w:rPr>
          <w:rFonts w:ascii="Arial" w:cs="Arial" w:eastAsia="Arial" w:hAnsi="Arial"/>
          <w:color w:val="212121"/>
          <w:sz w:val="22"/>
          <w:szCs w:val="22"/>
        </w:rPr>
        <w:t xml:space="preserve">terraform validate — syntax and configuration correctness</w:t>
      </w:r>
    </w:p>
    <w:p>
      <w:pPr>
        <w:pStyle w:val="ListParagraph"/>
        <w:numPr>
          <w:ilvl w:val="0"/>
          <w:numId w:val="2"/>
        </w:numPr>
        <w:spacing w:after="60" w:before="60"/>
      </w:pPr>
      <w:r>
        <w:rPr>
          <w:rFonts w:ascii="Arial" w:cs="Arial" w:eastAsia="Arial" w:hAnsi="Arial"/>
          <w:color w:val="212121"/>
          <w:sz w:val="22"/>
          <w:szCs w:val="22"/>
        </w:rPr>
        <w:t xml:space="preserve">terraform plan — generates a diff of what will change, posted as a PR comment</w:t>
      </w:r>
    </w:p>
    <w:p>
      <w:pPr>
        <w:pStyle w:val="ListParagraph"/>
        <w:numPr>
          <w:ilvl w:val="0"/>
          <w:numId w:val="2"/>
        </w:numPr>
        <w:spacing w:after="60" w:before="60"/>
      </w:pPr>
      <w:r>
        <w:rPr>
          <w:rFonts w:ascii="Arial" w:cs="Arial" w:eastAsia="Arial" w:hAnsi="Arial"/>
          <w:color w:val="212121"/>
          <w:sz w:val="22"/>
          <w:szCs w:val="22"/>
        </w:rPr>
        <w:t xml:space="preserve">tfsec security scan — static analysis for security misconfigurations</w:t>
      </w:r>
    </w:p>
    <w:p>
      <w:pPr>
        <w:pStyle w:val="ListParagraph"/>
        <w:numPr>
          <w:ilvl w:val="0"/>
          <w:numId w:val="2"/>
        </w:numPr>
        <w:spacing w:after="60" w:before="60"/>
      </w:pPr>
      <w:r>
        <w:rPr>
          <w:rFonts w:ascii="Arial" w:cs="Arial" w:eastAsia="Arial" w:hAnsi="Arial"/>
          <w:color w:val="212121"/>
          <w:sz w:val="22"/>
          <w:szCs w:val="22"/>
        </w:rPr>
        <w:t xml:space="preserve">OPA policy check — Open Policy Agent validates against custom compliance rules</w:t>
      </w:r>
    </w:p>
    <w:p>
      <w:pPr>
        <w:pStyle w:val="ListParagraph"/>
        <w:numPr>
          <w:ilvl w:val="0"/>
          <w:numId w:val="2"/>
        </w:numPr>
        <w:spacing w:after="60" w:before="60"/>
      </w:pPr>
      <w:r>
        <w:rPr>
          <w:rFonts w:ascii="Arial" w:cs="Arial" w:eastAsia="Arial" w:hAnsi="Arial"/>
          <w:color w:val="212121"/>
          <w:sz w:val="22"/>
          <w:szCs w:val="22"/>
        </w:rPr>
        <w:t xml:space="preserve">Peer review approval — at least one human must approve before merge</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8.2 Production Apply Pipeline (terraform-apply.yml)</w:t>
      </w:r>
    </w:p>
    <w:p>
      <w:pPr>
        <w:spacing w:after="100" w:before="80"/>
      </w:pPr>
      <w:r>
        <w:rPr>
          <w:rFonts w:ascii="Arial" w:cs="Arial" w:eastAsia="Arial" w:hAnsi="Arial"/>
          <w:color w:val="212121"/>
          <w:sz w:val="22"/>
          <w:szCs w:val="22"/>
        </w:rPr>
        <w:t xml:space="preserve">Triggered when a PR merges to main — requires explicit manual trigger for PROD:</w:t>
      </w:r>
    </w:p>
    <w:p>
      <w:pPr>
        <w:spacing w:after="0" w:before="80"/>
      </w:pPr>
      <w:r>
        <w:t xml:space="preserve"/>
      </w:r>
    </w:p>
    <w:p>
      <w:pPr>
        <w:pStyle w:val="ListParagraph"/>
        <w:numPr>
          <w:ilvl w:val="0"/>
          <w:numId w:val="2"/>
        </w:numPr>
        <w:spacing w:after="60" w:before="60"/>
      </w:pPr>
      <w:r>
        <w:rPr>
          <w:rFonts w:ascii="Arial" w:cs="Arial" w:eastAsia="Arial" w:hAnsi="Arial"/>
          <w:color w:val="212121"/>
          <w:sz w:val="22"/>
          <w:szCs w:val="22"/>
        </w:rPr>
        <w:t xml:space="preserve">terraform apply — executes the approved plan artifact</w:t>
      </w:r>
    </w:p>
    <w:p>
      <w:pPr>
        <w:pStyle w:val="ListParagraph"/>
        <w:numPr>
          <w:ilvl w:val="0"/>
          <w:numId w:val="2"/>
        </w:numPr>
        <w:spacing w:after="60" w:before="60"/>
      </w:pPr>
      <w:r>
        <w:rPr>
          <w:rFonts w:ascii="Arial" w:cs="Arial" w:eastAsia="Arial" w:hAnsi="Arial"/>
          <w:color w:val="212121"/>
          <w:sz w:val="22"/>
          <w:szCs w:val="22"/>
        </w:rPr>
        <w:t xml:space="preserve">kubectl rollout status check — verifies all deployments are healthy post-apply</w:t>
      </w:r>
    </w:p>
    <w:p>
      <w:pPr>
        <w:pStyle w:val="ListParagraph"/>
        <w:numPr>
          <w:ilvl w:val="0"/>
          <w:numId w:val="2"/>
        </w:numPr>
        <w:spacing w:after="60" w:before="60"/>
      </w:pPr>
      <w:r>
        <w:rPr>
          <w:rFonts w:ascii="Arial" w:cs="Arial" w:eastAsia="Arial" w:hAnsi="Arial"/>
          <w:color w:val="212121"/>
          <w:sz w:val="22"/>
          <w:szCs w:val="22"/>
        </w:rPr>
        <w:t xml:space="preserve">Prometheus health probe — validates monitoring is operational</w:t>
      </w:r>
    </w:p>
    <w:p>
      <w:pPr>
        <w:pStyle w:val="ListParagraph"/>
        <w:numPr>
          <w:ilvl w:val="0"/>
          <w:numId w:val="2"/>
        </w:numPr>
        <w:spacing w:after="60" w:before="60"/>
      </w:pPr>
      <w:r>
        <w:rPr>
          <w:rFonts w:ascii="Arial" w:cs="Arial" w:eastAsia="Arial" w:hAnsi="Arial"/>
          <w:color w:val="212121"/>
          <w:sz w:val="22"/>
          <w:szCs w:val="22"/>
        </w:rPr>
        <w:t xml:space="preserve">Slack notification — team is notified of success or failure</w:t>
      </w:r>
    </w:p>
    <w:p>
      <w:pPr>
        <w:spacing w:after="0" w:before="160"/>
      </w:pPr>
      <w:r>
        <w:t xml:space="preserve"/>
      </w:r>
    </w:p>
    <w:p>
      <w:pPr>
        <w:pStyle w:val="Heading2"/>
        <w:spacing w:after="120" w:before="320"/>
      </w:pPr>
      <w:r>
        <w:rPr>
          <w:rFonts w:ascii="Arial" w:cs="Arial" w:eastAsia="Arial" w:hAnsi="Arial"/>
          <w:b/>
          <w:bCs/>
          <w:color w:val="1A1A2E"/>
          <w:sz w:val="26"/>
          <w:szCs w:val="26"/>
        </w:rPr>
        <w:t xml:space="preserve">8.3 Environment Promotion Flow</w:t>
      </w:r>
    </w:p>
    <w:p>
      <w:pPr>
        <w:spacing w:after="0" w:before="0"/>
        <w:ind w:left="360"/>
      </w:pPr>
      <w:r>
        <w:rPr>
          <w:rFonts w:ascii="Courier New" w:cs="Courier New" w:eastAsia="Courier New" w:hAnsi="Courier New"/>
          <w:color w:val="D83B01"/>
          <w:sz w:val="18"/>
          <w:szCs w:val="18"/>
        </w:rPr>
        <w:t xml:space="preserve">feature/* branch</w:t>
      </w:r>
    </w:p>
    <w:p>
      <w:pPr>
        <w:spacing w:after="0" w:before="0"/>
        <w:ind w:left="360"/>
      </w:pPr>
      <w:r>
        <w:rPr>
          <w:rFonts w:ascii="Courier New" w:cs="Courier New" w:eastAsia="Courier New" w:hAnsi="Courier New"/>
          <w:color w:val="D83B01"/>
          <w:sz w:val="18"/>
          <w:szCs w:val="18"/>
        </w:rPr>
        <w:t xml:space="preserve">      |</w:t>
      </w:r>
    </w:p>
    <w:p>
      <w:pPr>
        <w:spacing w:after="0" w:before="0"/>
        <w:ind w:left="360"/>
      </w:pPr>
      <w:r>
        <w:rPr>
          <w:rFonts w:ascii="Courier New" w:cs="Courier New" w:eastAsia="Courier New" w:hAnsi="Courier New"/>
          <w:color w:val="D83B01"/>
          <w:sz w:val="18"/>
          <w:szCs w:val="18"/>
        </w:rPr>
        <w:t xml:space="preserve">      | (PR + automated plan)</w:t>
      </w:r>
    </w:p>
    <w:p>
      <w:pPr>
        <w:spacing w:after="0" w:before="0"/>
        <w:ind w:left="360"/>
      </w:pPr>
      <w:r>
        <w:rPr>
          <w:rFonts w:ascii="Courier New" w:cs="Courier New" w:eastAsia="Courier New" w:hAnsi="Courier New"/>
          <w:color w:val="D83B01"/>
          <w:sz w:val="18"/>
          <w:szCs w:val="18"/>
        </w:rPr>
        <w:t xml:space="preserve">      v</w:t>
      </w:r>
    </w:p>
    <w:p>
      <w:pPr>
        <w:spacing w:after="0" w:before="0"/>
        <w:ind w:left="360"/>
      </w:pPr>
      <w:r>
        <w:rPr>
          <w:rFonts w:ascii="Courier New" w:cs="Courier New" w:eastAsia="Courier New" w:hAnsi="Courier New"/>
          <w:color w:val="D83B01"/>
          <w:sz w:val="18"/>
          <w:szCs w:val="18"/>
        </w:rPr>
        <w:t xml:space="preserve">   develop ──&gt; DEV environment     (auto-apply on merge)</w:t>
      </w:r>
    </w:p>
    <w:p>
      <w:pPr>
        <w:spacing w:after="0" w:before="0"/>
        <w:ind w:left="360"/>
      </w:pPr>
      <w:r>
        <w:rPr>
          <w:rFonts w:ascii="Courier New" w:cs="Courier New" w:eastAsia="Courier New" w:hAnsi="Courier New"/>
          <w:color w:val="D83B01"/>
          <w:sz w:val="18"/>
          <w:szCs w:val="18"/>
        </w:rPr>
        <w:t xml:space="preserve">      |</w:t>
      </w:r>
    </w:p>
    <w:p>
      <w:pPr>
        <w:spacing w:after="0" w:before="0"/>
        <w:ind w:left="360"/>
      </w:pPr>
      <w:r>
        <w:rPr>
          <w:rFonts w:ascii="Courier New" w:cs="Courier New" w:eastAsia="Courier New" w:hAnsi="Courier New"/>
          <w:color w:val="D83B01"/>
          <w:sz w:val="18"/>
          <w:szCs w:val="18"/>
        </w:rPr>
        <w:t xml:space="preserve">      | (PR + plan + 1 approval)</w:t>
      </w:r>
    </w:p>
    <w:p>
      <w:pPr>
        <w:spacing w:after="0" w:before="0"/>
        <w:ind w:left="360"/>
      </w:pPr>
      <w:r>
        <w:rPr>
          <w:rFonts w:ascii="Courier New" w:cs="Courier New" w:eastAsia="Courier New" w:hAnsi="Courier New"/>
          <w:color w:val="D83B01"/>
          <w:sz w:val="18"/>
          <w:szCs w:val="18"/>
        </w:rPr>
        <w:t xml:space="preserve">      v</w:t>
      </w:r>
    </w:p>
    <w:p>
      <w:pPr>
        <w:spacing w:after="0" w:before="0"/>
        <w:ind w:left="360"/>
      </w:pPr>
      <w:r>
        <w:rPr>
          <w:rFonts w:ascii="Courier New" w:cs="Courier New" w:eastAsia="Courier New" w:hAnsi="Courier New"/>
          <w:color w:val="D83B01"/>
          <w:sz w:val="18"/>
          <w:szCs w:val="18"/>
        </w:rPr>
        <w:t xml:space="preserve">   staging ──&gt; STAGING environment (auto-apply on merge)</w:t>
      </w:r>
    </w:p>
    <w:p>
      <w:pPr>
        <w:spacing w:after="0" w:before="0"/>
        <w:ind w:left="360"/>
      </w:pPr>
      <w:r>
        <w:rPr>
          <w:rFonts w:ascii="Courier New" w:cs="Courier New" w:eastAsia="Courier New" w:hAnsi="Courier New"/>
          <w:color w:val="D83B01"/>
          <w:sz w:val="18"/>
          <w:szCs w:val="18"/>
        </w:rPr>
        <w:t xml:space="preserve">      |</w:t>
      </w:r>
    </w:p>
    <w:p>
      <w:pPr>
        <w:spacing w:after="0" w:before="0"/>
        <w:ind w:left="360"/>
      </w:pPr>
      <w:r>
        <w:rPr>
          <w:rFonts w:ascii="Courier New" w:cs="Courier New" w:eastAsia="Courier New" w:hAnsi="Courier New"/>
          <w:color w:val="D83B01"/>
          <w:sz w:val="18"/>
          <w:szCs w:val="18"/>
        </w:rPr>
        <w:t xml:space="preserve">      | (PR + plan + 2 approvals)</w:t>
      </w:r>
    </w:p>
    <w:p>
      <w:pPr>
        <w:spacing w:after="0" w:before="0"/>
        <w:ind w:left="360"/>
      </w:pPr>
      <w:r>
        <w:rPr>
          <w:rFonts w:ascii="Courier New" w:cs="Courier New" w:eastAsia="Courier New" w:hAnsi="Courier New"/>
          <w:color w:val="D83B01"/>
          <w:sz w:val="18"/>
          <w:szCs w:val="18"/>
        </w:rPr>
        <w:t xml:space="preserve">      v</w:t>
      </w:r>
    </w:p>
    <w:p>
      <w:pPr>
        <w:spacing w:after="0" w:before="0"/>
        <w:ind w:left="360"/>
      </w:pPr>
      <w:r>
        <w:rPr>
          <w:rFonts w:ascii="Courier New" w:cs="Courier New" w:eastAsia="Courier New" w:hAnsi="Courier New"/>
          <w:color w:val="D83B01"/>
          <w:sz w:val="18"/>
          <w:szCs w:val="18"/>
        </w:rPr>
        <w:t xml:space="preserve">    main   ──&gt; PROD environment    (MANUAL trigger only)</w:t>
      </w:r>
    </w:p>
    <w:p>
      <w:pPr>
        <w:spacing w:after="0" w:before="200"/>
      </w:pPr>
      <w:r>
        <w:t xml:space="preserve"/>
      </w:r>
    </w:p>
    <w:p>
      <w:pPr>
        <w:pStyle w:val="Heading2"/>
        <w:spacing w:after="120" w:before="320"/>
      </w:pPr>
      <w:r>
        <w:rPr>
          <w:rFonts w:ascii="Arial" w:cs="Arial" w:eastAsia="Arial" w:hAnsi="Arial"/>
          <w:b/>
          <w:bCs/>
          <w:color w:val="1A1A2E"/>
          <w:sz w:val="26"/>
          <w:szCs w:val="26"/>
        </w:rPr>
        <w:t xml:space="preserve">8.4 Required GitHub Secrets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360"/>
      </w:tblGrid>
      <w:tr>
        <w:trPr>
          <w:tblHeader/>
        </w:trPr>
        <w:tc>
          <w:tcPr>
            <w:tcW w:type="dxa" w:w="26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Secret Name</w:t>
            </w:r>
          </w:p>
        </w:tc>
        <w:tc>
          <w:tcPr>
            <w:tcW w:type="dxa" w:w="24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53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It Is Used</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AZURE_CLIENT_ID</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Service principal client ID</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OIDC authentication to Azure from GitHub Actions</w:t>
            </w:r>
          </w:p>
        </w:tc>
      </w:tr>
      <w:tr>
        <w:tc>
          <w:tcPr>
            <w:tcW w:type="dxa" w:w="26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AZURE_CLIENT_SECRET</w:t>
            </w:r>
          </w:p>
        </w:tc>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Service principal secret</w:t>
            </w:r>
          </w:p>
        </w:tc>
        <w:tc>
          <w:tcPr>
            <w:tcW w:type="dxa" w:w="5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Fallback auth (OIDC preferred where possible)</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AZURE_SUBSCRIPTION_ID</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Target Azure subscription</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Scope all Terraform operations to correct subscription</w:t>
            </w:r>
          </w:p>
        </w:tc>
      </w:tr>
      <w:tr>
        <w:tc>
          <w:tcPr>
            <w:tcW w:type="dxa" w:w="26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AZURE_TENANT_ID</w:t>
            </w:r>
          </w:p>
        </w:tc>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Azure AD tenant ID</w:t>
            </w:r>
          </w:p>
        </w:tc>
        <w:tc>
          <w:tcPr>
            <w:tcW w:type="dxa" w:w="5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Identifies the Azure AD directory for auth</w:t>
            </w:r>
          </w:p>
        </w:tc>
      </w:tr>
      <w:tr>
        <w:tc>
          <w:tcPr>
            <w:tcW w:type="dxa" w:w="26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SLACK_WEBHOOK_URL</w:t>
            </w:r>
          </w:p>
        </w:tc>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Incoming webhook URL</w:t>
            </w:r>
          </w:p>
        </w:tc>
        <w:tc>
          <w:tcPr>
            <w:tcW w:type="dxa" w:w="5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Sends deployment success/failure notifications</w:t>
            </w:r>
          </w:p>
        </w:tc>
      </w:tr>
    </w:tbl>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9. Terraform State Management</w:t>
      </w:r>
    </w:p>
    <w:p>
      <w:pPr>
        <w:spacing w:after="100" w:before="80"/>
      </w:pPr>
      <w:r>
        <w:rPr>
          <w:rFonts w:ascii="Arial" w:cs="Arial" w:eastAsia="Arial" w:hAnsi="Arial"/>
          <w:color w:val="212121"/>
          <w:sz w:val="22"/>
          <w:szCs w:val="22"/>
        </w:rPr>
        <w:t xml:space="preserve">Terraform maintains a state file that tracks what resources exist in Azure. This state must be stored remotely so multiple engineers can collaborate without conflicts.</w:t>
      </w:r>
    </w:p>
    <w:p>
      <w:pPr>
        <w:spacing w:after="0" w:before="120"/>
      </w:pPr>
      <w:r>
        <w:t xml:space="preserve"/>
      </w:r>
    </w:p>
    <w:p>
      <w:pPr>
        <w:pStyle w:val="Heading2"/>
        <w:spacing w:after="120" w:before="320"/>
      </w:pPr>
      <w:r>
        <w:rPr>
          <w:rFonts w:ascii="Arial" w:cs="Arial" w:eastAsia="Arial" w:hAnsi="Arial"/>
          <w:b/>
          <w:bCs/>
          <w:color w:val="1A1A2E"/>
          <w:sz w:val="26"/>
          <w:szCs w:val="26"/>
        </w:rPr>
        <w:t xml:space="preserve">9.1 Remote Backend Configuration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5000"/>
      </w:tblGrid>
      <w:tr>
        <w:trPr>
          <w:tblHeader/>
        </w:trPr>
        <w:tc>
          <w:tcPr>
            <w:tcW w:type="dxa" w:w="2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w:t>
            </w:r>
          </w:p>
        </w:tc>
        <w:tc>
          <w:tcPr>
            <w:tcW w:type="dxa" w:w="3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50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Storage Account</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stplatformtfstate</w:t>
            </w:r>
          </w:p>
        </w:tc>
        <w:tc>
          <w:tcPr>
            <w:tcW w:type="dxa" w:w="5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Azure Blob Storage account holding state files</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Container</w:t>
            </w:r>
          </w:p>
        </w:tc>
        <w:tc>
          <w:tcPr>
            <w:tcW w:type="dxa" w:w="3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tfstate</w:t>
            </w:r>
          </w:p>
        </w:tc>
        <w:tc>
          <w:tcPr>
            <w:tcW w:type="dxa" w:w="5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Blob container within the storage account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Key Pattern</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&lt;env&gt;/aks.tfstate, &lt;env&gt;/networking.tfstate</w:t>
            </w:r>
          </w:p>
        </w:tc>
        <w:tc>
          <w:tcPr>
            <w:tcW w:type="dxa" w:w="5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One state file per environment per module</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Locking</w:t>
            </w:r>
          </w:p>
        </w:tc>
        <w:tc>
          <w:tcPr>
            <w:tcW w:type="dxa" w:w="3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Azure Blob lease-based locking</w:t>
            </w:r>
          </w:p>
        </w:tc>
        <w:tc>
          <w:tcPr>
            <w:tcW w:type="dxa" w:w="5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Prevents two engineers running terraform apply simultaneously</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Access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Managed Identity (no storage keys)</w:t>
            </w:r>
          </w:p>
        </w:tc>
        <w:tc>
          <w:tcPr>
            <w:tcW w:type="dxa" w:w="5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 credentials required — identity-based access</w:t>
            </w:r>
          </w:p>
        </w:tc>
      </w:tr>
      <w:tr>
        <w:tc>
          <w:tcPr>
            <w:tcW w:type="dxa" w:w="2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Versioning</w:t>
            </w:r>
          </w:p>
        </w:tc>
        <w:tc>
          <w:tcPr>
            <w:tcW w:type="dxa" w:w="3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Blob versioning — 90-day retention</w:t>
            </w:r>
          </w:p>
        </w:tc>
        <w:tc>
          <w:tcPr>
            <w:tcW w:type="dxa" w:w="5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State file history for rollback if corruption occurs</w:t>
            </w:r>
          </w:p>
        </w:tc>
      </w:tr>
    </w:tbl>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10. Disaster Recovery</w:t>
      </w:r>
    </w:p>
    <w:p>
      <w:pPr>
        <w:pStyle w:val="Heading2"/>
        <w:spacing w:after="120" w:before="320"/>
      </w:pPr>
      <w:r>
        <w:rPr>
          <w:rFonts w:ascii="Arial" w:cs="Arial" w:eastAsia="Arial" w:hAnsi="Arial"/>
          <w:b/>
          <w:bCs/>
          <w:color w:val="1A1A2E"/>
          <w:sz w:val="26"/>
          <w:szCs w:val="26"/>
        </w:rPr>
        <w:t xml:space="preserve">10.1 RTO / RPO Targets</w:t>
      </w:r>
    </w:p>
    <w:p>
      <w:pPr>
        <w:spacing w:after="100" w:before="80"/>
      </w:pPr>
      <w:r>
        <w:rPr>
          <w:rFonts w:ascii="Arial" w:cs="Arial" w:eastAsia="Arial" w:hAnsi="Arial"/>
          <w:color w:val="212121"/>
          <w:sz w:val="22"/>
          <w:szCs w:val="22"/>
        </w:rPr>
        <w:t xml:space="preserve">RTO (Recovery Time Objective) = how long to restore. RPO (Recovery Point Objective) = how much data is acceptable to lose.</w:t>
      </w:r>
    </w:p>
    <w:p>
      <w:pPr>
        <w:spacing w:after="0" w:before="10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5560"/>
      </w:tblGrid>
      <w:tr>
        <w:trPr>
          <w:tblHeader/>
        </w:trPr>
        <w:tc>
          <w:tcPr>
            <w:tcW w:type="dxa" w:w="24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RTO</w:t>
            </w:r>
          </w:p>
        </w:tc>
        <w:tc>
          <w:tcPr>
            <w:tcW w:type="dxa" w:w="1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RPO</w:t>
            </w:r>
          </w:p>
        </w:tc>
        <w:tc>
          <w:tcPr>
            <w:tcW w:type="dxa" w:w="55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Recovery Strategy</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AKS Cluster</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15 minutes</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 (stateless)</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terraform apply re-provisions from state — fully automated</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Persistent Volumes</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 hour</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15 minutes</w:t>
            </w:r>
          </w:p>
        </w:tc>
        <w:tc>
          <w:tcPr>
            <w:tcW w:type="dxa" w:w="5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Azure Disk snapshots taken every 15 minutes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Key Vault Secrets</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 minutes</w:t>
            </w:r>
          </w:p>
        </w:tc>
        <w:tc>
          <w:tcPr>
            <w:tcW w:type="dxa" w:w="1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0</w:t>
            </w:r>
          </w:p>
        </w:tc>
        <w:tc>
          <w:tcPr>
            <w:tcW w:type="dxa" w:w="55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Geo-redundant Key Vault — data replicated to paired region</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Container Images</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Immediate</w:t>
            </w:r>
          </w:p>
        </w:tc>
        <w:tc>
          <w:tcPr>
            <w:tcW w:type="dxa" w:w="1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0</w:t>
            </w:r>
          </w:p>
        </w:tc>
        <w:tc>
          <w:tcPr>
            <w:tcW w:type="dxa" w:w="55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ACR geo-replication — images available in all regions</w:t>
            </w:r>
          </w:p>
        </w:tc>
      </w:tr>
    </w:tbl>
    <w:p>
      <w:pPr>
        <w:spacing w:after="0" w:before="200"/>
      </w:pPr>
      <w:r>
        <w:t xml:space="preserve"/>
      </w:r>
    </w:p>
    <w:p>
      <w:pPr>
        <w:pStyle w:val="Heading2"/>
        <w:spacing w:after="120" w:before="320"/>
      </w:pPr>
      <w:r>
        <w:rPr>
          <w:rFonts w:ascii="Arial" w:cs="Arial" w:eastAsia="Arial" w:hAnsi="Arial"/>
          <w:b/>
          <w:bCs/>
          <w:color w:val="1A1A2E"/>
          <w:sz w:val="26"/>
          <w:szCs w:val="26"/>
        </w:rPr>
        <w:t xml:space="preserve">10.2 Backup Configuration</w:t>
      </w:r>
    </w:p>
    <w:p>
      <w:pPr>
        <w:pStyle w:val="ListParagraph"/>
        <w:numPr>
          <w:ilvl w:val="0"/>
          <w:numId w:val="2"/>
        </w:numPr>
        <w:spacing w:after="60" w:before="60"/>
      </w:pPr>
      <w:r>
        <w:rPr>
          <w:rFonts w:ascii="Arial" w:cs="Arial" w:eastAsia="Arial" w:hAnsi="Arial"/>
          <w:color w:val="212121"/>
          <w:sz w:val="22"/>
          <w:szCs w:val="22"/>
        </w:rPr>
        <w:t xml:space="preserve">Velero deployed inside the cluster for Kubernetes resource backup to Azure Blob Storage</w:t>
      </w:r>
    </w:p>
    <w:p>
      <w:pPr>
        <w:pStyle w:val="ListParagraph"/>
        <w:numPr>
          <w:ilvl w:val="0"/>
          <w:numId w:val="2"/>
        </w:numPr>
        <w:spacing w:after="60" w:before="60"/>
      </w:pPr>
      <w:r>
        <w:rPr>
          <w:rFonts w:ascii="Arial" w:cs="Arial" w:eastAsia="Arial" w:hAnsi="Arial"/>
          <w:color w:val="212121"/>
          <w:sz w:val="22"/>
          <w:szCs w:val="22"/>
        </w:rPr>
        <w:t xml:space="preserve">Daily full backup schedule with 30-day retention</w:t>
      </w:r>
    </w:p>
    <w:p>
      <w:pPr>
        <w:pStyle w:val="ListParagraph"/>
        <w:numPr>
          <w:ilvl w:val="0"/>
          <w:numId w:val="2"/>
        </w:numPr>
        <w:spacing w:after="60" w:before="60"/>
      </w:pPr>
      <w:r>
        <w:rPr>
          <w:rFonts w:ascii="Arial" w:cs="Arial" w:eastAsia="Arial" w:hAnsi="Arial"/>
          <w:color w:val="212121"/>
          <w:sz w:val="22"/>
          <w:szCs w:val="22"/>
        </w:rPr>
        <w:t xml:space="preserve">Persistent Volume snapshots via Azure Disk Snapshot policies (every 15 minutes)</w:t>
      </w:r>
    </w:p>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11. Cost Optimization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4000"/>
      </w:tblGrid>
      <w:tr>
        <w:trPr>
          <w:tblHeader/>
        </w:trPr>
        <w:tc>
          <w:tcPr>
            <w:tcW w:type="dxa" w:w="24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Strategy</w:t>
            </w:r>
          </w:p>
        </w:tc>
        <w:tc>
          <w:tcPr>
            <w:tcW w:type="dxa" w:w="40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40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Saving</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Cluster Autoscaler</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Scales to zero for non-critical node pools overnight</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Variable — typically 40-60% off-hours</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Spot Instances</w:t>
            </w:r>
          </w:p>
        </w:tc>
        <w:tc>
          <w:tcPr>
            <w:tcW w:type="dxa" w:w="4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Spot node pool for batch/non-critical workloads</w:t>
            </w:r>
          </w:p>
        </w:tc>
        <w:tc>
          <w:tcPr>
            <w:tcW w:type="dxa" w:w="4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~70% cost reduction vs on-demand</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Reserved Instances</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1-year RI for system node pool</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~40% savings vs pay-as-you-go</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Storage Lifecycle</w:t>
            </w:r>
          </w:p>
        </w:tc>
        <w:tc>
          <w:tcPr>
            <w:tcW w:type="dxa" w:w="4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Auto hot → cool → archive tiering on Azure Blob</w:t>
            </w:r>
          </w:p>
        </w:tc>
        <w:tc>
          <w:tcPr>
            <w:tcW w:type="dxa" w:w="4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Variable based on data volume</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Dev Cluster Shutdown</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Automated AKS stop/start for non-prod clusters off-hours</w:t>
            </w:r>
          </w:p>
        </w:tc>
        <w:tc>
          <w:tcPr>
            <w:tcW w:type="dxa" w:w="4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~60% for dev/test environments</w:t>
            </w:r>
          </w:p>
        </w:tc>
      </w:tr>
    </w:tbl>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12. Quick Start — Step by Step</w:t>
      </w:r>
    </w:p>
    <w:p>
      <w:pPr>
        <w:spacing w:after="100" w:before="80"/>
      </w:pPr>
      <w:r>
        <w:rPr>
          <w:rFonts w:ascii="Arial" w:cs="Arial" w:eastAsia="Arial" w:hAnsi="Arial"/>
          <w:color w:val="212121"/>
          <w:sz w:val="22"/>
          <w:szCs w:val="22"/>
        </w:rPr>
        <w:t xml:space="preserve">Follow these steps in order to bring up a new environment from scratch. Assumes you have the Azure CLI, Terraform, Helm, and kubectl installed and your Azure permissions are in place.</w:t>
      </w:r>
    </w:p>
    <w:p>
      <w:pPr>
        <w:spacing w:after="0" w:before="120"/>
      </w:pPr>
      <w:r>
        <w:t xml:space="preserve"/>
      </w:r>
    </w:p>
    <w:p>
      <w:pPr>
        <w:pStyle w:val="Heading3"/>
        <w:spacing w:after="80" w:before="200"/>
      </w:pPr>
      <w:r>
        <w:rPr>
          <w:rFonts w:ascii="Arial" w:cs="Arial" w:eastAsia="Arial" w:hAnsi="Arial"/>
          <w:b/>
          <w:bCs/>
          <w:color w:val="2E75B6"/>
          <w:sz w:val="22"/>
          <w:szCs w:val="22"/>
        </w:rPr>
        <w:t xml:space="preserve">Step 1 — Clone and Configure</w:t>
      </w:r>
    </w:p>
    <w:p>
      <w:pPr>
        <w:spacing w:after="0" w:before="0"/>
        <w:ind w:left="360"/>
      </w:pPr>
      <w:r>
        <w:rPr>
          <w:rFonts w:ascii="Courier New" w:cs="Courier New" w:eastAsia="Courier New" w:hAnsi="Courier New"/>
          <w:color w:val="D83B01"/>
          <w:sz w:val="18"/>
          <w:szCs w:val="18"/>
        </w:rPr>
        <w:t xml:space="preserve">git clone https://github.com/&lt;your-org&gt;/azure-aks-platform-bootstrap.git</w:t>
      </w:r>
    </w:p>
    <w:p>
      <w:pPr>
        <w:spacing w:after="0" w:before="0"/>
        <w:ind w:left="360"/>
      </w:pPr>
      <w:r>
        <w:rPr>
          <w:rFonts w:ascii="Courier New" w:cs="Courier New" w:eastAsia="Courier New" w:hAnsi="Courier New"/>
          <w:color w:val="D83B01"/>
          <w:sz w:val="18"/>
          <w:szCs w:val="18"/>
        </w:rPr>
        <w:t xml:space="preserve">cd azure-aks-platform-bootstrap</w:t>
      </w:r>
    </w:p>
    <w:p>
      <w:pPr>
        <w:spacing w:after="0" w:before="0"/>
        <w:ind w:left="360"/>
      </w:pPr>
      <w:r>
        <w:rPr>
          <w:rFonts w:ascii="Courier New" w:cs="Courier New" w:eastAsia="Courier New" w:hAnsi="Courier New"/>
          <w:color w:val="D83B01"/>
          <w:sz w:val="18"/>
          <w:szCs w:val="18"/>
        </w:rPr>
        <w:t xml:space="preserve">cp terraform/terraform.tfvars.example terraform/terraform.tfvars</w:t>
      </w:r>
    </w:p>
    <w:p>
      <w:pPr>
        <w:spacing w:after="0" w:before="0"/>
        <w:ind w:left="360"/>
      </w:pPr>
      <w:r>
        <w:rPr>
          <w:rFonts w:ascii="Courier New" w:cs="Courier New" w:eastAsia="Courier New" w:hAnsi="Courier New"/>
          <w:color w:val="D83B01"/>
          <w:sz w:val="18"/>
          <w:szCs w:val="18"/>
        </w:rPr>
        <w:t xml:space="preserve"># Edit terraform.tfvars with your subscription ID, region, environment name</w:t>
      </w:r>
    </w:p>
    <w:p>
      <w:pPr>
        <w:spacing w:after="0" w:before="120"/>
      </w:pPr>
      <w:r>
        <w:t xml:space="preserve"/>
      </w:r>
    </w:p>
    <w:p>
      <w:pPr>
        <w:pStyle w:val="Heading3"/>
        <w:spacing w:after="80" w:before="200"/>
      </w:pPr>
      <w:r>
        <w:rPr>
          <w:rFonts w:ascii="Arial" w:cs="Arial" w:eastAsia="Arial" w:hAnsi="Arial"/>
          <w:b/>
          <w:bCs/>
          <w:color w:val="2E75B6"/>
          <w:sz w:val="22"/>
          <w:szCs w:val="22"/>
        </w:rPr>
        <w:t xml:space="preserve">Step 2 — Authenticate to Azure</w:t>
      </w:r>
    </w:p>
    <w:p>
      <w:pPr>
        <w:spacing w:after="0" w:before="0"/>
        <w:ind w:left="360"/>
      </w:pPr>
      <w:r>
        <w:rPr>
          <w:rFonts w:ascii="Courier New" w:cs="Courier New" w:eastAsia="Courier New" w:hAnsi="Courier New"/>
          <w:color w:val="D83B01"/>
          <w:sz w:val="18"/>
          <w:szCs w:val="18"/>
        </w:rPr>
        <w:t xml:space="preserve">az login</w:t>
      </w:r>
    </w:p>
    <w:p>
      <w:pPr>
        <w:spacing w:after="0" w:before="0"/>
        <w:ind w:left="360"/>
      </w:pPr>
      <w:r>
        <w:rPr>
          <w:rFonts w:ascii="Courier New" w:cs="Courier New" w:eastAsia="Courier New" w:hAnsi="Courier New"/>
          <w:color w:val="D83B01"/>
          <w:sz w:val="18"/>
          <w:szCs w:val="18"/>
        </w:rPr>
        <w:t xml:space="preserve">az account set --subscription "&lt;your-subscription-id&gt;"</w:t>
      </w:r>
    </w:p>
    <w:p>
      <w:pPr>
        <w:spacing w:after="0" w:before="0"/>
        <w:ind w:left="360"/>
      </w:pPr>
      <w:r>
        <w:rPr>
          <w:rFonts w:ascii="Courier New" w:cs="Courier New" w:eastAsia="Courier New" w:hAnsi="Courier New"/>
          <w:color w:val="D83B01"/>
          <w:sz w:val="18"/>
          <w:szCs w:val="18"/>
        </w:rPr>
        <w:t xml:space="preserve">az account show    # Verify you're on the right subscription</w:t>
      </w:r>
    </w:p>
    <w:p>
      <w:pPr>
        <w:spacing w:after="0" w:before="120"/>
      </w:pPr>
      <w:r>
        <w:t xml:space="preserve"/>
      </w:r>
    </w:p>
    <w:p>
      <w:pPr>
        <w:pStyle w:val="Heading3"/>
        <w:spacing w:after="80" w:before="200"/>
      </w:pPr>
      <w:r>
        <w:rPr>
          <w:rFonts w:ascii="Arial" w:cs="Arial" w:eastAsia="Arial" w:hAnsi="Arial"/>
          <w:b/>
          <w:bCs/>
          <w:color w:val="2E75B6"/>
          <w:sz w:val="22"/>
          <w:szCs w:val="22"/>
        </w:rPr>
        <w:t xml:space="preserve">Step 3 — Initialize Terraform Remote Backend</w:t>
      </w:r>
    </w:p>
    <w:p>
      <w:pPr>
        <w:spacing w:after="0" w:before="0"/>
        <w:ind w:left="360"/>
      </w:pPr>
      <w:r>
        <w:rPr>
          <w:rFonts w:ascii="Courier New" w:cs="Courier New" w:eastAsia="Courier New" w:hAnsi="Courier New"/>
          <w:color w:val="D83B01"/>
          <w:sz w:val="18"/>
          <w:szCs w:val="18"/>
        </w:rPr>
        <w:t xml:space="preserve">cd terraform</w:t>
      </w:r>
    </w:p>
    <w:p>
      <w:pPr>
        <w:spacing w:after="0" w:before="0"/>
        <w:ind w:left="360"/>
      </w:pPr>
      <w:r>
        <w:rPr>
          <w:rFonts w:ascii="Courier New" w:cs="Courier New" w:eastAsia="Courier New" w:hAnsi="Courier New"/>
          <w:color w:val="D83B01"/>
          <w:sz w:val="18"/>
          <w:szCs w:val="18"/>
        </w:rPr>
        <w:t xml:space="preserve">terraform init \</w:t>
      </w:r>
    </w:p>
    <w:p>
      <w:pPr>
        <w:spacing w:after="0" w:before="0"/>
        <w:ind w:left="360"/>
      </w:pPr>
      <w:r>
        <w:rPr>
          <w:rFonts w:ascii="Courier New" w:cs="Courier New" w:eastAsia="Courier New" w:hAnsi="Courier New"/>
          <w:color w:val="D83B01"/>
          <w:sz w:val="18"/>
          <w:szCs w:val="18"/>
        </w:rPr>
        <w:t xml:space="preserve">  -backend-config="resource_group_name=rg-tfstate" \</w:t>
      </w:r>
    </w:p>
    <w:p>
      <w:pPr>
        <w:spacing w:after="0" w:before="0"/>
        <w:ind w:left="360"/>
      </w:pPr>
      <w:r>
        <w:rPr>
          <w:rFonts w:ascii="Courier New" w:cs="Courier New" w:eastAsia="Courier New" w:hAnsi="Courier New"/>
          <w:color w:val="D83B01"/>
          <w:sz w:val="18"/>
          <w:szCs w:val="18"/>
        </w:rPr>
        <w:t xml:space="preserve">  -backend-config="storage_account_name=&lt;your-storage-account&gt;" \</w:t>
      </w:r>
    </w:p>
    <w:p>
      <w:pPr>
        <w:spacing w:after="0" w:before="0"/>
        <w:ind w:left="360"/>
      </w:pPr>
      <w:r>
        <w:rPr>
          <w:rFonts w:ascii="Courier New" w:cs="Courier New" w:eastAsia="Courier New" w:hAnsi="Courier New"/>
          <w:color w:val="D83B01"/>
          <w:sz w:val="18"/>
          <w:szCs w:val="18"/>
        </w:rPr>
        <w:t xml:space="preserve">  -backend-config="container_name=tfstate" \</w:t>
      </w:r>
    </w:p>
    <w:p>
      <w:pPr>
        <w:spacing w:after="0" w:before="0"/>
        <w:ind w:left="360"/>
      </w:pPr>
      <w:r>
        <w:rPr>
          <w:rFonts w:ascii="Courier New" w:cs="Courier New" w:eastAsia="Courier New" w:hAnsi="Courier New"/>
          <w:color w:val="D83B01"/>
          <w:sz w:val="18"/>
          <w:szCs w:val="18"/>
        </w:rPr>
        <w:t xml:space="preserve">  -backend-config="key=platform/aks.tfstate"</w:t>
      </w:r>
    </w:p>
    <w:p>
      <w:pPr>
        <w:spacing w:after="0" w:before="120"/>
      </w:pPr>
      <w:r>
        <w:t xml:space="preserve"/>
      </w:r>
    </w:p>
    <w:p>
      <w:pPr>
        <w:pStyle w:val="Heading3"/>
        <w:spacing w:after="80" w:before="200"/>
      </w:pPr>
      <w:r>
        <w:rPr>
          <w:rFonts w:ascii="Arial" w:cs="Arial" w:eastAsia="Arial" w:hAnsi="Arial"/>
          <w:b/>
          <w:bCs/>
          <w:color w:val="2E75B6"/>
          <w:sz w:val="22"/>
          <w:szCs w:val="22"/>
        </w:rPr>
        <w:t xml:space="preserve">Step 4 — Plan and Apply</w:t>
      </w:r>
    </w:p>
    <w:p>
      <w:pPr>
        <w:spacing w:after="0" w:before="0"/>
        <w:ind w:left="360"/>
      </w:pPr>
      <w:r>
        <w:rPr>
          <w:rFonts w:ascii="Courier New" w:cs="Courier New" w:eastAsia="Courier New" w:hAnsi="Courier New"/>
          <w:color w:val="D83B01"/>
          <w:sz w:val="18"/>
          <w:szCs w:val="18"/>
        </w:rPr>
        <w:t xml:space="preserve">terraform plan -var-file="terraform.tfvars" -out=tfplan</w:t>
      </w:r>
    </w:p>
    <w:p>
      <w:pPr>
        <w:spacing w:after="0" w:before="0"/>
        <w:ind w:left="360"/>
      </w:pPr>
      <w:r>
        <w:rPr>
          <w:rFonts w:ascii="Courier New" w:cs="Courier New" w:eastAsia="Courier New" w:hAnsi="Courier New"/>
          <w:color w:val="D83B01"/>
          <w:sz w:val="18"/>
          <w:szCs w:val="18"/>
        </w:rPr>
        <w:t xml:space="preserve"># Review the plan output carefully before applying</w:t>
      </w:r>
    </w:p>
    <w:p>
      <w:pPr>
        <w:spacing w:after="0" w:before="0"/>
        <w:ind w:left="360"/>
      </w:pPr>
      <w:r>
        <w:rPr>
          <w:rFonts w:ascii="Courier New" w:cs="Courier New" w:eastAsia="Courier New" w:hAnsi="Courier New"/>
          <w:color w:val="D83B01"/>
          <w:sz w:val="18"/>
          <w:szCs w:val="18"/>
        </w:rPr>
        <w:t xml:space="preserve">terraform apply tfplan</w:t>
      </w:r>
    </w:p>
    <w:p>
      <w:pPr>
        <w:spacing w:after="0" w:before="120"/>
      </w:pPr>
      <w:r>
        <w:t xml:space="preserve"/>
      </w:r>
    </w:p>
    <w:p>
      <w:pPr>
        <w:pStyle w:val="Heading3"/>
        <w:spacing w:after="80" w:before="200"/>
      </w:pPr>
      <w:r>
        <w:rPr>
          <w:rFonts w:ascii="Arial" w:cs="Arial" w:eastAsia="Arial" w:hAnsi="Arial"/>
          <w:b/>
          <w:bCs/>
          <w:color w:val="2E75B6"/>
          <w:sz w:val="22"/>
          <w:szCs w:val="22"/>
        </w:rPr>
        <w:t xml:space="preserve">Step 5 — Configure kubectl</w:t>
      </w:r>
    </w:p>
    <w:p>
      <w:pPr>
        <w:spacing w:after="0" w:before="0"/>
        <w:ind w:left="360"/>
      </w:pPr>
      <w:r>
        <w:rPr>
          <w:rFonts w:ascii="Courier New" w:cs="Courier New" w:eastAsia="Courier New" w:hAnsi="Courier New"/>
          <w:color w:val="D83B01"/>
          <w:sz w:val="18"/>
          <w:szCs w:val="18"/>
        </w:rPr>
        <w:t xml:space="preserve">az aks get-credentials \</w:t>
      </w:r>
    </w:p>
    <w:p>
      <w:pPr>
        <w:spacing w:after="0" w:before="0"/>
        <w:ind w:left="360"/>
      </w:pPr>
      <w:r>
        <w:rPr>
          <w:rFonts w:ascii="Courier New" w:cs="Courier New" w:eastAsia="Courier New" w:hAnsi="Courier New"/>
          <w:color w:val="D83B01"/>
          <w:sz w:val="18"/>
          <w:szCs w:val="18"/>
        </w:rPr>
        <w:t xml:space="preserve">  --resource-group rg-platform-prod \</w:t>
      </w:r>
    </w:p>
    <w:p>
      <w:pPr>
        <w:spacing w:after="0" w:before="0"/>
        <w:ind w:left="360"/>
      </w:pPr>
      <w:r>
        <w:rPr>
          <w:rFonts w:ascii="Courier New" w:cs="Courier New" w:eastAsia="Courier New" w:hAnsi="Courier New"/>
          <w:color w:val="D83B01"/>
          <w:sz w:val="18"/>
          <w:szCs w:val="18"/>
        </w:rPr>
        <w:t xml:space="preserve">  --name aks-platform-prod \</w:t>
      </w:r>
    </w:p>
    <w:p>
      <w:pPr>
        <w:spacing w:after="0" w:before="0"/>
        <w:ind w:left="360"/>
      </w:pPr>
      <w:r>
        <w:rPr>
          <w:rFonts w:ascii="Courier New" w:cs="Courier New" w:eastAsia="Courier New" w:hAnsi="Courier New"/>
          <w:color w:val="D83B01"/>
          <w:sz w:val="18"/>
          <w:szCs w:val="18"/>
        </w:rPr>
        <w:t xml:space="preserve">  --overwrite-existing</w:t>
      </w:r>
    </w:p>
    <w:p>
      <w:pPr>
        <w:spacing w:after="0" w:before="0"/>
        <w:ind w:left="360"/>
      </w:pPr>
      <w:r>
        <w:rPr>
          <w:rFonts w:ascii="Courier New" w:cs="Courier New" w:eastAsia="Courier New" w:hAnsi="Courier New"/>
          <w:color w:val="D83B01"/>
          <w:sz w:val="18"/>
          <w:szCs w:val="18"/>
        </w:rPr>
        <w:t xml:space="preserve">kubectl get nodes    # Should show system and workload nodes as Ready</w:t>
      </w:r>
    </w:p>
    <w:p>
      <w:pPr>
        <w:spacing w:after="0" w:before="120"/>
      </w:pPr>
      <w:r>
        <w:t xml:space="preserve"/>
      </w:r>
    </w:p>
    <w:p>
      <w:pPr>
        <w:pStyle w:val="Heading3"/>
        <w:spacing w:after="80" w:before="200"/>
      </w:pPr>
      <w:r>
        <w:rPr>
          <w:rFonts w:ascii="Arial" w:cs="Arial" w:eastAsia="Arial" w:hAnsi="Arial"/>
          <w:b/>
          <w:bCs/>
          <w:color w:val="2E75B6"/>
          <w:sz w:val="22"/>
          <w:szCs w:val="22"/>
        </w:rPr>
        <w:t xml:space="preserve">Step 6 — Deploy Observability Stack</w:t>
      </w:r>
    </w:p>
    <w:p>
      <w:pPr>
        <w:spacing w:after="0" w:before="0"/>
        <w:ind w:left="360"/>
      </w:pPr>
      <w:r>
        <w:rPr>
          <w:rFonts w:ascii="Courier New" w:cs="Courier New" w:eastAsia="Courier New" w:hAnsi="Courier New"/>
          <w:color w:val="D83B01"/>
          <w:sz w:val="18"/>
          <w:szCs w:val="18"/>
        </w:rPr>
        <w:t xml:space="preserve">helm repo add prometheus-community https://prometheus-community.github.io/helm-charts</w:t>
      </w:r>
    </w:p>
    <w:p>
      <w:pPr>
        <w:spacing w:after="0" w:before="0"/>
        <w:ind w:left="360"/>
      </w:pPr>
      <w:r>
        <w:rPr>
          <w:rFonts w:ascii="Courier New" w:cs="Courier New" w:eastAsia="Courier New" w:hAnsi="Courier New"/>
          <w:color w:val="D83B01"/>
          <w:sz w:val="18"/>
          <w:szCs w:val="18"/>
        </w:rPr>
        <w:t xml:space="preserve">helm repo update</w:t>
      </w:r>
    </w:p>
    <w:p>
      <w:pPr>
        <w:spacing w:after="0" w:before="0"/>
        <w:ind w:left="360"/>
      </w:pPr>
      <w:r>
        <w:rPr>
          <w:rFonts w:ascii="Courier New" w:cs="Courier New" w:eastAsia="Courier New" w:hAnsi="Courier New"/>
          <w:color w:val="D83B01"/>
          <w:sz w:val="18"/>
          <w:szCs w:val="18"/>
        </w:rPr>
        <w:t xml:space="preserve"/>
      </w:r>
    </w:p>
    <w:p>
      <w:pPr>
        <w:spacing w:after="0" w:before="0"/>
        <w:ind w:left="360"/>
      </w:pPr>
      <w:r>
        <w:rPr>
          <w:rFonts w:ascii="Courier New" w:cs="Courier New" w:eastAsia="Courier New" w:hAnsi="Courier New"/>
          <w:color w:val="D83B01"/>
          <w:sz w:val="18"/>
          <w:szCs w:val="18"/>
        </w:rPr>
        <w:t xml:space="preserve">helm upgrade --install observability ./helm/observability \</w:t>
      </w:r>
    </w:p>
    <w:p>
      <w:pPr>
        <w:spacing w:after="0" w:before="0"/>
        <w:ind w:left="360"/>
      </w:pPr>
      <w:r>
        <w:rPr>
          <w:rFonts w:ascii="Courier New" w:cs="Courier New" w:eastAsia="Courier New" w:hAnsi="Courier New"/>
          <w:color w:val="D83B01"/>
          <w:sz w:val="18"/>
          <w:szCs w:val="18"/>
        </w:rPr>
        <w:t xml:space="preserve">  --namespace monitoring \</w:t>
      </w:r>
    </w:p>
    <w:p>
      <w:pPr>
        <w:spacing w:after="0" w:before="0"/>
        <w:ind w:left="360"/>
      </w:pPr>
      <w:r>
        <w:rPr>
          <w:rFonts w:ascii="Courier New" w:cs="Courier New" w:eastAsia="Courier New" w:hAnsi="Courier New"/>
          <w:color w:val="D83B01"/>
          <w:sz w:val="18"/>
          <w:szCs w:val="18"/>
        </w:rPr>
        <w:t xml:space="preserve">  --create-namespace \</w:t>
      </w:r>
    </w:p>
    <w:p>
      <w:pPr>
        <w:spacing w:after="0" w:before="0"/>
        <w:ind w:left="360"/>
      </w:pPr>
      <w:r>
        <w:rPr>
          <w:rFonts w:ascii="Courier New" w:cs="Courier New" w:eastAsia="Courier New" w:hAnsi="Courier New"/>
          <w:color w:val="D83B01"/>
          <w:sz w:val="18"/>
          <w:szCs w:val="18"/>
        </w:rPr>
        <w:t xml:space="preserve">  --values helm/observability/values.yaml</w:t>
      </w:r>
    </w:p>
    <w:p>
      <w:pPr>
        <w:spacing w:after="0" w:before="0"/>
        <w:ind w:left="360"/>
      </w:pPr>
      <w:r>
        <w:rPr>
          <w:rFonts w:ascii="Courier New" w:cs="Courier New" w:eastAsia="Courier New" w:hAnsi="Courier New"/>
          <w:color w:val="D83B01"/>
          <w:sz w:val="18"/>
          <w:szCs w:val="18"/>
        </w:rPr>
        <w:t xml:space="preserve"/>
      </w:r>
    </w:p>
    <w:p>
      <w:pPr>
        <w:spacing w:after="0" w:before="0"/>
        <w:ind w:left="360"/>
      </w:pPr>
      <w:r>
        <w:rPr>
          <w:rFonts w:ascii="Courier New" w:cs="Courier New" w:eastAsia="Courier New" w:hAnsi="Courier New"/>
          <w:color w:val="D83B01"/>
          <w:sz w:val="18"/>
          <w:szCs w:val="18"/>
        </w:rPr>
        <w:t xml:space="preserve"># Verify pods are running</w:t>
      </w:r>
    </w:p>
    <w:p>
      <w:pPr>
        <w:spacing w:after="0" w:before="0"/>
        <w:ind w:left="360"/>
      </w:pPr>
      <w:r>
        <w:rPr>
          <w:rFonts w:ascii="Courier New" w:cs="Courier New" w:eastAsia="Courier New" w:hAnsi="Courier New"/>
          <w:color w:val="D83B01"/>
          <w:sz w:val="18"/>
          <w:szCs w:val="18"/>
        </w:rPr>
        <w:t xml:space="preserve">kubectl get pods -n monitoring</w:t>
      </w:r>
    </w:p>
    <w:p>
      <w:pPr>
        <w:spacing w:after="0" w:before="0"/>
        <w:ind w:left="360"/>
      </w:pPr>
      <w:r>
        <w:rPr>
          <w:rFonts w:ascii="Courier New" w:cs="Courier New" w:eastAsia="Courier New" w:hAnsi="Courier New"/>
          <w:color w:val="D83B01"/>
          <w:sz w:val="18"/>
          <w:szCs w:val="18"/>
        </w:rPr>
        <w:t xml:space="preserve"/>
      </w:r>
    </w:p>
    <w:p>
      <w:pPr>
        <w:spacing w:after="0" w:before="0"/>
        <w:ind w:left="360"/>
      </w:pPr>
      <w:r>
        <w:rPr>
          <w:rFonts w:ascii="Courier New" w:cs="Courier New" w:eastAsia="Courier New" w:hAnsi="Courier New"/>
          <w:color w:val="D83B01"/>
          <w:sz w:val="18"/>
          <w:szCs w:val="18"/>
        </w:rPr>
        <w:t xml:space="preserve"># Access Grafana (port-forward)</w:t>
      </w:r>
    </w:p>
    <w:p>
      <w:pPr>
        <w:spacing w:after="0" w:before="0"/>
        <w:ind w:left="360"/>
      </w:pPr>
      <w:r>
        <w:rPr>
          <w:rFonts w:ascii="Courier New" w:cs="Courier New" w:eastAsia="Courier New" w:hAnsi="Courier New"/>
          <w:color w:val="D83B01"/>
          <w:sz w:val="18"/>
          <w:szCs w:val="18"/>
        </w:rPr>
        <w:t xml:space="preserve">kubectl port-forward svc/observability-grafana 3000:80 -n monitoring</w:t>
      </w:r>
    </w:p>
    <w:p>
      <w:pPr>
        <w:spacing w:after="0" w:before="0"/>
        <w:ind w:left="360"/>
      </w:pPr>
      <w:r>
        <w:rPr>
          <w:rFonts w:ascii="Courier New" w:cs="Courier New" w:eastAsia="Courier New" w:hAnsi="Courier New"/>
          <w:color w:val="D83B01"/>
          <w:sz w:val="18"/>
          <w:szCs w:val="18"/>
        </w:rPr>
        <w:t xml:space="preserve"># Open: http://localhost:3000  |  Username: admin  |  Password: from Key Vault</w:t>
      </w:r>
    </w:p>
    <w:p>
      <w:pPr>
        <w:spacing w:after="0" w:before="120"/>
      </w:pPr>
      <w:r>
        <w:t xml:space="preserve"/>
      </w:r>
    </w:p>
    <w:p>
      <w:pPr>
        <w:pStyle w:val="Heading3"/>
        <w:spacing w:after="80" w:before="200"/>
      </w:pPr>
      <w:r>
        <w:rPr>
          <w:rFonts w:ascii="Arial" w:cs="Arial" w:eastAsia="Arial" w:hAnsi="Arial"/>
          <w:b/>
          <w:bCs/>
          <w:color w:val="2E75B6"/>
          <w:sz w:val="22"/>
          <w:szCs w:val="22"/>
        </w:rPr>
        <w:t xml:space="preserve">Step 7 — One-Shot Bootstrap (Alternative)</w:t>
      </w:r>
    </w:p>
    <w:p>
      <w:pPr>
        <w:spacing w:after="0" w:before="0"/>
        <w:ind w:left="360"/>
      </w:pPr>
      <w:r>
        <w:rPr>
          <w:rFonts w:ascii="Courier New" w:cs="Courier New" w:eastAsia="Courier New" w:hAnsi="Courier New"/>
          <w:color w:val="D83B01"/>
          <w:sz w:val="18"/>
          <w:szCs w:val="18"/>
        </w:rPr>
        <w:t xml:space="preserve"># Or run the full bootstrap script for a complete one-shot setup:</w:t>
      </w:r>
    </w:p>
    <w:p>
      <w:pPr>
        <w:spacing w:after="0" w:before="0"/>
        <w:ind w:left="360"/>
      </w:pPr>
      <w:r>
        <w:rPr>
          <w:rFonts w:ascii="Courier New" w:cs="Courier New" w:eastAsia="Courier New" w:hAnsi="Courier New"/>
          <w:color w:val="D83B01"/>
          <w:sz w:val="18"/>
          <w:szCs w:val="18"/>
        </w:rPr>
        <w:t xml:space="preserve">chmod +x scripts/bootstrap.sh</w:t>
      </w:r>
    </w:p>
    <w:p>
      <w:pPr>
        <w:spacing w:after="0" w:before="0"/>
        <w:ind w:left="360"/>
      </w:pPr>
      <w:r>
        <w:rPr>
          <w:rFonts w:ascii="Courier New" w:cs="Courier New" w:eastAsia="Courier New" w:hAnsi="Courier New"/>
          <w:color w:val="D83B01"/>
          <w:sz w:val="18"/>
          <w:szCs w:val="18"/>
        </w:rPr>
        <w:t xml:space="preserve">./scripts/bootstrap.sh --env prod --region eastus</w:t>
      </w:r>
    </w:p>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13. Key Design Decisions</w:t>
      </w:r>
    </w:p>
    <w:p>
      <w:pPr>
        <w:spacing w:after="100" w:before="80"/>
      </w:pPr>
      <w:r>
        <w:rPr>
          <w:rFonts w:ascii="Arial" w:cs="Arial" w:eastAsia="Arial" w:hAnsi="Arial"/>
          <w:color w:val="212121"/>
          <w:sz w:val="22"/>
          <w:szCs w:val="22"/>
        </w:rPr>
        <w:t xml:space="preserve">Every design choice in this platform has a deliberate rationale. The table below documents each decision and the reasoning behind it.</w:t>
      </w:r>
    </w:p>
    <w:p>
      <w:pPr>
        <w:spacing w:after="0" w:before="10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7160"/>
      </w:tblGrid>
      <w:tr>
        <w:trPr>
          <w:tblHeader/>
        </w:trPr>
        <w:tc>
          <w:tcPr>
            <w:tcW w:type="dxa" w:w="3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71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Rationale</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Private AKS API Server</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The Kubernetes control plane API is only accessible from within the VNet — eliminating all public attack surface. No one can brute-force the cluster from the internet.</w:t>
            </w:r>
          </w:p>
        </w:tc>
      </w:tr>
      <w:tr>
        <w:tc>
          <w:tcPr>
            <w:tcW w:type="dxa" w:w="3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Azure Key Vault CSI Driver</w:t>
            </w:r>
          </w:p>
        </w:tc>
        <w:tc>
          <w:tcPr>
            <w:tcW w:type="dxa" w:w="7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Secrets are injected as volume mounts at pod startup. They never appear in environment variables, container images, or Kubernetes Secrets objects (which are only base64-encoded, not encrypted by default).</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Workload Identity (OIDC)</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Replaces legacy Service Principal credentials stored in pods. Instead, pods get short-lived tokens issued by Kubernetes OIDC, federated to Azure AD — no static credentials to rotate or leak.</w:t>
            </w:r>
          </w:p>
        </w:tc>
      </w:tr>
      <w:tr>
        <w:tc>
          <w:tcPr>
            <w:tcW w:type="dxa" w:w="3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Horizontal Pod Autoscaler</w:t>
            </w:r>
          </w:p>
        </w:tc>
        <w:tc>
          <w:tcPr>
            <w:tcW w:type="dxa" w:w="7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Automatically adjusts pod replica count based on actual CPU/memory utilization. Handles traffic bursts without over-provisioning idle capacity.</w:t>
            </w:r>
          </w:p>
        </w:tc>
      </w:tr>
      <w:tr>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Separate System/User Node Pools</w:t>
            </w:r>
          </w:p>
        </w:tc>
        <w:tc>
          <w:tcPr>
            <w:tcW w:type="dxa" w:w="71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Platform components (DNS, metrics-server) run on dedicated nodes with a taint — application workloads cannot accidentally starve platform components of resources.</w:t>
            </w:r>
          </w:p>
        </w:tc>
      </w:tr>
      <w:tr>
        <w:tc>
          <w:tcPr>
            <w:tcW w:type="dxa" w:w="3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Azure Monitor + Prometheus</w:t>
            </w:r>
          </w:p>
        </w:tc>
        <w:tc>
          <w:tcPr>
            <w:tcW w:type="dxa" w:w="71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Dual-layer observability: Prometheus for real-time application and Kubernetes metrics; Azure Monitor for infrastructure-level telemetry and long-term log retention required for compliance.</w:t>
            </w:r>
          </w:p>
        </w:tc>
      </w:tr>
    </w:tbl>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14. Concept Mapping — ServiceNow to Kubernetes/Azure</w:t>
      </w:r>
    </w:p>
    <w:p>
      <w:pPr>
        <w:spacing w:after="100" w:before="80"/>
      </w:pPr>
      <w:r>
        <w:rPr>
          <w:rFonts w:ascii="Arial" w:cs="Arial" w:eastAsia="Arial" w:hAnsi="Arial"/>
          <w:color w:val="212121"/>
          <w:sz w:val="22"/>
          <w:szCs w:val="22"/>
        </w:rPr>
        <w:t xml:space="preserve">This section is specifically for engineers coming from a ServiceNow background. It maps familiar ServiceNow concepts to their Kubernetes/Azure equivalents so you can reason about the new platform using existing mental models.</w:t>
      </w:r>
    </w:p>
    <w:p>
      <w:pPr>
        <w:spacing w:after="0" w:before="12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4360"/>
      </w:tblGrid>
      <w:tr>
        <w:trPr>
          <w:tblHeader/>
        </w:trPr>
        <w:tc>
          <w:tcPr>
            <w:tcW w:type="dxa" w:w="28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ServiceNow Concept</w:t>
            </w:r>
          </w:p>
        </w:tc>
        <w:tc>
          <w:tcPr>
            <w:tcW w:type="dxa" w:w="32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Kubernetes/Azure Equivalent</w:t>
            </w:r>
          </w:p>
        </w:tc>
        <w:tc>
          <w:tcPr>
            <w:tcW w:type="dxa" w:w="436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Update Set</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Terraform state + Git commit</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Both track what exists; both can be promoted across environments</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Deployment Pipeline</w:t>
            </w:r>
          </w:p>
        </w:tc>
        <w:tc>
          <w:tcPr>
            <w:tcW w:type="dxa" w:w="3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GitHub Actions workflow</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Both have stage gates, approvals, and environment promotion</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Application Scope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Kubernetes Namespace</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Both isolate resources and control access per team/app</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ACL Rules</w:t>
            </w:r>
          </w:p>
        </w:tc>
        <w:tc>
          <w:tcPr>
            <w:tcW w:type="dxa" w:w="3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Kubernetes RBAC + NSG rules</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Both default-deny; explicit grants required</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MID Server</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Azure CNI + Private Endpoint</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Both act as the controlled bridge between isolated zones</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Business Rules / Script Includes</w:t>
            </w:r>
          </w:p>
        </w:tc>
        <w:tc>
          <w:tcPr>
            <w:tcW w:type="dxa" w:w="3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Helm chart templates + Terraform modules</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Reusable, parameterized infrastructure components</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Performance Analytics</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Prometheus + Grafana</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Both collect time-series metrics and build dashboards</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Event Management</w:t>
            </w:r>
          </w:p>
        </w:tc>
        <w:tc>
          <w:tcPr>
            <w:tcW w:type="dxa" w:w="3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Alertmanager + PagerDuty integration</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Both route alerts to the right on-call team</w:t>
            </w:r>
          </w:p>
        </w:tc>
      </w:tr>
      <w:tr>
        <w:tc>
          <w:tcPr>
            <w:tcW w:type="dxa" w:w="28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Credential Store</w:t>
            </w:r>
          </w:p>
        </w:tc>
        <w:tc>
          <w:tcPr>
            <w:tcW w:type="dxa" w:w="32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Azure Key Vault</w:t>
            </w:r>
          </w:p>
        </w:tc>
        <w:tc>
          <w:tcPr>
            <w:tcW w:type="dxa" w:w="436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Both store secrets centrally with RBAC-controlled access</w:t>
            </w:r>
          </w:p>
        </w:tc>
      </w:tr>
      <w:tr>
        <w:tc>
          <w:tcPr>
            <w:tcW w:type="dxa" w:w="28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Instance Clone</w:t>
            </w:r>
          </w:p>
        </w:tc>
        <w:tc>
          <w:tcPr>
            <w:tcW w:type="dxa" w:w="32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terraform apply from state (DR)</w:t>
            </w:r>
          </w:p>
        </w:tc>
        <w:tc>
          <w:tcPr>
            <w:tcW w:type="dxa" w:w="436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Both reproduce a known-good state from a source of truth</w:t>
            </w:r>
          </w:p>
        </w:tc>
      </w:tr>
    </w:tbl>
    <w:p>
      <w:pPr>
        <w:spacing w:after="0" w:before="300"/>
      </w:pPr>
      <w:r>
        <w:t xml:space="preserve"/>
      </w:r>
    </w:p>
    <w:p>
      <w:pPr>
        <w:pBdr>
          <w:bottom w:val="single" w:color="D9D9D9" w:sz="2" w:space="1"/>
        </w:pBdr>
        <w:spacing w:after="200" w:before="200"/>
      </w:pPr>
      <w:r>
        <w:t xml:space="preserve"/>
      </w:r>
    </w:p>
    <w:p>
      <w:pPr>
        <w:pStyle w:val="Heading1"/>
        <w:pBdr>
          <w:bottom w:val="single" w:color="0078D4" w:sz="8" w:space="6"/>
        </w:pBdr>
        <w:spacing w:after="160" w:before="400"/>
      </w:pPr>
      <w:r>
        <w:rPr>
          <w:rFonts w:ascii="Arial" w:cs="Arial" w:eastAsia="Arial" w:hAnsi="Arial"/>
          <w:b/>
          <w:bCs/>
          <w:color w:val="0078D4"/>
          <w:sz w:val="32"/>
          <w:szCs w:val="32"/>
        </w:rPr>
        <w:t xml:space="preserve">15. Glossary</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400"/>
        <w:gridCol w:w="8000"/>
      </w:tblGrid>
      <w:tr>
        <w:trPr>
          <w:tblHeader/>
        </w:trPr>
        <w:tc>
          <w:tcPr>
            <w:tcW w:type="dxa" w:w="24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Term</w:t>
            </w:r>
          </w:p>
        </w:tc>
        <w:tc>
          <w:tcPr>
            <w:tcW w:type="dxa" w:w="8000"/>
            <w:tcBorders>
              <w:top w:val="single" w:color="D9D9D9" w:sz="1"/>
              <w:left w:val="single" w:color="D9D9D9" w:sz="1"/>
              <w:bottom w:val="single" w:color="D9D9D9" w:sz="1"/>
              <w:right w:val="single" w:color="D9D9D9" w:sz="1"/>
            </w:tcBorders>
            <w:shd w:fill="0078D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Definition</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AKS</w:t>
            </w:r>
          </w:p>
        </w:tc>
        <w:tc>
          <w:tcPr>
            <w:tcW w:type="dxa" w:w="8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Azure Kubernetes Service — Microsoft's managed Kubernetes offering. The control plane is fully managed by Microsoft.</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CNI</w:t>
            </w:r>
          </w:p>
        </w:tc>
        <w:tc>
          <w:tcPr>
            <w:tcW w:type="dxa" w:w="8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Container Network Interface — the networking plugin that assigns IPs to pods. Azure CNI gives pods real VNet IPs.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CSI Driver</w:t>
            </w:r>
          </w:p>
        </w:tc>
        <w:tc>
          <w:tcPr>
            <w:tcW w:type="dxa" w:w="8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Container Storage Interface — the plugin that mounts external storage (e.g. Key Vault secrets) into pods as volumes.</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etcd</w:t>
            </w:r>
          </w:p>
        </w:tc>
        <w:tc>
          <w:tcPr>
            <w:tcW w:type="dxa" w:w="8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The distributed key-value store that Kubernetes uses to store all cluster state. Must be encrypted at rest.</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Helm</w:t>
            </w:r>
          </w:p>
        </w:tc>
        <w:tc>
          <w:tcPr>
            <w:tcW w:type="dxa" w:w="8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The package manager for Kubernetes. Charts are reusable, parameterized application packages (like npm for Kubernetes).</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HPA</w:t>
            </w:r>
          </w:p>
        </w:tc>
        <w:tc>
          <w:tcPr>
            <w:tcW w:type="dxa" w:w="8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Horizontal Pod Autoscaler — automatically scales pod replica count up/down based on CPU/memory utilization metrics.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IaC</w:t>
            </w:r>
          </w:p>
        </w:tc>
        <w:tc>
          <w:tcPr>
            <w:tcW w:type="dxa" w:w="8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Infrastructure as Code — defining and managing infrastructure through code files (Terraform) instead of manual UI clicks.</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NSG</w:t>
            </w:r>
          </w:p>
        </w:tc>
        <w:tc>
          <w:tcPr>
            <w:tcW w:type="dxa" w:w="8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Network Security Group — Azure firewall rules applied at the subnet or NIC level to control inbound/outbound traffic.</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OIDC</w:t>
            </w:r>
          </w:p>
        </w:tc>
        <w:tc>
          <w:tcPr>
            <w:tcW w:type="dxa" w:w="8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OpenID Connect — an identity protocol used to federate Kubernetes service accounts with Azure AD without stored credentials.</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OPA</w:t>
            </w:r>
          </w:p>
        </w:tc>
        <w:tc>
          <w:tcPr>
            <w:tcW w:type="dxa" w:w="8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Open Policy Agent — a policy engine that enforces custom compliance rules (e.g. all resources must have cost tags).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Pod</w:t>
            </w:r>
          </w:p>
        </w:tc>
        <w:tc>
          <w:tcPr>
            <w:tcW w:type="dxa" w:w="8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The smallest deployable unit in Kubernetes — one or more containers that share a network namespace and storage.</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Private Endpoint</w:t>
            </w:r>
          </w:p>
        </w:tc>
        <w:tc>
          <w:tcPr>
            <w:tcW w:type="dxa" w:w="8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An Azure feature that gives a PaaS service (Key Vault, ACR) a private IP inside your VNet, removing public access.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RBAC</w:t>
            </w:r>
          </w:p>
        </w:tc>
        <w:tc>
          <w:tcPr>
            <w:tcW w:type="dxa" w:w="8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Role-Based Access Control — grants permissions to identities (users/groups/service accounts) based on their role.</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RTO / RPO</w:t>
            </w:r>
          </w:p>
        </w:tc>
        <w:tc>
          <w:tcPr>
            <w:tcW w:type="dxa" w:w="8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Recovery Time Objective (how fast to recover) / Recovery Point Objective (maximum acceptable data loss).</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Terraform</w:t>
            </w:r>
          </w:p>
        </w:tc>
        <w:tc>
          <w:tcPr>
            <w:tcW w:type="dxa" w:w="8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HashiCorp's Infrastructure as Code tool. Declaratively defines Azure resources; plan shows changes, apply executes them.</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VNet</w:t>
            </w:r>
          </w:p>
        </w:tc>
        <w:tc>
          <w:tcPr>
            <w:tcW w:type="dxa" w:w="8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Virtual Network — Azure's isolated private network environment where all resources communicate privately.</w:t>
            </w:r>
          </w:p>
        </w:tc>
      </w:tr>
      <w:tr>
        <w:tc>
          <w:tcPr>
            <w:tcW w:type="dxa" w:w="24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Velero</w:t>
            </w:r>
          </w:p>
        </w:tc>
        <w:tc>
          <w:tcPr>
            <w:tcW w:type="dxa" w:w="8000"/>
            <w:tcBorders>
              <w:top w:val="single" w:color="D9D9D9" w:sz="1"/>
              <w:left w:val="single" w:color="D9D9D9" w:sz="1"/>
              <w:bottom w:val="single" w:color="D9D9D9" w:sz="1"/>
              <w:right w:val="single" w:color="D9D9D9"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Open-source Kubernetes backup tool. Takes snapshots of cluster resources and volumes to Azure Blob Storage.</w:t>
            </w:r>
          </w:p>
        </w:tc>
      </w:tr>
      <w:tr>
        <w:tc>
          <w:tcPr>
            <w:tcW w:type="dxa" w:w="24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Workload Identity</w:t>
            </w:r>
          </w:p>
        </w:tc>
        <w:tc>
          <w:tcPr>
            <w:tcW w:type="dxa" w:w="8000"/>
            <w:tcBorders>
              <w:top w:val="single" w:color="D9D9D9" w:sz="1"/>
              <w:left w:val="single" w:color="D9D9D9" w:sz="1"/>
              <w:bottom w:val="single" w:color="D9D9D9" w:sz="1"/>
              <w:right w:val="single" w:color="D9D9D9" w:sz="1"/>
            </w:tcBorders>
            <w:shd w:fill="F5F5F5" w:val="clear"/>
            <w:tcMar>
              <w:top w:type="dxa" w:w="80"/>
              <w:left w:type="dxa" w:w="120"/>
              <w:bottom w:type="dxa" w:w="80"/>
              <w:right w:type="dxa" w:w="120"/>
            </w:tcMar>
          </w:tcPr>
          <w:p>
            <w:r>
              <w:rPr>
                <w:rFonts w:ascii="Arial" w:cs="Arial" w:eastAsia="Arial" w:hAnsi="Arial"/>
                <w:color w:val="212121"/>
                <w:sz w:val="20"/>
                <w:szCs w:val="20"/>
              </w:rPr>
              <w:t xml:space="preserve">A Kubernetes feature that allows pods to authenticate to Azure services via OIDC tokens — no stored credentials.</w:t>
            </w:r>
          </w:p>
        </w:tc>
      </w:tr>
    </w:tbl>
    <w:p>
      <w:pPr>
        <w:spacing w:after="0" w:before="4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A2E" w:val="clear"/>
            <w:tcMar>
              <w:top w:type="dxa" w:w="280"/>
              <w:left w:type="dxa" w:w="400"/>
              <w:bottom w:type="dxa" w:w="280"/>
              <w:right w:type="dxa" w:w="400"/>
            </w:tcMar>
          </w:tcPr>
          <w:p>
            <w:pPr>
              <w:spacing w:after="80" w:before="0"/>
              <w:jc w:val="center"/>
            </w:pPr>
            <w:r>
              <w:rPr>
                <w:rFonts w:ascii="Arial" w:cs="Arial" w:eastAsia="Arial" w:hAnsi="Arial"/>
                <w:color w:val="D9D9D9"/>
                <w:sz w:val="20"/>
                <w:szCs w:val="20"/>
              </w:rPr>
              <w:t xml:space="preserve">This document reflects enterprise platform engineering standards applied in production financial services environments.</w:t>
            </w:r>
          </w:p>
          <w:p>
            <w:pPr>
              <w:spacing w:after="0" w:before="0"/>
              <w:jc w:val="center"/>
            </w:pPr>
            <w:r>
              <w:rPr>
                <w:rFonts w:ascii="Arial" w:cs="Arial" w:eastAsia="Arial" w:hAnsi="Arial"/>
                <w:b/>
                <w:bCs/>
                <w:color w:val="FFFFFF"/>
                <w:sz w:val="20"/>
                <w:szCs w:val="20"/>
              </w:rPr>
              <w:t xml:space="preserve">For questions, contact the Platform Engineering team.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spacing w:after="0" w:before="120"/>
    </w:pPr>
    <w:r>
      <w:rPr>
        <w:rFonts w:ascii="Arial" w:cs="Arial" w:eastAsia="Arial" w:hAnsi="Arial"/>
        <w:color w:val="5A5A5A"/>
        <w:sz w:val="16"/>
        <w:szCs w:val="16"/>
      </w:rPr>
      <w:t xml:space="preserve">Platform Engineering — Internal Documentation</w:t>
    </w:r>
    <w:r>
      <w:rPr>
        <w:rFonts w:ascii="Arial" w:cs="Arial" w:eastAsia="Arial" w:hAnsi="Arial"/>
        <w:sz w:val="16"/>
        <w:szCs w:val="16"/>
      </w:rPr>
      <w:t xml:space="preserve">	</w:t>
    </w:r>
    <w:r>
      <w:rPr>
        <w:rFonts w:ascii="Arial" w:cs="Arial" w:eastAsia="Arial" w:hAnsi="Arial"/>
        <w:color w:val="5A5A5A"/>
        <w:sz w:val="16"/>
        <w:szCs w:val="16"/>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space="4"/>
      </w:pBdr>
      <w:tabs>
        <w:tab w:val="right" w:pos="9026"/>
      </w:tabs>
      <w:spacing w:after="120" w:before="0"/>
    </w:pPr>
    <w:r>
      <w:rPr>
        <w:rFonts w:ascii="Arial" w:cs="Arial" w:eastAsia="Arial" w:hAnsi="Arial"/>
        <w:color w:val="5A5A5A"/>
        <w:sz w:val="18"/>
        <w:szCs w:val="18"/>
      </w:rPr>
      <w:t xml:space="preserve">Azure AKS Platform Bootstrap — Technical Reference</w:t>
    </w:r>
    <w:r>
      <w:rPr>
        <w:rFonts w:ascii="Arial" w:cs="Arial" w:eastAsia="Arial" w:hAnsi="Arial"/>
        <w:sz w:val="18"/>
        <w:szCs w:val="18"/>
      </w:rPr>
      <w:t xml:space="preserve">	</w:t>
    </w:r>
    <w:r>
      <w:rPr>
        <w:rFonts w:ascii="Arial" w:cs="Arial" w:eastAsia="Arial" w:hAnsi="Arial"/>
        <w:b/>
        <w:bCs/>
        <w:color w:val="D83B01"/>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78D4"/>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2026-04-22T17:53:51.205Z</dcterms:created>
  <dcterms:modified xsi:type="dcterms:W3CDTF">2026-04-22T17:53:51.205Z</dcterms:modified>
</cp:coreProperties>
</file>

<file path=docProps/custom.xml><?xml version="1.0" encoding="utf-8"?>
<Properties xmlns="http://schemas.openxmlformats.org/officeDocument/2006/custom-properties" xmlns:vt="http://schemas.openxmlformats.org/officeDocument/2006/docPropsVTypes"/>
</file>