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459D0"/>
          <w:sz w:val="20"/>
        </w:rPr>
        <w:t>RETAILMART V3 ENTERPRISE ANALYTICS</w:t>
        <w:br/>
      </w:r>
      <w:r>
        <w:rPr>
          <w:b/>
          <w:color w:val="0F1F33"/>
          <w:sz w:val="44"/>
        </w:rPr>
        <w:t>Executive Insights &amp; Decision Dossier</w:t>
        <w:br/>
      </w:r>
      <w:r>
        <w:rPr>
          <w:color w:val="64748B"/>
          <w:sz w:val="22"/>
        </w:rPr>
        <w:t>Validated HR, Financial Health &amp; Cross-Functional Analysis | PostgreSQL 18.4</w:t>
      </w:r>
    </w:p>
    <w:p/>
    <w:p>
      <w:pPr>
        <w:pStyle w:val="Heading1"/>
      </w:pPr>
      <w:r>
        <w:t>1. Executive Summary Headline Dossier</w:t>
      </w:r>
    </w:p>
    <w:p>
      <w:r>
        <w:t>This dossier synthesizes validated enterprise indicators across Human Resources, Finance, and Cross-Functional store operations. All data points reconcile 100% against PostgreSQL base tables.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Metric Category</w:t>
            </w:r>
          </w:p>
        </w:tc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Headline KPI</w:t>
            </w:r>
          </w:p>
        </w:tc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Verified Value</w:t>
            </w:r>
          </w:p>
        </w:tc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Audit Note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Commercial Sales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Delivered Net Revenue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₹676.95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82,540 Delivered Orders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Profitability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Gross Contribution Margin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27.49%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₹186.1 Cr markup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Outflows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Total Operating Outflows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₹811.54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Corp ₹801.5 Cr | Store ₹10.0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Outflows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Net Operating Spread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₹-134.59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Deficit: OPEX &gt; Revenue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Human Capital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Total Active Headcount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3000 Staff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100% active, 200 stores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Human Capital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Monthly Base Payroll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₹18.98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Fixed contractual payroll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Human Capital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Average Compensation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₹63,274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Monthly base salary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Cross-Domain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Revenue Per Employee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₹22.57 Lakhs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Delivered sales per staff</w:t>
            </w:r>
          </w:p>
        </w:tc>
      </w:tr>
    </w:tbl>
    <w:p>
      <w:r>
        <w:br w:type="page"/>
      </w:r>
    </w:p>
    <w:p>
      <w:pPr>
        <w:pStyle w:val="Heading1"/>
      </w:pPr>
      <w:r>
        <w:t>2. Human Resources &amp; Workforce Intelligence</w:t>
      </w:r>
    </w:p>
    <w:p>
      <w:r>
        <w:t>Analysis of organizational headcount, department compensation allocation, attendance compliance proxy, and retail store staffing distributions.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Headcount</w:t>
            </w:r>
          </w:p>
        </w:tc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Average Salary (₹)</w:t>
            </w:r>
          </w:p>
        </w:tc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Monthly Payroll (₹ Cr)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Legal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339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₹61,119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₹2.07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₹71,393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₹2.21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Marketing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307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₹56,633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₹1.74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₹66,321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₹2.0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Operations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₹59,777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₹1.8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₹67,489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₹2.02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Logistics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299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₹65,171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₹1.95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Finance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298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₹67,496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₹2.01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Customer Support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278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₹54,094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₹1.5 Cr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Procurement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266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₹62,694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₹1.67 Cr</w:t>
            </w:r>
          </w:p>
        </w:tc>
      </w:tr>
    </w:tbl>
    <w:p>
      <w:r>
        <w:br w:type="page"/>
      </w:r>
    </w:p>
    <w:p>
      <w:pPr>
        <w:pStyle w:val="Heading1"/>
      </w:pPr>
      <w:r>
        <w:t>3. Financial Performance &amp; Treasury Intelligence</w:t>
      </w:r>
    </w:p>
    <w:p>
      <w:r>
        <w:t>Commercial revenue delivery, corporate overhead categories, store operating expenses, and payment settlements.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Expense Category</w:t>
            </w:r>
          </w:p>
        </w:tc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Total Spent (₹ Cr)</w:t>
            </w:r>
          </w:p>
        </w:tc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2340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Share 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Payroll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₹335.21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2666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41.82%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Taxes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₹150.34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2722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18.76%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₹75.03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2683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9.36%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R&amp;D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₹68.41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2694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8.54%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Marketing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₹63.74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2503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7.95%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Insurance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₹28.25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2679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3.53%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Events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₹27.14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2674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3.39%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Software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₹14.44 Cr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2746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1.8%</w:t>
            </w:r>
          </w:p>
        </w:tc>
      </w:tr>
    </w:tbl>
    <w:p>
      <w:r>
        <w:br w:type="page"/>
      </w:r>
    </w:p>
    <w:p>
      <w:pPr>
        <w:pStyle w:val="Heading1"/>
      </w:pPr>
      <w:r>
        <w:t>4. Cross-Functional Synthesis &amp; Regional Deployment</w:t>
      </w:r>
    </w:p>
    <w:p>
      <w:r>
        <w:t>Geographic workforce deployment vs delivered sales and regional operational spread.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872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Stores</w:t>
            </w:r>
          </w:p>
        </w:tc>
        <w:tc>
          <w:tcPr>
            <w:tcW w:type="dxa" w:w="1872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Staff Count</w:t>
            </w:r>
          </w:p>
        </w:tc>
        <w:tc>
          <w:tcPr>
            <w:tcW w:type="dxa" w:w="1872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Delivered Sales (₹ Cr)</w:t>
            </w:r>
          </w:p>
        </w:tc>
        <w:tc>
          <w:tcPr>
            <w:tcW w:type="dxa" w:w="1872"/>
            <w:shd w:fill="0F1F3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Regional Spread (₹ Cr)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South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195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₹47.24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₹46.55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199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₹46.29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₹45.59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 East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179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₹45.04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₹44.4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181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₹44.89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₹44.24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 East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179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₹42.06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₹41.43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East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179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₹40.21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₹39.6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172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₹39.86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₹39.23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 East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182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₹37.44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₹36.92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169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₹37.11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₹36.57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South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174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₹37.0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₹36.46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West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₹35.56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₹35.02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Central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145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₹34.9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₹34.42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South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₹34.12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₹33.63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South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138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₹30.92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₹30.44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Central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₹24.37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₹24.01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₹23.91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₹23.54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₹22.73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₹22.41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 East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₹20.53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₹20.22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₹17.56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₹17.29 Cr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North East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₹15.2 Cr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₹14.95 Cr</w:t>
            </w:r>
          </w:p>
        </w:tc>
      </w:tr>
    </w:tbl>
    <w:p>
      <w:r>
        <w:br w:type="page"/>
      </w:r>
    </w:p>
    <w:p>
      <w:pPr>
        <w:pStyle w:val="Heading1"/>
      </w:pPr>
      <w:r>
        <w:t>5. Board-Level Management Attention &amp; Action Directives</w:t>
      </w:r>
    </w:p>
    <w:p>
      <w:r>
        <w:t>Strategic tactical mandates assigned to the Chief Financial Officer (CFO) and Chief Human Resources Officer (CHRO):</w:t>
      </w:r>
    </w:p>
    <w:p>
      <w:r>
        <w:rPr>
          <w:b/>
          <w:color w:val="0F1F33"/>
          <w:sz w:val="21"/>
        </w:rPr>
        <w:t>1. Corporate Overhead Cost Rationalization (CFO) [P0 - Immediate]</w:t>
        <w:br/>
      </w:r>
      <w:r>
        <w:rPr>
          <w:color w:val="475569"/>
          <w:sz w:val="19"/>
        </w:rPr>
        <w:t>Audit top 3 corporate expense lines (IT Infrastructure, Marketing Campaigns, Consulting/Legal fees) accounting for ₹420.1 Cr (52.4% of total non-store spend). Enact zero-based budgeting to eliminate discretionary leakage.</w:t>
        <w:br/>
        <w:t>Target Completion: Q2 2026</w:t>
      </w:r>
    </w:p>
    <w:p/>
    <w:p>
      <w:r>
        <w:rPr>
          <w:b/>
          <w:color w:val="0F1F33"/>
          <w:sz w:val="21"/>
        </w:rPr>
        <w:t>2. Dynamic Treasury Pooling &amp; Payroll Liquidity Buffer (CFO) [P0 - Immediate]</w:t>
        <w:br/>
      </w:r>
      <w:r>
        <w:rPr>
          <w:color w:val="475569"/>
          <w:sz w:val="19"/>
        </w:rPr>
        <w:t>Consolidate bank account balances across the 200 corporate accounts to maintain at least 1.5x monthly contractual payroll coverage (₹28.5 Cr) via automated liquidity sweeps, preventing cash-flow crunches.</w:t>
        <w:br/>
        <w:t>Target Completion: 30 Days</w:t>
      </w:r>
    </w:p>
    <w:p/>
    <w:p>
      <w:r>
        <w:rPr>
          <w:b/>
          <w:color w:val="0F1F33"/>
          <w:sz w:val="21"/>
        </w:rPr>
        <w:t>3. Retail Branch Staffing Rebalancing (CHRO) [P1 - High]</w:t>
        <w:br/>
      </w:r>
      <w:r>
        <w:rPr>
          <w:color w:val="475569"/>
          <w:sz w:val="19"/>
        </w:rPr>
        <w:t>Redeploy store staff from underperforming branches (&lt;₹15L revenue/employee) to high-volume metropolitan stores (&gt;₹30L revenue/employee) to optimize labor-to-revenue ratio and maximize store contribution margin.</w:t>
        <w:br/>
        <w:t>Target Completion: 60 Days</w:t>
      </w:r>
    </w:p>
    <w:p/>
    <w:p>
      <w:r>
        <w:rPr>
          <w:b/>
          <w:color w:val="0F1F33"/>
          <w:sz w:val="21"/>
        </w:rPr>
        <w:t>4. Store Manager Contribution Incentive Plan (CHRO) [P2 - Medium]</w:t>
        <w:br/>
      </w:r>
      <w:r>
        <w:rPr>
          <w:color w:val="475569"/>
          <w:sz w:val="19"/>
        </w:rPr>
        <w:t>Re-align retail store manager annual incentive structures from gross revenue quotas to store operating contribution margin (Delivered Sales - COGS - Store Expenses - Store Payroll).</w:t>
        <w:br/>
        <w:t>Target Completion: Q3 2026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F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