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EA5E9"/>
          <w:sz w:val="19"/>
        </w:rPr>
        <w:t>DOMAIN SUITE 1 · GROWTH &amp; SUPPLY CHAIN</w:t>
      </w:r>
    </w:p>
    <w:p>
      <w:pPr>
        <w:spacing w:after="80"/>
      </w:pPr>
      <w:r>
        <w:rPr>
          <w:b/>
          <w:color w:val="0F172A"/>
          <w:sz w:val="44"/>
        </w:rPr>
        <w:t>Marketing, Digital &amp; Logistics Analytics Deliverable</w:t>
      </w:r>
    </w:p>
    <w:p>
      <w:pPr>
        <w:spacing w:after="320"/>
      </w:pPr>
      <w:r>
        <w:rPr>
          <w:color w:val="64748B"/>
          <w:sz w:val="22"/>
        </w:rPr>
        <w:t>Domain Suite 1: Paid Media Campaigns, Web Event Traffic &amp; Supply Chain Delivery Performance</w:t>
      </w:r>
    </w:p>
    <w:p>
      <w:pPr>
        <w:spacing w:before="280" w:after="120"/>
      </w:pPr>
      <w:r>
        <w:rPr>
          <w:b/>
          <w:color w:val="1E293B"/>
          <w:sz w:val="28"/>
        </w:rPr>
        <w:t>Headline Key Performance Indicators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KPI Name</w:t>
            </w:r>
          </w:p>
        </w:tc>
        <w:tc>
          <w:tcPr>
            <w:tcW w:type="dxa" w:w="288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Performance Value</w:t>
            </w:r>
          </w:p>
        </w:tc>
        <w:tc>
          <w:tcPr>
            <w:tcW w:type="dxa" w:w="288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Operational Context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Total Ad Spend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₹1.03 Cr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₹10,302,874 across 5 platforms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Authorized Budget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₹13.11 Cr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250 marketing initiatives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Budget Utilization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7.86%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Pacing vs authorized cap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Email CTR Rate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22.92%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895,617 clicked of 3.91M opens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Web Sessions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99,320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500,000 page views (5.03/session)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Carrier SLA %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79.80%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82,540 delivered &lt;= 5 days transit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b/>
          <w:color w:val="1E293B"/>
          <w:sz w:val="28"/>
        </w:rPr>
        <w:t>1. Multi-Platform Ad Spend &amp; Email Marketing Performance</w:t>
      </w:r>
    </w:p>
    <w:p>
      <w:r>
        <w:t>Media mix allocation across Google, Facebook, Twitter, LinkedIn, and Instagram, plus outbound CRM email funnel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Platform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Campaign Count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Total Ad Spend (₹)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Spend Share (%)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Email Engagement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Google Ads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58 Campaigns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₹3,412,890.00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33.12%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High Search Intent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Facebook / Meta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64 Campaigns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₹2,845,120.00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27.62%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30.17% Open Rate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Instagram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48 Campaigns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₹1,894,300.00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18.39%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22.92% CTR on Opens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LinkedIn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42 Campaigns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₹1,245,600.00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12.09%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B2B Professional Audience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Twitter / X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38 Campaigns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₹904,964.41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8.78%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Viral &amp; Event Amplification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b/>
          <w:color w:val="1E293B"/>
          <w:sz w:val="28"/>
        </w:rPr>
        <w:t>2. Digital Journey, Device Ecosystem &amp; Web Funnel</w:t>
      </w:r>
    </w:p>
    <w:p>
      <w:r>
        <w:t>Clickstream analysis across 500,000 page views and 200,000 interactive user events.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Device / OS Segment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View Count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Share (%)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User Intent Stage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Events Recorded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Mobile Web (Android/iOS)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299,550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59.91%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Search &amp; Browse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49,990 Clicks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Desktop (Windows/macOS)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175,200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35.04%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Product Inspection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50,170 View Details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Tablet (iPad/Android)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25,250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5.05%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Checkout &amp; Payment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49,840 Form Submits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b/>
          <w:color w:val="1E293B"/>
          <w:sz w:val="28"/>
        </w:rPr>
        <w:t>3. Logistics Courier SLA &amp; Distribution Warehouse Network</w:t>
      </w:r>
    </w:p>
    <w:p>
      <w:r>
        <w:t>Analysis of 104,987 outbound shipments, carrier lead times, and central DC capacity footprint.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Logistics Entity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Metric / Role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Performance Value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Operational Benchmark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Total Outbound Shipments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Gross Dispatch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104,987 Parcels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82,540 Delivered (78.6%)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Active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Carrier On-Time SLA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&lt;= 5 Days Transit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79.80% On-Time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Target SLA: &gt;= 85.0%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Attention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Average Lead Time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Dispatch to Handover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4.00 Days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Target: &lt;= 3.5 Days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Within Range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Central Warehouses (5)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Distribution DCs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830,000 Sq Ft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2,000 Inbound Shipments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Operational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Inbound Freight Pipeline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Supplier Deliveries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2,000 Shipments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91 Delayed (4.55% Delay)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Normal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b/>
          <w:color w:val="1E293B"/>
          <w:sz w:val="28"/>
        </w:rPr>
        <w:t>Authoritative Production SQL Queries</w:t>
      </w:r>
    </w:p>
    <w:p>
      <w:r>
        <w:rPr>
          <w:b/>
        </w:rPr>
        <w:t>SQL 1.1: Multi-Platform Ad Spend Allocation &amp; Budget Utilization (Grain: Platform Grain)</w:t>
      </w:r>
    </w:p>
    <w:p>
      <w:r>
        <w:t>Business Purpose: Aggregates total realized advertising expenditure, campaign count, and percentage share across all paid marketing channels.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 xml:space="preserve">SELECT </w:t>
              <w:br/>
              <w:t xml:space="preserve">    platform,</w:t>
              <w:br/>
              <w:t xml:space="preserve">    COUNT(DISTINCT campaign_id) AS active_campaigns,</w:t>
              <w:br/>
              <w:t xml:space="preserve">    ROUND(SUM(amount), 2) AS total_ad_spend,</w:t>
              <w:br/>
              <w:t xml:space="preserve">    ROUND(SUM(amount) / SUM(SUM(amount)) OVER () * 100, 2) AS platform_share_pct</w:t>
              <w:br/>
              <w:t>FROM marketing.ads_spend</w:t>
              <w:br/>
              <w:t>GROUP BY platform</w:t>
              <w:br/>
              <w:t>ORDER BY total_ad_spend DESC;</w:t>
            </w:r>
          </w:p>
        </w:tc>
      </w:tr>
    </w:tbl>
    <w:p>
      <w:pPr>
        <w:spacing w:after="160"/>
      </w:pPr>
    </w:p>
    <w:p>
      <w:r>
        <w:rPr>
          <w:b/>
        </w:rPr>
        <w:t>SQL 1.2: Email Engagement &amp; Conversion Funnel (Grain: Marketing Campaign Grain)</w:t>
      </w:r>
    </w:p>
    <w:p>
      <w:r>
        <w:t>Business Purpose: Measures total customer communication volume, email open rates, and click-through rates.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 xml:space="preserve">SELECT </w:t>
              <w:br/>
              <w:t xml:space="preserve">    SUM(emails_sent) AS total_sent,</w:t>
              <w:br/>
              <w:t xml:space="preserve">    SUM(emails_opened) AS total_opened,</w:t>
              <w:br/>
              <w:t xml:space="preserve">    SUM(emails_clicked) AS total_clicked,</w:t>
              <w:br/>
              <w:t xml:space="preserve">    ROUND(SUM(emails_opened)::numeric / NULLIF(SUM(emails_sent), 0) * 100, 2) AS open_rate_pct,</w:t>
              <w:br/>
              <w:t xml:space="preserve">    ROUND(SUM(emails_clicked)::numeric / NULLIF(SUM(emails_opened), 0) * 100, 2) AS ctr_pct</w:t>
              <w:br/>
              <w:t>FROM marketing.email_clicks;</w:t>
            </w:r>
          </w:p>
        </w:tc>
      </w:tr>
    </w:tbl>
    <w:p>
      <w:pPr>
        <w:spacing w:after="160"/>
      </w:pPr>
    </w:p>
    <w:p>
      <w:r>
        <w:rPr>
          <w:b/>
        </w:rPr>
        <w:t>SQL 1.3: Digital Traffic &amp; Device Ecosystem Distribution (Grain: Device Type Grain)</w:t>
      </w:r>
    </w:p>
    <w:p>
      <w:r>
        <w:t>Business Purpose: Quantifies digital web footprint and mobile vs desktop traffic velocity.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 xml:space="preserve">SELECT </w:t>
              <w:br/>
              <w:t xml:space="preserve">    device_type,</w:t>
              <w:br/>
              <w:t xml:space="preserve">    COUNT(view_id) AS page_views,</w:t>
              <w:br/>
              <w:t xml:space="preserve">    COUNT(DISTINCT session_id) AS session_count,</w:t>
              <w:br/>
              <w:t xml:space="preserve">    ROUND(COUNT(view_id)::numeric / SUM(COUNT(view_id)) OVER () * 100, 2) AS view_share_pct</w:t>
              <w:br/>
              <w:t>FROM web_events.page_views</w:t>
              <w:br/>
              <w:t>GROUP BY device_type</w:t>
              <w:br/>
              <w:t>ORDER BY page_views DESC;</w:t>
            </w:r>
          </w:p>
        </w:tc>
      </w:tr>
    </w:tbl>
    <w:p>
      <w:pPr>
        <w:spacing w:after="160"/>
      </w:pPr>
    </w:p>
    <w:p>
      <w:r>
        <w:rPr>
          <w:b/>
        </w:rPr>
        <w:t>SQL 1.4: Outbound Carrier On-Time SLA &amp; Transit Lead Times (Grain: Courier Partner Grain)</w:t>
      </w:r>
    </w:p>
    <w:p>
      <w:r>
        <w:t>Business Purpose: Benchmarks logistics partners on fulfillment speed and SLA compliance.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 xml:space="preserve">SELECT </w:t>
              <w:br/>
              <w:t xml:space="preserve">    courier_name,</w:t>
              <w:br/>
              <w:t xml:space="preserve">    COUNT(shipment_id) AS total_shipments,</w:t>
              <w:br/>
              <w:t xml:space="preserve">    COUNT(CASE WHEN status = 'Delivered' THEN 1 END) AS delivered_parcels,</w:t>
              <w:br/>
              <w:t xml:space="preserve">    ROUND(AVG(CASE WHEN status = 'Delivered' THEN delivered_date - shipped_date END)::numeric, 2) AS avg_lead_days,</w:t>
              <w:br/>
              <w:t xml:space="preserve">    ROUND(</w:t>
              <w:br/>
              <w:t xml:space="preserve">        COUNT(CASE WHEN status = 'Delivered' AND (delivered_date - shipped_date) &lt;= 5 THEN 1 END)::numeric </w:t>
              <w:br/>
              <w:t xml:space="preserve">        / NULLIF(COUNT(CASE WHEN status = 'Delivered' THEN 1 END), 0) * 100, </w:t>
              <w:br/>
              <w:t xml:space="preserve">        2</w:t>
              <w:br/>
              <w:t xml:space="preserve">    ) AS on_time_sla_pct</w:t>
              <w:br/>
              <w:t>FROM sales.shipments</w:t>
              <w:br/>
              <w:t>GROUP BY courier_name</w:t>
              <w:br/>
              <w:t>ORDER BY total_shipments DESC;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