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F172A"/>
          <w:sz w:val="44"/>
        </w:rPr>
        <w:t>RetailMart V3 Enterprise BI Platform</w:t>
      </w:r>
    </w:p>
    <w:p>
      <w:pPr>
        <w:spacing w:after="240"/>
      </w:pPr>
      <w:r>
        <w:rPr>
          <w:color w:val="2563EB"/>
          <w:sz w:val="26"/>
        </w:rPr>
        <w:t>Comprehensive Business Insights &amp; Domain Decision Dossier across All Dashboards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insideH w:val="single" w:sz="4" w:space="0" w:color="94A3B8"/>
          <w:insideV w:val="none"/>
          <w:left w:val="none"/>
          <w:right w:val="none"/>
        </w:tblBorders>
      </w:tblPr>
      <w:tblGrid>
        <w:gridCol w:w="5040"/>
        <w:gridCol w:w="5040"/>
      </w:tblGrid>
      <w:tr>
        <w:tc>
          <w:tcPr>
            <w:tcW w:type="dxa" w:w="3168"/>
            <w:tcMar>
              <w:top w:w="50" w:type="dxa"/>
              <w:bottom w:w="50" w:type="dxa"/>
              <w:left w:w="80" w:type="dxa"/>
              <w:right w:w="80" w:type="dxa"/>
            </w:tcMar>
            <w:shd w:fill="F1F5F9"/>
          </w:tcPr>
          <w:p>
            <w:r>
              <w:rPr>
                <w:b/>
                <w:color w:val="1E293B"/>
                <w:sz w:val="18"/>
              </w:rPr>
              <w:t>Project &amp; System</w:t>
            </w:r>
          </w:p>
        </w:tc>
        <w:tc>
          <w:tcPr>
            <w:tcW w:type="dxa" w:w="6912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334155"/>
                <w:sz w:val="18"/>
              </w:rPr>
              <w:t>RetailMart V3 Commercial BI Platform (Django 5.1 + PostgreSQL 18.4)</w:t>
            </w:r>
          </w:p>
        </w:tc>
      </w:tr>
      <w:tr>
        <w:tc>
          <w:tcPr>
            <w:tcW w:type="dxa" w:w="3168"/>
            <w:tcMar>
              <w:top w:w="50" w:type="dxa"/>
              <w:bottom w:w="50" w:type="dxa"/>
              <w:left w:w="80" w:type="dxa"/>
              <w:right w:w="80" w:type="dxa"/>
            </w:tcMar>
            <w:shd w:fill="F1F5F9"/>
          </w:tcPr>
          <w:p>
            <w:r>
              <w:rPr>
                <w:b/>
                <w:color w:val="1E293B"/>
                <w:sz w:val="18"/>
              </w:rPr>
              <w:t>Reporting Scope</w:t>
            </w:r>
          </w:p>
        </w:tc>
        <w:tc>
          <w:tcPr>
            <w:tcW w:type="dxa" w:w="6912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334155"/>
                <w:sz w:val="18"/>
              </w:rPr>
              <w:t>Executive Summary, Sales, Customers, Operations, Cross-Functional, Scenario Simulator</w:t>
            </w:r>
          </w:p>
        </w:tc>
      </w:tr>
      <w:tr>
        <w:tc>
          <w:tcPr>
            <w:tcW w:type="dxa" w:w="3168"/>
            <w:tcMar>
              <w:top w:w="50" w:type="dxa"/>
              <w:bottom w:w="50" w:type="dxa"/>
              <w:left w:w="80" w:type="dxa"/>
              <w:right w:w="80" w:type="dxa"/>
            </w:tcMar>
            <w:shd w:fill="F1F5F9"/>
          </w:tcPr>
          <w:p>
            <w:r>
              <w:rPr>
                <w:b/>
                <w:color w:val="1E293B"/>
                <w:sz w:val="18"/>
              </w:rPr>
              <w:t>Reconciliation Parity</w:t>
            </w:r>
          </w:p>
        </w:tc>
        <w:tc>
          <w:tcPr>
            <w:tcW w:type="dxa" w:w="6912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334155"/>
                <w:sz w:val="18"/>
              </w:rPr>
              <w:t>Exact Match (100.0%) across 82,540 Delivered Orders / 2,391,602 Total Rows</w:t>
            </w:r>
          </w:p>
        </w:tc>
      </w:tr>
      <w:tr>
        <w:tc>
          <w:tcPr>
            <w:tcW w:type="dxa" w:w="3168"/>
            <w:tcMar>
              <w:top w:w="50" w:type="dxa"/>
              <w:bottom w:w="50" w:type="dxa"/>
              <w:left w:w="80" w:type="dxa"/>
              <w:right w:w="80" w:type="dxa"/>
            </w:tcMar>
            <w:shd w:fill="F1F5F9"/>
          </w:tcPr>
          <w:p>
            <w:r>
              <w:rPr>
                <w:b/>
                <w:color w:val="1E293B"/>
                <w:sz w:val="18"/>
              </w:rPr>
              <w:t>Author &amp; Date</w:t>
            </w:r>
          </w:p>
        </w:tc>
        <w:tc>
          <w:tcPr>
            <w:tcW w:type="dxa" w:w="6912"/>
            <w:tcMar>
              <w:top w:w="50" w:type="dxa"/>
              <w:bottom w:w="50" w:type="dxa"/>
              <w:left w:w="80" w:type="dxa"/>
              <w:right w:w="80" w:type="dxa"/>
            </w:tcMar>
            <w:shd w:fill="FFFFFF"/>
          </w:tcPr>
          <w:p>
            <w:r>
              <w:rPr>
                <w:color w:val="334155"/>
                <w:sz w:val="18"/>
              </w:rPr>
              <w:t>Senior BI Analyst &amp; Solution Architecture Team · September 10, 2026</w:t>
            </w:r>
          </w:p>
        </w:tc>
      </w:tr>
    </w:tbl>
    <w:p>
      <w:pPr>
        <w:spacing w:after="200"/>
      </w:pPr>
    </w:p>
    <w:p>
      <w:pPr>
        <w:pStyle w:val="Heading1"/>
      </w:pPr>
      <w:r>
        <w:t>Executive Headline Performance Metrics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Metric Name</w:t>
            </w:r>
          </w:p>
        </w:tc>
        <w:tc>
          <w:tcPr>
            <w:tcW w:type="dxa" w:w="2520"/>
            <w:shd w:fill="1E293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Authoritative Value</w:t>
            </w:r>
          </w:p>
        </w:tc>
        <w:tc>
          <w:tcPr>
            <w:tcW w:type="dxa" w:w="2520"/>
            <w:shd w:fill="1E293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Unit / Basis</w:t>
            </w:r>
          </w:p>
        </w:tc>
        <w:tc>
          <w:tcPr>
            <w:tcW w:type="dxa" w:w="2520"/>
            <w:shd w:fill="1E293B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7"/>
              </w:rPr>
              <w:t>Operational Status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Delivered Net Revenue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7"/>
              </w:rPr>
              <w:t>₹6,769,536,004.48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7"/>
              </w:rPr>
              <w:t>₹676.95 Cr (82,540 orders)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7"/>
              </w:rPr>
              <w:t>Verified Parity (100%)</w:t>
            </w:r>
          </w:p>
        </w:tc>
      </w:tr>
      <w:tr>
        <w:tc>
          <w:tcPr>
            <w:tcW w:type="dxa" w:w="25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Average Order Value (AOV)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7"/>
              </w:rPr>
              <w:t>₹82,015.22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7"/>
              </w:rPr>
              <w:t>Net Revenue / Delivered Orders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7"/>
              </w:rPr>
              <w:t>Healthy Basket Realization</w:t>
            </w:r>
          </w:p>
        </w:tc>
      </w:tr>
      <w:tr>
        <w:tc>
          <w:tcPr>
            <w:tcW w:type="dxa" w:w="25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Contribution Margin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7"/>
              </w:rPr>
              <w:t>₹2,062,436,092.76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7"/>
              </w:rPr>
              <w:t>₹206.24 Cr (30.47% margin)</w:t>
            </w:r>
          </w:p>
        </w:tc>
        <w:tc>
          <w:tcPr>
            <w:tcW w:type="dxa" w:w="252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7"/>
              </w:rPr>
              <w:t>Above 28% Target Benchmark</w:t>
            </w:r>
          </w:p>
        </w:tc>
      </w:tr>
      <w:tr>
        <w:tc>
          <w:tcPr>
            <w:tcW w:type="dxa" w:w="25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0F172A"/>
                <w:sz w:val="17"/>
              </w:rPr>
              <w:t>Active Customer Base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7"/>
              </w:rPr>
              <w:t>40,380 Customers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7"/>
              </w:rPr>
              <w:t>80.76% of 50k Registered</w:t>
            </w:r>
          </w:p>
        </w:tc>
        <w:tc>
          <w:tcPr>
            <w:tcW w:type="dxa" w:w="2520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color w:val="0F172A"/>
                <w:sz w:val="17"/>
              </w:rPr>
              <w:t>High Demand Penetration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t>1. Executive Summary Dashboard Insights (/executive-summary/)</w:t>
      </w:r>
    </w:p>
    <w:p>
      <w:pPr>
        <w:pStyle w:val="ListBullet"/>
        <w:spacing w:after="60"/>
      </w:pPr>
      <w:r>
        <w:rPr>
          <w:color w:val="334155"/>
          <w:sz w:val="19"/>
        </w:rPr>
        <w:t>Recognized Top-Line Revenue: 82,540 delivered purchase orders recognize ₹6,769,536,004.48 (₹676.95 Cr) in commercial top-line net revenue. Pending in-transit orders represent ₹184.6 Cr across 22,514 shipments.</w:t>
      </w:r>
    </w:p>
    <w:p>
      <w:pPr>
        <w:pStyle w:val="ListBullet"/>
        <w:spacing w:after="60"/>
      </w:pPr>
      <w:r>
        <w:rPr>
          <w:color w:val="334155"/>
          <w:sz w:val="19"/>
        </w:rPr>
        <w:t>Commercial Order Leakage: 22,534 purchase orders (15.02%) were cancelled before dispatch, and 7,495 orders (5.00%) experienced technical payment gateway failure. This constitutes ₹246.28 Cr in addressable gross commercial leakage.</w:t>
      </w:r>
    </w:p>
    <w:p>
      <w:pPr>
        <w:pStyle w:val="ListBullet"/>
        <w:spacing w:after="60"/>
      </w:pPr>
      <w:r>
        <w:rPr>
          <w:color w:val="334155"/>
          <w:sz w:val="19"/>
        </w:rPr>
        <w:t>Logistics SLA Rate: Courier On-Time Delivery (OTD) stands at 89.5% against the 5-day delivery SLA. Delivery tail delays are concentrated in remote tier-3 pins.</w:t>
      </w:r>
    </w:p>
    <w:p>
      <w:pPr>
        <w:pStyle w:val="ListBullet"/>
        <w:spacing w:after="60"/>
      </w:pPr>
      <w:r>
        <w:rPr>
          <w:color w:val="334155"/>
          <w:sz w:val="19"/>
        </w:rPr>
        <w:t>Store Inventory Vulnerability: 595 store-SKU inventory combinations (0.52%) are completely stockout; 16,880 SKUs (14.79%) have breached safety reorder thresholds. Total inventory slots at risk: 15.31%.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86EFAC"/>
          <w:bottom w:val="single" w:sz="6" w:space="0" w:color="86EFAC"/>
          <w:insideH w:val="single" w:sz="6" w:space="0" w:color="86EFAC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0FDF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66534"/>
                <w:sz w:val="18"/>
              </w:rPr>
              <w:t xml:space="preserve">Strategic Action Directive: </w:t>
            </w:r>
            <w:r>
              <w:rPr>
                <w:color w:val="14532D"/>
                <w:sz w:val="18"/>
              </w:rPr>
              <w:t>Taskforce between Logistics and IT to implement 1-click fallback payment gateways (recovering ₹61.4 Cr) and initiate automated warehouse replenishment for depleted store SKUs.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2. Sales Intelligence Dashboard Insights (/business-dashboard/sales/)</w:t>
      </w:r>
    </w:p>
    <w:p>
      <w:pPr>
        <w:pStyle w:val="ListBullet"/>
        <w:spacing w:after="60"/>
      </w:pPr>
      <w:r>
        <w:rPr>
          <w:color w:val="334155"/>
          <w:sz w:val="19"/>
        </w:rPr>
        <w:t>Category Revenue &amp; Margin Pareto: Electronics, Appliances, and Home Entertainment drive 58.4% of total realized net sales. However, Apparel, Beauty, and Footwear deliver the highest gross margin percentages (42.8% to 48.1%), compared to Consumer Electronics at 26.4%.</w:t>
      </w:r>
    </w:p>
    <w:p>
      <w:pPr>
        <w:pStyle w:val="ListBullet"/>
        <w:spacing w:after="60"/>
      </w:pPr>
      <w:r>
        <w:rPr>
          <w:color w:val="334155"/>
          <w:sz w:val="19"/>
        </w:rPr>
        <w:t>Promotional Markdown Elasticity: Orders fulfilled with promotional discounts represent 48.8% of total volume with an effective average discount depth of 11.2%. Full-price un-discounted orders delivered an AOV of ₹84,210 with zero demand drag, showing strong pricing power.</w:t>
      </w:r>
    </w:p>
    <w:p>
      <w:pPr>
        <w:pStyle w:val="ListBullet"/>
        <w:spacing w:after="60"/>
      </w:pPr>
      <w:r>
        <w:rPr>
          <w:color w:val="334155"/>
          <w:sz w:val="19"/>
        </w:rPr>
        <w:t>Physical Store Productivity: Mall Flagship and High Street formats generate 3.2x higher revenue density per square foot (₹12,450/sqft) than Express neighborhood convenience formats.</w:t>
      </w:r>
    </w:p>
    <w:p>
      <w:pPr>
        <w:pStyle w:val="ListBullet"/>
        <w:spacing w:after="60"/>
      </w:pPr>
      <w:r>
        <w:rPr>
          <w:color w:val="334155"/>
          <w:sz w:val="19"/>
        </w:rPr>
        <w:t>Digital Tender Dominance: Digital payments (UPI, Cards, Net Banking, Wallets) capture 58.4% of transaction volume and exhibit a 14% lower return rate compared to Cash on Delivery (COD).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86EFAC"/>
          <w:bottom w:val="single" w:sz="6" w:space="0" w:color="86EFAC"/>
          <w:insideH w:val="single" w:sz="6" w:space="0" w:color="86EFAC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0FDF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66534"/>
                <w:sz w:val="18"/>
              </w:rPr>
              <w:t xml:space="preserve">Strategic Action Directive: </w:t>
            </w:r>
            <w:r>
              <w:rPr>
                <w:color w:val="14532D"/>
                <w:sz w:val="18"/>
              </w:rPr>
              <w:t>Trim broad promotional discounting by 3% on high-velocity electronics and expand shelf space for high-margin Apparel and Beauty merchandise.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3. Customer Intelligence &amp; RFM Segmentation Insights (/business-dashboard/customers/)</w:t>
      </w:r>
    </w:p>
    <w:p>
      <w:pPr>
        <w:pStyle w:val="ListBullet"/>
        <w:spacing w:after="60"/>
      </w:pPr>
      <w:r>
        <w:rPr>
          <w:color w:val="334155"/>
          <w:sz w:val="19"/>
        </w:rPr>
        <w:t>The 22% Champions Cohort: 8,885 customers (22.0% of active buyers) qualify as top-tier Champions (R≥4, F≥4), maintaining an average recency of 83.1 days, placing 3.3 orders/year, and contributing ₹236.66 Cr (34.96% of enterprise revenue).</w:t>
      </w:r>
    </w:p>
    <w:p>
      <w:pPr>
        <w:pStyle w:val="ListBullet"/>
        <w:spacing w:after="60"/>
      </w:pPr>
      <w:r>
        <w:rPr>
          <w:color w:val="334155"/>
          <w:sz w:val="19"/>
        </w:rPr>
        <w:t>Severe At-Risk VIP Dormancy: 6,518 customers (16.1%) reside in the At-Risk quadrant (average recency of 456.8 days, having previously spent ₹128.23 Cr). Re-activating 15% of this segment delivers ₹19.2 Cr in top-line recovery.</w:t>
      </w:r>
    </w:p>
    <w:p>
      <w:pPr>
        <w:pStyle w:val="ListBullet"/>
        <w:spacing w:after="60"/>
      </w:pPr>
      <w:r>
        <w:rPr>
          <w:color w:val="334155"/>
          <w:sz w:val="19"/>
        </w:rPr>
        <w:t>Loyalty Tier Conversion: Platinum and Gold loyalty members exhibit an 86.4% purchasing conversion rate and 2.8x higher Average Order Value than Bronze tier accounts.</w:t>
      </w:r>
    </w:p>
    <w:p>
      <w:pPr>
        <w:pStyle w:val="ListBullet"/>
        <w:spacing w:after="60"/>
      </w:pPr>
      <w:r>
        <w:rPr>
          <w:color w:val="334155"/>
          <w:sz w:val="19"/>
        </w:rPr>
        <w:t>Repeat Purchase Curve: 48.7% of customers are repeat buyers (2+ orders), generating 72.4% of total realized net revenue.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86EFAC"/>
          <w:bottom w:val="single" w:sz="6" w:space="0" w:color="86EFAC"/>
          <w:insideH w:val="single" w:sz="6" w:space="0" w:color="86EFAC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0FDF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66534"/>
                <w:sz w:val="18"/>
              </w:rPr>
              <w:t xml:space="preserve">Strategic Action Directive: </w:t>
            </w:r>
            <w:r>
              <w:rPr>
                <w:color w:val="14532D"/>
                <w:sz w:val="18"/>
              </w:rPr>
              <w:t>Launch automated 14-day post-purchase replenishment incentives for first-time buyers, and deploy personalized VIP concierge win-back offers for the 6,518 At-Risk accounts.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4. Operations &amp; Logistics Dashboard Insights (/business-dashboard/operations/)</w:t>
      </w:r>
    </w:p>
    <w:p>
      <w:pPr>
        <w:pStyle w:val="ListBullet"/>
        <w:spacing w:after="60"/>
      </w:pPr>
      <w:r>
        <w:rPr>
          <w:color w:val="334155"/>
          <w:sz w:val="19"/>
        </w:rPr>
        <w:t>Courier Carrier SLA Ranking: Monitored across 82,540 delivered parcel shipments: BlueDart ranks #1 with 90.2% on-time delivery (4.58 avg days); FedEx achieves 89.8% (4.60 days); Delhivery achieves 89.4% (4.63 days); EcomExpress trails at 88.9% (4.68 days).</w:t>
      </w:r>
    </w:p>
    <w:p>
      <w:pPr>
        <w:pStyle w:val="ListBullet"/>
        <w:spacing w:after="60"/>
      </w:pPr>
      <w:r>
        <w:rPr>
          <w:color w:val="334155"/>
          <w:sz w:val="19"/>
        </w:rPr>
        <w:t>Logistics Tail Delays (P90 Analysis): Median transit duration is 4.2 days, but the 90th percentile (P90) tail delivery extends to 6.8 days, driven by long-haul transit to remote zones.</w:t>
      </w:r>
    </w:p>
    <w:p>
      <w:pPr>
        <w:pStyle w:val="ListBullet"/>
        <w:spacing w:after="60"/>
      </w:pPr>
      <w:r>
        <w:rPr>
          <w:color w:val="334155"/>
          <w:sz w:val="19"/>
        </w:rPr>
        <w:t>Factory Scrap Quality: 15,000 completed work orders produced 25.19M units with 640,075 rejected units (2.54% enterprise scrap rate). Lines 3 &amp; 7 achieved &lt;2.1% scrap, while Lines 5 &amp; 9 exceeded 3.18% scrap, triggering maintenance warnings.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86EFAC"/>
          <w:bottom w:val="single" w:sz="6" w:space="0" w:color="86EFAC"/>
          <w:insideH w:val="single" w:sz="6" w:space="0" w:color="86EFAC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0FDF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66534"/>
                <w:sz w:val="18"/>
              </w:rPr>
              <w:t xml:space="preserve">Strategic Action Directive: </w:t>
            </w:r>
            <w:r>
              <w:rPr>
                <w:color w:val="14532D"/>
                <w:sz w:val="18"/>
              </w:rPr>
              <w:t>Shift 15% of dispatch allocations on North-to-South inter-state lanes from EcomExpress to BlueDart, and perform preventive calibration on factory assembly Lines 5 and 9.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5. Cross-Functional Strategic Dashboard Insights (/business-dashboard/cross-functional/)</w:t>
      </w:r>
    </w:p>
    <w:p>
      <w:pPr>
        <w:pStyle w:val="ListBullet"/>
        <w:spacing w:after="60"/>
      </w:pPr>
      <w:r>
        <w:rPr>
          <w:color w:val="334155"/>
          <w:sz w:val="19"/>
        </w:rPr>
        <w:t>Return Financial Outflow: 7,465 returned orders resulted in ₹200,996,441.72 (₹20.10 Cr) in refunds issued, eroding 2.97% of recognized top-line revenue.</w:t>
      </w:r>
    </w:p>
    <w:p>
      <w:pPr>
        <w:pStyle w:val="ListBullet"/>
        <w:spacing w:after="60"/>
      </w:pPr>
      <w:r>
        <w:rPr>
          <w:color w:val="334155"/>
          <w:sz w:val="19"/>
        </w:rPr>
        <w:t>Root Causes of Returns: 'Wrong Item Shipped' accounted for 1,934 claims (₹3.50 Cr) due to warehouse packing mis-scans; 'Size Issue' accounted for 1,899 claims (₹3.12 Cr) in Apparel; 'Defective' accounted for 1,814 claims (₹3.10 Cr) correlated with factory scrap on Lines 5 &amp; 9.</w:t>
      </w:r>
    </w:p>
    <w:p>
      <w:pPr>
        <w:pStyle w:val="ListBullet"/>
        <w:spacing w:after="60"/>
      </w:pPr>
      <w:r>
        <w:rPr>
          <w:color w:val="334155"/>
          <w:sz w:val="19"/>
        </w:rPr>
        <w:t>Fulfillment Velocity: Order-to-warehouse dispatch averages 1.22 days; carrier dispatch-to-delivery averages 4.62 days; total order-to-delivery fulfillment duration is 5.84 days.</w:t>
      </w:r>
    </w:p>
    <w:p>
      <w:pPr>
        <w:pStyle w:val="ListBullet"/>
        <w:spacing w:after="60"/>
      </w:pPr>
      <w:r>
        <w:rPr>
          <w:color w:val="334155"/>
          <w:sz w:val="19"/>
        </w:rPr>
        <w:t>Enterprise Perfect Order Rate: Deliveries arriving on time, complete, with zero customer return claims achieve an enterprise benchmark score of 79.8%.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86EFAC"/>
          <w:bottom w:val="single" w:sz="6" w:space="0" w:color="86EFAC"/>
          <w:insideH w:val="single" w:sz="6" w:space="0" w:color="86EFAC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0FDF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66534"/>
                <w:sz w:val="18"/>
              </w:rPr>
              <w:t xml:space="preserve">Strategic Action Directive: </w:t>
            </w:r>
            <w:r>
              <w:rPr>
                <w:color w:val="14532D"/>
                <w:sz w:val="18"/>
              </w:rPr>
              <w:t>Mandate barcode scan verification at warehouse packing tables to eliminate ₹3.5 Cr in 'Wrong Item' returns, and integrate interactive size guides in Apparel merchandise.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6. Scenario Simulator (Contribution Margin What-If Levers) (/business-dashboard/simulator/)</w:t>
      </w:r>
    </w:p>
    <w:p>
      <w:pPr>
        <w:pStyle w:val="ListBullet"/>
        <w:spacing w:after="60"/>
      </w:pPr>
      <w:r>
        <w:rPr>
          <w:color w:val="334155"/>
          <w:sz w:val="19"/>
        </w:rPr>
        <w:t>Baseline Financial Actuals: Reconciled Net Revenue: ₹676.95 Cr | COGS: ₹418.84 Cr | Returns: ₹20.10 Cr | Store OpEx: ₹31.77 Cr | Contribution Margin: ₹206.24 Cr (30.47%).</w:t>
      </w:r>
    </w:p>
    <w:p>
      <w:pPr>
        <w:pStyle w:val="ListBullet"/>
        <w:spacing w:after="60"/>
      </w:pPr>
      <w:r>
        <w:rPr>
          <w:color w:val="334155"/>
          <w:sz w:val="19"/>
        </w:rPr>
        <w:t>Price Realization (+3% Net Pricing): Generates +₹20.31 Cr in direct contribution margin with zero incremental working capital requirement.</w:t>
      </w:r>
    </w:p>
    <w:p>
      <w:pPr>
        <w:pStyle w:val="ListBullet"/>
        <w:spacing w:after="60"/>
      </w:pPr>
      <w:r>
        <w:rPr>
          <w:color w:val="334155"/>
          <w:sz w:val="19"/>
        </w:rPr>
        <w:t>Return Rate Reduction (-25% Returns): Recovers ₹5.02 Cr in direct customer refunds and an estimated ₹1.8 Cr in reverse logistics overhead.</w:t>
      </w:r>
    </w:p>
    <w:p>
      <w:pPr>
        <w:pStyle w:val="ListBullet"/>
        <w:spacing w:after="60"/>
      </w:pPr>
      <w:r>
        <w:rPr>
          <w:color w:val="334155"/>
          <w:sz w:val="19"/>
        </w:rPr>
        <w:t>Volume Expansion (+10% Volume): Delivers +₹20.62 Cr in gross contribution margin expansion.</w:t>
      </w:r>
    </w:p>
    <w:p>
      <w:pPr>
        <w:pStyle w:val="ListBullet"/>
        <w:spacing w:after="60"/>
      </w:pPr>
      <w:r>
        <w:rPr>
          <w:color w:val="334155"/>
          <w:sz w:val="19"/>
        </w:rPr>
        <w:t>Store OpEx Efficiency (-5% Store Expenses): Contributes +₹1.59 Cr directly to the enterprise bottom line.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86EFAC"/>
          <w:bottom w:val="single" w:sz="6" w:space="0" w:color="86EFAC"/>
          <w:insideH w:val="single" w:sz="6" w:space="0" w:color="86EFAC"/>
          <w:insideV w:val="none"/>
          <w:left w:val="none"/>
          <w:right w:val="none"/>
        </w:tblBorders>
      </w:tblPr>
      <w:tblGrid>
        <w:gridCol w:w="10080"/>
      </w:tblGrid>
      <w:tr>
        <w:tc>
          <w:tcPr>
            <w:tcW w:type="dxa" w:w="10080"/>
            <w:shd w:fill="F0FDF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166534"/>
                <w:sz w:val="18"/>
              </w:rPr>
              <w:t xml:space="preserve">Strategic Action Directive: </w:t>
            </w:r>
            <w:r>
              <w:rPr>
                <w:color w:val="14532D"/>
                <w:sz w:val="18"/>
              </w:rPr>
              <w:t>Execute the 'Margin Protection Strategy' (+3% net price realization, -25% return reduction) to expand enterprise contribution margin from ₹206.24 Cr to ₹231.57 Cr (+₹25.33 Cr).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