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EA5E9"/>
          <w:sz w:val="19"/>
        </w:rPr>
        <w:t>DOMAIN SUITE 2 · COMMERCIAL &amp; CUSTOMER OPERATIONS</w:t>
      </w:r>
    </w:p>
    <w:p>
      <w:pPr>
        <w:spacing w:after="80"/>
      </w:pPr>
      <w:r>
        <w:rPr>
          <w:b/>
          <w:color w:val="0F172A"/>
          <w:sz w:val="40"/>
        </w:rPr>
        <w:t>Sales, Customer &amp; Operations Analytics Deliverable</w:t>
      </w:r>
    </w:p>
    <w:p>
      <w:pPr>
        <w:spacing w:after="280"/>
      </w:pPr>
      <w:r>
        <w:rPr>
          <w:color w:val="64748B"/>
          <w:sz w:val="21"/>
        </w:rPr>
        <w:t>Domain Suite 2: Commercial Revenue, RFM Behavioral Segmentation &amp; Manufacturing Quality</w:t>
      </w:r>
    </w:p>
    <w:p>
      <w:pPr>
        <w:spacing w:before="280" w:after="120"/>
      </w:pPr>
      <w:r>
        <w:rPr>
          <w:b/>
          <w:color w:val="1E293B"/>
          <w:sz w:val="26"/>
        </w:rPr>
        <w:t>Headline Key Performance Indicators (12 KPIs)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KPI Title</w:t>
            </w:r>
          </w:p>
        </w:tc>
        <w:tc>
          <w:tcPr>
            <w:tcW w:type="dxa" w:w="28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Performance Value</w:t>
            </w:r>
          </w:p>
        </w:tc>
        <w:tc>
          <w:tcPr>
            <w:tcW w:type="dxa" w:w="28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Operational Subtext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Delivered Net Revenue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₹676.95 Cr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₹6,769,536,004 (82,540 fulfilled orders)</w:t>
            </w:r>
          </w:p>
        </w:tc>
      </w:tr>
      <w:tr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Gross Catalog Value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₹701.23 Cr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Gross revenue before markdowns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Absorbed Discounts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₹24.27 Cr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3.46% promotional discount rate</w:t>
            </w:r>
          </w:p>
        </w:tc>
      </w:tr>
      <w:tr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Average Order Value (AOV)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₹82,015.22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Per delivered checkout transaction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Registered Master Accounts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50,000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Total CRM buyer master records</w:t>
            </w:r>
          </w:p>
        </w:tc>
      </w:tr>
      <w:tr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Transacting Buyers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40,380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80.76% buyer penetration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Repeat Buyer Rate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64.20%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Customers with &gt;1 purchases</w:t>
            </w:r>
          </w:p>
        </w:tc>
      </w:tr>
      <w:tr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At-Risk VIP Accounts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6,518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High spend, recency &gt; 120 days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Active Shelf Slots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114,153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Across 200 store branches</w:t>
            </w:r>
          </w:p>
        </w:tc>
      </w:tr>
      <w:tr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Zero-Stock Stockouts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595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0.52% stockout exposure rate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Low-Stock Triggers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16,880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Stock below safety replenishment</w:t>
            </w:r>
          </w:p>
        </w:tc>
      </w:tr>
      <w:tr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Factory Scrap Rate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2.54%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640,075 rejected of 25.19M units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b/>
          <w:color w:val="1E293B"/>
          <w:sz w:val="26"/>
        </w:rPr>
        <w:t>1. Commercial Sales Domain: Category Economics, Revenue Velocity &amp; Brand League</w:t>
      </w:r>
    </w:p>
    <w:p>
      <w:r>
        <w:t>Performance metrics across 82,540 delivered orders, merchandise category margins, top brand partners, and basket tier sizes.</w:t>
      </w:r>
    </w:p>
    <w:p>
      <w:r>
        <w:t>Associated Domain Visualizations in Dashboard:</w:t>
      </w:r>
    </w:p>
    <w:p>
      <w:pPr>
        <w:pStyle w:val="ListBullet"/>
      </w:pPr>
      <w:r>
        <w:rPr>
          <w:b/>
        </w:rPr>
        <w:t xml:space="preserve">Chart 1 (Donut): </w:t>
      </w:r>
      <w:r>
        <w:t>Category Revenue Contribution (Electronics ₹284.2 Cr, Fashion ₹148.9 Cr, Home ₹115.4 Cr, Grocery ₹82.5 Cr, Beauty ₹46.0 Cr)</w:t>
      </w:r>
    </w:p>
    <w:p>
      <w:pPr>
        <w:pStyle w:val="ListBullet"/>
      </w:pPr>
      <w:r>
        <w:rPr>
          <w:b/>
        </w:rPr>
        <w:t xml:space="preserve">Chart 2 (Line): </w:t>
      </w:r>
      <w:r>
        <w:t>26-Month Sales Net Revenue Trend (Jan 2024 to Feb 2026)</w:t>
      </w:r>
    </w:p>
    <w:p>
      <w:pPr>
        <w:pStyle w:val="ListBullet"/>
      </w:pPr>
      <w:r>
        <w:rPr>
          <w:b/>
        </w:rPr>
        <w:t xml:space="preserve">Chart 3 (Horizontal Bar): </w:t>
      </w:r>
      <w:r>
        <w:t>Top 8 Brand Partners by Commercial Delivered Sales (Lenovo ₹39.6 Cr, HP ₹38.7 Cr, Acer ₹35.7 Cr, Dell ₹34.8 Cr, Apple ₹33.2 Cr, Samsung ₹31.9 Cr, Sony ₹29.5 Cr, LG ₹27.8 Cr)</w:t>
      </w:r>
    </w:p>
    <w:p>
      <w:pPr>
        <w:pStyle w:val="ListBullet"/>
      </w:pPr>
      <w:r>
        <w:rPr>
          <w:b/>
        </w:rPr>
        <w:t xml:space="preserve">Chart 4 (Column Bar): </w:t>
      </w:r>
      <w:r>
        <w:t>Order Value Tier Spread &amp; Basket Sizes (&lt;₹25k, ₹25k-₹50k, ₹50k-₹100k, ₹100k-₹200k, &gt;₹200k)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Merchandise Category / Brand</w:t>
            </w:r>
          </w:p>
        </w:tc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Delivered Orders</w:t>
            </w:r>
          </w:p>
        </w:tc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Net Revenue (₹)</w:t>
            </w:r>
          </w:p>
        </w:tc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Gross Profit (₹)</w:t>
            </w:r>
          </w:p>
        </w:tc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Margin %</w:t>
            </w:r>
          </w:p>
        </w:tc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Volume Distribution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Electronics &amp; Computing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28,450 Orders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₹284.15 Cr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₹76.72 Cr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27.00%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Lenovo, HP, Acer, Dell Leader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Fashion &amp; Apparel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22,100 Orders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₹148.90 Cr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₹52.12 Cr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35.00%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High-margin seasonal collections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Home &amp; Kitchen Appliances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16,800 Orders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₹115.40 Cr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₹34.62 Cr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30.00%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Core domestic repeat orders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Grocery &amp; FMCG Staples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9,850 Orders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₹82.50 Cr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₹14.85 Cr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18.00%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High frequency, basket builder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Health &amp; Beauty Wellness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5,340 Orders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₹46.00 Cr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₹16.10 Cr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35.00%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Fast-growing high-margin segment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Top 8 Brands Combined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52,400 Orders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₹270.96 Cr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₹74.51 Cr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27.50%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40.03% Total Net Sales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b/>
          <w:color w:val="1E293B"/>
          <w:sz w:val="26"/>
        </w:rPr>
        <w:t>2. Customer Domain: RFM Behavioral Segmentation, Cohorts &amp; Loyalty Tiers</w:t>
      </w:r>
    </w:p>
    <w:p>
      <w:r>
        <w:t>Customer lifecycle dynamics, RFM score distributions, 26-month cohort retention longevity, and loyalty tier economics.</w:t>
      </w:r>
    </w:p>
    <w:p>
      <w:r>
        <w:t>Associated Domain Visualizations in Dashboard:</w:t>
      </w:r>
    </w:p>
    <w:p>
      <w:pPr>
        <w:pStyle w:val="ListBullet"/>
      </w:pPr>
      <w:r>
        <w:rPr>
          <w:b/>
        </w:rPr>
        <w:t xml:space="preserve">Chart 1 (Donut): </w:t>
      </w:r>
      <w:r>
        <w:t>Behavioral RFM Customer Segmentation (Champions 17.8%, Loyal 22.5%, Potential 14.9%, At-Risk 13.0%, Dormant 12.6%)</w:t>
      </w:r>
    </w:p>
    <w:p>
      <w:pPr>
        <w:pStyle w:val="ListBullet"/>
      </w:pPr>
      <w:r>
        <w:rPr>
          <w:b/>
        </w:rPr>
        <w:t xml:space="preserve">Chart 2 (Line): </w:t>
      </w:r>
      <w:r>
        <w:t>26-Month Monthly Customer Retention &amp; Cohort Longevity</w:t>
      </w:r>
    </w:p>
    <w:p>
      <w:pPr>
        <w:pStyle w:val="ListBullet"/>
      </w:pPr>
      <w:r>
        <w:rPr>
          <w:b/>
        </w:rPr>
        <w:t xml:space="preserve">Chart 3 (Combo): </w:t>
      </w:r>
      <w:r>
        <w:t>Loyalty Tier Spend (₹ Cr) vs Member Count (Bronze, Silver, Gold, Platinum)</w:t>
      </w:r>
    </w:p>
    <w:p>
      <w:pPr>
        <w:pStyle w:val="ListBullet"/>
      </w:pPr>
      <w:r>
        <w:rPr>
          <w:b/>
        </w:rPr>
        <w:t xml:space="preserve">Chart 4 (Donut): </w:t>
      </w:r>
      <w:r>
        <w:t>Customer Purchase Frequency Cohorts (Single Purchase, 2-3 Repeat, 4-5 Regular, 6+ Power Buyers)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RFM Segment / Loyalty Tier</w:t>
            </w:r>
          </w:p>
        </w:tc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Member Count</w:t>
            </w:r>
          </w:p>
        </w:tc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Customer Share</w:t>
            </w:r>
          </w:p>
        </w:tc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Total Spend (₹ Cr)</w:t>
            </w:r>
          </w:p>
        </w:tc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Avg Recency</w:t>
            </w:r>
          </w:p>
        </w:tc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Strategic Action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Champions (VIP Tier)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8,885 Members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17.77%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₹234.80 Cr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14 Days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Exclusive early access &amp; white-glove service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Loyal Customers (Gold Tier)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11,240 Members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22.48%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₹198.50 Cr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28 Days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Cross-sell high-margin categories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Potential Loyalists (Silver)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7,450 Members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14.90%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₹89.20 Cr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45 Days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Incentivize 3rd and 4th order cadence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At Risk (Bronze Reorder)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6,518 Members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13.04%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₹68.40 Cr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120 Days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Win-back personalized discounting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Dormant / Lost Accounts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6,287 Members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12.57%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₹42.10 Cr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240 Days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Reactivation automated email triggers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Platinum Elite Tier (6+ Orders)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2,526 Members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5.05%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₹33.81 Cr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9 Days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Highest LTV, zero churn exposure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b/>
          <w:color w:val="1E293B"/>
          <w:sz w:val="26"/>
        </w:rPr>
        <w:t>3. Operations Domain: Store Inventory Health, Factory Scrap &amp; Warehouse Hub Utilization</w:t>
      </w:r>
    </w:p>
    <w:p>
      <w:r>
        <w:t>Store inventory stock turnover across 200 branches, factory defect rates across 10 lines, and regional warehouse capacity.</w:t>
      </w:r>
    </w:p>
    <w:p>
      <w:r>
        <w:t>Associated Domain Visualizations in Dashboard:</w:t>
      </w:r>
    </w:p>
    <w:p>
      <w:pPr>
        <w:pStyle w:val="ListBullet"/>
      </w:pPr>
      <w:r>
        <w:rPr>
          <w:b/>
        </w:rPr>
        <w:t xml:space="preserve">Chart 1 (Stacked Bar): </w:t>
      </w:r>
      <w:r>
        <w:t>Store Inventory Turnover &amp; Stock Ageing Matrix across Categories</w:t>
      </w:r>
    </w:p>
    <w:p>
      <w:pPr>
        <w:pStyle w:val="ListBullet"/>
      </w:pPr>
      <w:r>
        <w:rPr>
          <w:b/>
        </w:rPr>
        <w:t xml:space="preserve">Chart 2 (Combo): </w:t>
      </w:r>
      <w:r>
        <w:t>Factory Scrap &amp; Quality Yield Performance across 10 Production Lines</w:t>
      </w:r>
    </w:p>
    <w:p>
      <w:pPr>
        <w:pStyle w:val="ListBullet"/>
      </w:pPr>
      <w:r>
        <w:rPr>
          <w:b/>
        </w:rPr>
        <w:t xml:space="preserve">Chart 3 (Horizontal Bar): </w:t>
      </w:r>
      <w:r>
        <w:t>Regional Inventory Stockout Risk Exposure (%) (West 15.5%, South 15.4%, North East 15.4%, North 15.1%, Central 14.9%, East 14.6%)</w:t>
      </w:r>
    </w:p>
    <w:p>
      <w:pPr>
        <w:pStyle w:val="ListBullet"/>
      </w:pPr>
      <w:r>
        <w:rPr>
          <w:b/>
        </w:rPr>
        <w:t xml:space="preserve">Chart 4 (Bar): </w:t>
      </w:r>
      <w:r>
        <w:t>Regional Warehouse Hub Storage Utilization (%) (North 88.4%, South 82.1%, West 76.5%, East 79.2%, Central 71.0%)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Operational Entity / Hub</w:t>
            </w:r>
          </w:p>
        </w:tc>
        <w:tc>
          <w:tcPr>
            <w:tcW w:type="dxa" w:w="172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Active Capacity / Slots</w:t>
            </w:r>
          </w:p>
        </w:tc>
        <w:tc>
          <w:tcPr>
            <w:tcW w:type="dxa" w:w="172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Utilization / Scrap %</w:t>
            </w:r>
          </w:p>
        </w:tc>
        <w:tc>
          <w:tcPr>
            <w:tcW w:type="dxa" w:w="172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Health Status</w:t>
            </w:r>
          </w:p>
        </w:tc>
        <w:tc>
          <w:tcPr>
            <w:tcW w:type="dxa" w:w="172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Recommended Action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Adequate Stocked Slots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96,678 Slots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84.69%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Optimal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Maintain routine cadence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Low Stock (Reorder Alert)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16,880 Slots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14.79%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Warning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Trigger automated DC transfers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Out of Stock (OOS SKUs)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595 Slots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0.52%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Critical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Expedited vendor replenishment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North DC Hub (Delhi)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220,000 Sq Ft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88.40% Utilized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Near Capacity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Expand buffer overflow space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South DC Hub (Bangalore)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190,000 Sq Ft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82.10% Utilized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Healthy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Standard regional routing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Manufacturing Scrap Yield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25.19M Units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2.54% Scrap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Within Target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Calibrate Line 4 and Line 8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b/>
          <w:color w:val="1E293B"/>
          <w:sz w:val="26"/>
        </w:rPr>
        <w:t>Authoritative Production SQL Queries</w:t>
      </w:r>
    </w:p>
    <w:p>
      <w:r>
        <w:rPr>
          <w:b/>
        </w:rPr>
        <w:t>SQL 2.1: Top 8 Brand Partners by Commercial Delivered Sales (Grain: Brand Master Grain)</w:t>
      </w:r>
    </w:p>
    <w:p>
      <w:r>
        <w:t>Business Purpose: Ranks commercial brand partners by net revenue generated across delivered sales.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SELECT b.brand_name, COUNT(DISTINCT o.order_id) AS delivered_orders,</w:t>
              <w:br/>
              <w:t xml:space="preserve">    ROUND(SUM(oi.net_amount) / 10000000.0, 2) AS sales_crores,</w:t>
              <w:br/>
              <w:t xml:space="preserve">    ROUND(SUM(oi.net_amount) / SUM(SUM(oi.net_amount)) OVER () * 100, 2) AS share_pct</w:t>
              <w:br/>
              <w:t>FROM sales.order_items oi</w:t>
              <w:br/>
              <w:t>JOIN sales.orders o ON oi.order_id = o.order_id</w:t>
              <w:br/>
              <w:t>JOIN products.products p ON oi.prod_id = p.product_id</w:t>
              <w:br/>
              <w:t>JOIN core.dim_brand b ON p.brand_id = b.brand_id</w:t>
              <w:br/>
              <w:t>WHERE o.order_status = 'Delivered'</w:t>
              <w:br/>
              <w:t>GROUP BY b.brand_name ORDER BY sales_crores DESC LIMIT 8;</w:t>
            </w:r>
          </w:p>
        </w:tc>
      </w:tr>
    </w:tbl>
    <w:p>
      <w:pPr>
        <w:spacing w:after="120"/>
      </w:pPr>
    </w:p>
    <w:p>
      <w:r>
        <w:rPr>
          <w:b/>
        </w:rPr>
        <w:t>SQL 2.2: Order Basket Size Tier Spread (Grain: Order Ticket Bracket Grain)</w:t>
      </w:r>
    </w:p>
    <w:p>
      <w:r>
        <w:t>Business Purpose: Categorizes delivered checkout baskets into economic price tiers.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SELECT </w:t>
              <w:br/>
              <w:t xml:space="preserve">    CASE </w:t>
              <w:br/>
              <w:t xml:space="preserve">        WHEN net_total &lt; 25000 THEN '&lt; ₹25k (Entry)'</w:t>
              <w:br/>
              <w:t xml:space="preserve">        WHEN net_total BETWEEN 25000 AND 50000 THEN '₹25k - ₹50k (Mid)'</w:t>
              <w:br/>
              <w:t xml:space="preserve">        WHEN net_total BETWEEN 50000 AND 100000 THEN '₹50k - ₹100k (Core)'</w:t>
              <w:br/>
              <w:t xml:space="preserve">        WHEN net_total BETWEEN 100000 AND 200000 THEN '₹100k - ₹200k (Premium)'</w:t>
              <w:br/>
              <w:t xml:space="preserve">        ELSE '&gt; ₹200k (VIP Tier)'</w:t>
              <w:br/>
              <w:t xml:space="preserve">    END AS basket_tier,</w:t>
              <w:br/>
              <w:t xml:space="preserve">    COUNT(order_id) AS order_volume,</w:t>
              <w:br/>
              <w:t xml:space="preserve">    ROUND(SUM(net_total) / 10000000.0, 2) AS revenue_crores</w:t>
              <w:br/>
              <w:t>FROM sales.orders WHERE order_status = 'Delivered'</w:t>
              <w:br/>
              <w:t>GROUP BY 1 ORDER BY MIN(net_total);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