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EE0D" w14:textId="77777777" w:rsidR="007C09E7" w:rsidRDefault="007C09E7" w:rsidP="0068507D">
      <w:pPr>
        <w:pStyle w:val="instituicao1"/>
        <w:jc w:val="center"/>
        <w:rPr>
          <w:color w:val="000000"/>
        </w:rPr>
      </w:pPr>
      <w:r>
        <w:rPr>
          <w:color w:val="000000"/>
        </w:rPr>
        <w:t>Saint-Gobain · GBS Brasil</w:t>
      </w:r>
      <w:r>
        <w:rPr>
          <w:color w:val="000000"/>
        </w:rPr>
        <w:br w:type="page"/>
      </w:r>
      <w:r>
        <w:rPr>
          <w:color w:val="000000"/>
        </w:rPr>
        <w:lastRenderedPageBreak/>
        <w:t>CoE Projetos e Automações</w:t>
      </w:r>
    </w:p>
    <w:p w14:paraId="27D64004" w14:textId="77777777" w:rsidR="007C09E7" w:rsidRDefault="007C09E7" w:rsidP="0068507D">
      <w:pPr>
        <w:pStyle w:val="titulo1"/>
        <w:jc w:val="center"/>
        <w:rPr>
          <w:color w:val="000000"/>
        </w:rPr>
      </w:pPr>
      <w:r>
        <w:rPr>
          <w:color w:val="000000"/>
        </w:rPr>
        <w:t>SYNAPSE</w:t>
      </w:r>
    </w:p>
    <w:p w14:paraId="6162A461" w14:textId="77777777" w:rsidR="007C09E7" w:rsidRDefault="007C09E7" w:rsidP="0068507D">
      <w:pPr>
        <w:pStyle w:val="subtitulo1"/>
        <w:jc w:val="center"/>
        <w:rPr>
          <w:color w:val="000000"/>
        </w:rPr>
      </w:pPr>
      <w:r>
        <w:rPr>
          <w:color w:val="000000"/>
        </w:rPr>
        <w:t>Documentação Técnica do Painel de Governança</w:t>
      </w:r>
    </w:p>
    <w:p w14:paraId="20490FA8" w14:textId="77777777" w:rsidR="007C09E7" w:rsidRDefault="007C09E7" w:rsidP="0068507D">
      <w:pPr>
        <w:pStyle w:val="natureza1"/>
        <w:rPr>
          <w:color w:val="000000"/>
        </w:rPr>
      </w:pPr>
      <w:r>
        <w:rPr>
          <w:color w:val="000000"/>
        </w:rPr>
        <w:t>Documentação técnica de referência do sistema SYNAPSE, elaborada para uso interno da equipe de Governança do GBS.</w:t>
      </w:r>
    </w:p>
    <w:p w14:paraId="2DEA6185" w14:textId="77777777" w:rsidR="007C09E7" w:rsidRDefault="007C09E7" w:rsidP="0068507D">
      <w:pPr>
        <w:pStyle w:val="local1"/>
        <w:jc w:val="center"/>
        <w:rPr>
          <w:color w:val="000000"/>
        </w:rPr>
      </w:pPr>
      <w:r>
        <w:rPr>
          <w:color w:val="000000"/>
        </w:rPr>
        <w:t>Brasil</w:t>
      </w:r>
      <w:r>
        <w:rPr>
          <w:color w:val="000000"/>
        </w:rPr>
        <w:br w:type="page"/>
      </w:r>
      <w:r>
        <w:rPr>
          <w:color w:val="000000"/>
        </w:rPr>
        <w:lastRenderedPageBreak/>
        <w:t>2026</w:t>
      </w:r>
    </w:p>
    <w:p w14:paraId="13ABFBB8" w14:textId="77777777" w:rsidR="007C09E7" w:rsidRDefault="007C09E7" w:rsidP="0068507D">
      <w:pPr>
        <w:pStyle w:val="Ttulo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SYNAPSE — Documentação Técnica</w:t>
      </w:r>
    </w:p>
    <w:p w14:paraId="47E4717F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Painel de Governança do CoE de Projetos e Automações — GBS Saint-Gobain Brasil</w:t>
      </w:r>
    </w:p>
    <w:p w14:paraId="21E3030F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Este documento descreve o funcionamento interno do SYNAPSE: a estrutura de dados, o comportamento de cada tela e as regras usadas para ler e transformar as planilhas carregadas pelo usuário. O objetivo é permitir que qualquer pessoa da equipe entenda o sistema sem precisar ler o código-fonte diretamente.</w:t>
      </w:r>
    </w:p>
    <w:p w14:paraId="1CF91BD6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arquivo carregado pelo navegador é o </w:t>
      </w:r>
      <w:r>
        <w:rPr>
          <w:rStyle w:val="CdigoHTML"/>
          <w:color w:val="000000"/>
        </w:rPr>
        <w:t>app.js</w:t>
      </w:r>
      <w:r>
        <w:rPr>
          <w:color w:val="000000"/>
        </w:rPr>
        <w:t xml:space="preserve">, referenciado em </w:t>
      </w:r>
      <w:r>
        <w:rPr>
          <w:rStyle w:val="CdigoHTML"/>
          <w:color w:val="000000"/>
        </w:rPr>
        <w:t>index.html</w:t>
      </w:r>
      <w:r>
        <w:rPr>
          <w:color w:val="000000"/>
        </w:rPr>
        <w:t xml:space="preserve"> sem uso de módulos ES. A pasta </w:t>
      </w:r>
      <w:r>
        <w:rPr>
          <w:rStyle w:val="CdigoHTML"/>
          <w:color w:val="000000"/>
        </w:rPr>
        <w:t>src/</w:t>
      </w:r>
      <w:r>
        <w:rPr>
          <w:color w:val="000000"/>
        </w:rPr>
        <w:t xml:space="preserve"> </w:t>
      </w:r>
      <w:r>
        <w:rPr>
          <w:color w:val="000000"/>
        </w:rPr>
        <w:t>contém uma versão equivalente do mesmo código, dividida em módulos menores, mantida como referência de estudo; a lógica descrita aqui é idêntica nas duas versões.</w:t>
      </w:r>
    </w:p>
    <w:p w14:paraId="1BAD9BDD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5489409A">
          <v:rect id="_x0000_i1025" style="width:0;height:1.5pt" o:hralign="center" o:hrstd="t" o:hr="t" fillcolor="#a0a0a0" stroked="f"/>
        </w:pict>
      </w:r>
    </w:p>
    <w:p w14:paraId="6E412CD2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Sumário</w:t>
      </w:r>
    </w:p>
    <w:p w14:paraId="556175B0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Arquitetura geral</w:t>
      </w:r>
    </w:p>
    <w:p w14:paraId="16ECD574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Estado global (</w:t>
      </w:r>
      <w:r>
        <w:rPr>
          <w:rStyle w:val="CdigoHTML"/>
          <w:color w:val="000000"/>
        </w:rPr>
        <w:t>App</w:t>
      </w:r>
      <w:r>
        <w:rPr>
          <w:rFonts w:eastAsia="Times New Roman"/>
          <w:color w:val="000000"/>
        </w:rPr>
        <w:t>)</w:t>
      </w:r>
    </w:p>
    <w:p w14:paraId="16C587ED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Tela de upload</w:t>
      </w:r>
    </w:p>
    <w:p w14:paraId="32FC5F32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Geração do dashboard</w:t>
      </w:r>
    </w:p>
    <w:p w14:paraId="16DCE1AD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Leitura e transformação das planilhas</w:t>
      </w:r>
    </w:p>
    <w:p w14:paraId="32CA5B87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Normalização de status</w:t>
      </w:r>
    </w:p>
    <w:p w14:paraId="18260DEE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Filtro global de período</w:t>
      </w:r>
    </w:p>
    <w:p w14:paraId="06F12CAB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Barra superior</w:t>
      </w:r>
    </w:p>
    <w:p w14:paraId="6D4B615A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Navegação entre abas</w:t>
      </w:r>
    </w:p>
    <w:p w14:paraId="7FE2B39A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Aba Painel de Controle</w:t>
      </w:r>
    </w:p>
    <w:p w14:paraId="3711092A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Aba Projetos</w:t>
      </w:r>
    </w:p>
    <w:p w14:paraId="23997197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Aba Pipefy Melhorias</w:t>
      </w:r>
    </w:p>
    <w:p w14:paraId="50A785D2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Registro manual de atividades</w:t>
      </w:r>
    </w:p>
    <w:p w14:paraId="45C5AC92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Aba Analytics</w:t>
      </w:r>
    </w:p>
    <w:p w14:paraId="4B7A2A5D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Aba RPA e Bots</w:t>
      </w:r>
    </w:p>
    <w:p w14:paraId="28B81D02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Análise automática</w:t>
      </w:r>
    </w:p>
    <w:p w14:paraId="3A3DACCB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Gráficos</w:t>
      </w:r>
    </w:p>
    <w:p w14:paraId="6B1AC421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Exportação para PDF</w:t>
      </w:r>
    </w:p>
    <w:p w14:paraId="7CE324C3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Fundo animado</w:t>
      </w:r>
    </w:p>
    <w:p w14:paraId="310659EE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Privacidade e segurança</w:t>
      </w:r>
    </w:p>
    <w:p w14:paraId="5BB4DA7F" w14:textId="77777777" w:rsidR="007C09E7" w:rsidRDefault="007C09E7" w:rsidP="0068507D">
      <w:pPr>
        <w:numPr>
          <w:ilvl w:val="0"/>
          <w:numId w:val="1"/>
        </w:numPr>
        <w:spacing w:before="30" w:after="3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Glossário de renomeações</w:t>
      </w:r>
    </w:p>
    <w:p w14:paraId="442F2E93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308048E9">
          <v:rect id="_x0000_i1026" style="width:0;height:1.5pt" o:hralign="center" o:hrstd="t" o:hr="t" fillcolor="#a0a0a0" stroked="f"/>
        </w:pict>
      </w:r>
    </w:p>
    <w:p w14:paraId="611AA194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 Arquitetura geral</w:t>
      </w:r>
    </w:p>
    <w:p w14:paraId="55B5A55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SYNAPSE roda inteiramente no navegador do usuário. Não há servidor, banco de dados ou API própria associada à aplicação — o processamento das planilhas, os cálculos e a montagem dos gráficos acontecem no cliente.</w:t>
      </w:r>
    </w:p>
    <w:p w14:paraId="34952777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fluxo de uso segue esta sequência: o usuário carrega duas planilhas Excel; o </w:t>
      </w:r>
      <w:r>
        <w:rPr>
          <w:rStyle w:val="CdigoHTML"/>
          <w:color w:val="000000"/>
        </w:rPr>
        <w:t>FileReader</w:t>
      </w:r>
      <w:r>
        <w:rPr>
          <w:color w:val="000000"/>
        </w:rPr>
        <w:t xml:space="preserve">, API nativa do navegador, lê cada arquivo como </w:t>
      </w:r>
      <w:r>
        <w:rPr>
          <w:rStyle w:val="CdigoHTML"/>
          <w:color w:val="000000"/>
        </w:rPr>
        <w:t>ArrayBuffer</w:t>
      </w:r>
      <w:r>
        <w:rPr>
          <w:color w:val="000000"/>
        </w:rPr>
        <w:t xml:space="preserve">; a biblioteca SheetJS </w:t>
      </w:r>
      <w:r>
        <w:rPr>
          <w:color w:val="000000"/>
        </w:rPr>
        <w:lastRenderedPageBreak/>
        <w:t xml:space="preserve">converte o binário em um objeto de planilha (*workbook*); os parsers percorrem as abas relevantes e produzem arrays de objetos normalizados, armazenados em </w:t>
      </w:r>
      <w:r>
        <w:rPr>
          <w:rStyle w:val="CdigoHTML"/>
          <w:color w:val="000000"/>
        </w:rPr>
        <w:t>App.P.*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App.R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App.B</w:t>
      </w:r>
      <w:r>
        <w:rPr>
          <w:color w:val="000000"/>
        </w:rPr>
        <w:t xml:space="preserve">; cada função de construção de aba lê esses arrays, aplica o filtro de período ativo e monta o HTML correspondente; por fim, o Chart.js desenha os gráficos dentro dos elementos </w:t>
      </w:r>
      <w:r>
        <w:rPr>
          <w:rStyle w:val="CdigoHTML"/>
          <w:color w:val="000000"/>
        </w:rPr>
        <w:t>&lt;canvas&gt;</w:t>
      </w:r>
      <w:r>
        <w:rPr>
          <w:color w:val="000000"/>
        </w:rPr>
        <w:t xml:space="preserve"> inseridos na página.</w:t>
      </w:r>
    </w:p>
    <w:p w14:paraId="5917DBCB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Não há envio de dados para fora do navegador em nenhuma etapa desse fluxo — o código não contém chamadas de </w:t>
      </w:r>
      <w:r>
        <w:rPr>
          <w:rStyle w:val="CdigoHTML"/>
          <w:color w:val="000000"/>
        </w:rPr>
        <w:t>fetch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XMLHttpRequest</w:t>
      </w:r>
      <w:r>
        <w:rPr>
          <w:color w:val="000000"/>
        </w:rPr>
        <w:t xml:space="preserve"> ou </w:t>
      </w:r>
      <w:r>
        <w:rPr>
          <w:rStyle w:val="CdigoHTML"/>
          <w:color w:val="000000"/>
        </w:rPr>
        <w:t>WebSocket</w:t>
      </w:r>
      <w:r>
        <w:rPr>
          <w:color w:val="000000"/>
        </w:rPr>
        <w:t xml:space="preserve"> para nenhum servidor próprio. As únicas conexões de rede da página servem para carregar bibliotecas, ícones e fontes hospedados em CDN, que não recebem o conteúdo das planilhas.</w:t>
      </w:r>
    </w:p>
    <w:p w14:paraId="0357D33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1 — Bibliotecas externas utilizadas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425"/>
      </w:tblGrid>
      <w:tr w:rsidR="00000000" w14:paraId="093DEEE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4F927E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B3C29E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Finalidade</w:t>
            </w:r>
          </w:p>
        </w:tc>
      </w:tr>
      <w:tr w:rsidR="00000000" w14:paraId="2E99281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02128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SheetJS (</w:t>
            </w:r>
            <w:r>
              <w:rPr>
                <w:rStyle w:val="CdigoHTML"/>
                <w:color w:val="000000"/>
              </w:rPr>
              <w:t>xlsx.full.min.js</w:t>
            </w:r>
            <w:r>
              <w:rPr>
                <w:rFonts w:eastAsia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8D378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Leitura de arquivos </w:t>
            </w:r>
            <w:r>
              <w:rPr>
                <w:rStyle w:val="CdigoHTML"/>
                <w:color w:val="000000"/>
              </w:rPr>
              <w:t>.xlsx</w:t>
            </w:r>
            <w:r>
              <w:rPr>
                <w:rFonts w:eastAsia="Times New Roman"/>
                <w:color w:val="000000"/>
                <w:sz w:val="20"/>
                <w:szCs w:val="20"/>
              </w:rPr>
              <w:t>/</w:t>
            </w:r>
            <w:r>
              <w:rPr>
                <w:rStyle w:val="CdigoHTML"/>
                <w:color w:val="000000"/>
              </w:rPr>
              <w:t>.xls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no navegador</w:t>
            </w:r>
          </w:p>
        </w:tc>
      </w:tr>
      <w:tr w:rsidR="00000000" w14:paraId="57FE3B4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A4BF2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Chart.js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46BE4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Renderização dos gráficos de linha, barra e donut</w:t>
            </w:r>
          </w:p>
        </w:tc>
      </w:tr>
      <w:tr w:rsidR="00000000" w14:paraId="77D223C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33EC8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Tabler Icons (webfont)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05CE9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Ícones da interface</w:t>
            </w:r>
          </w:p>
        </w:tc>
      </w:tr>
      <w:tr w:rsidR="00000000" w14:paraId="61EA708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B395B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Google Fonts (Inter, Syne)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8329E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Tipografia</w:t>
            </w:r>
          </w:p>
        </w:tc>
      </w:tr>
    </w:tbl>
    <w:p w14:paraId="79EB07E9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4479DAE0">
          <v:rect id="_x0000_i1027" style="width:0;height:1.5pt" o:hralign="center" o:hrstd="t" o:hr="t" fillcolor="#a0a0a0" stroked="f"/>
        </w:pict>
      </w:r>
    </w:p>
    <w:p w14:paraId="489B69EF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 Estado global (</w:t>
      </w:r>
      <w:r>
        <w:rPr>
          <w:rStyle w:val="CdigoHTML"/>
          <w:color w:val="000000"/>
        </w:rPr>
        <w:t>App</w:t>
      </w:r>
      <w:r>
        <w:rPr>
          <w:rFonts w:eastAsia="Times New Roman"/>
          <w:color w:val="000000"/>
        </w:rPr>
        <w:t>)</w:t>
      </w:r>
    </w:p>
    <w:p w14:paraId="0D3BCC12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Um único objeto, </w:t>
      </w:r>
      <w:r>
        <w:rPr>
          <w:rStyle w:val="CdigoHTML"/>
          <w:color w:val="000000"/>
        </w:rPr>
        <w:t>App</w:t>
      </w:r>
      <w:r>
        <w:rPr>
          <w:color w:val="000000"/>
        </w:rPr>
        <w:t>, concentra todo o estado da aplicação e é compartilhado por todas as funções:</w:t>
      </w:r>
    </w:p>
    <w:p w14:paraId="4A1084A3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>App = {</w:t>
      </w:r>
    </w:p>
    <w:p w14:paraId="76BD4098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gov: null,           // workbook da Base Governança, após o upload</w:t>
      </w:r>
    </w:p>
    <w:p w14:paraId="55641030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rpa: null,            // workbook do relatório de Chamados RPA</w:t>
      </w:r>
    </w:p>
    <w:p w14:paraId="7ACDDCC6" w14:textId="77777777" w:rsidR="007C09E7" w:rsidRDefault="007C09E7" w:rsidP="0068507D">
      <w:pPr>
        <w:pStyle w:val="Pr-formataoHTML"/>
        <w:jc w:val="both"/>
        <w:rPr>
          <w:color w:val="000000"/>
        </w:rPr>
      </w:pPr>
    </w:p>
    <w:p w14:paraId="469B81E1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P: {</w:t>
      </w:r>
    </w:p>
    <w:p w14:paraId="56D26895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  improvements: [],  // Pipefy_Melhorias normalizado</w:t>
      </w:r>
    </w:p>
    <w:p w14:paraId="6102FFC8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  proj: [],          </w:t>
      </w:r>
      <w:r>
        <w:rPr>
          <w:color w:val="000000"/>
        </w:rPr>
        <w:t>// Projetos normalizado</w:t>
      </w:r>
    </w:p>
    <w:p w14:paraId="4B1B8BD3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  ana: []            // Analytics normalizado</w:t>
      </w:r>
    </w:p>
    <w:p w14:paraId="7ACFF444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},</w:t>
      </w:r>
    </w:p>
    <w:p w14:paraId="16DAD402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R: [],               // Chamados RPA normalizados</w:t>
      </w:r>
    </w:p>
    <w:p w14:paraId="64041B94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B: [],               // Inventário de Bots normalizado</w:t>
      </w:r>
    </w:p>
    <w:p w14:paraId="0CA2E837" w14:textId="77777777" w:rsidR="007C09E7" w:rsidRDefault="007C09E7" w:rsidP="0068507D">
      <w:pPr>
        <w:pStyle w:val="Pr-formataoHTML"/>
        <w:jc w:val="both"/>
        <w:rPr>
          <w:color w:val="000000"/>
        </w:rPr>
      </w:pPr>
    </w:p>
    <w:p w14:paraId="60B34B96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loaded: { gov:false, rpa:false },</w:t>
      </w:r>
    </w:p>
    <w:p w14:paraId="5967AFE1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dateRange: { mode:'all', from:null, to:null },</w:t>
      </w:r>
    </w:p>
    <w:p w14:paraId="79D32446" w14:textId="77777777" w:rsidR="007C09E7" w:rsidRDefault="007C09E7" w:rsidP="0068507D">
      <w:pPr>
        <w:pStyle w:val="Pr-formataoHTML"/>
        <w:jc w:val="both"/>
        <w:rPr>
          <w:color w:val="000000"/>
        </w:rPr>
      </w:pPr>
    </w:p>
    <w:p w14:paraId="342393F5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projOpen: new Set(),</w:t>
      </w:r>
    </w:p>
    <w:p w14:paraId="53EFE1AA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projChips: { atraso:false, risco:false },</w:t>
      </w:r>
    </w:p>
    <w:p w14:paraId="34B1116C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govFrente: '',</w:t>
      </w:r>
    </w:p>
    <w:p w14:paraId="07F62DD6" w14:textId="77777777" w:rsidR="007C09E7" w:rsidRDefault="007C09E7" w:rsidP="0068507D">
      <w:pPr>
        <w:pStyle w:val="Pr-formataoHTML"/>
        <w:jc w:val="both"/>
        <w:rPr>
          <w:color w:val="000000"/>
        </w:rPr>
      </w:pPr>
    </w:p>
    <w:p w14:paraId="0A4916CE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botsOpen: new Set(),</w:t>
      </w:r>
    </w:p>
    <w:p w14:paraId="30FC88D2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 xml:space="preserve">  rpaWarn: ''</w:t>
      </w:r>
    </w:p>
    <w:p w14:paraId="6319ABAA" w14:textId="77777777" w:rsidR="007C09E7" w:rsidRDefault="007C09E7" w:rsidP="0068507D">
      <w:pPr>
        <w:pStyle w:val="Pr-formataoHTML"/>
        <w:jc w:val="both"/>
        <w:rPr>
          <w:color w:val="000000"/>
        </w:rPr>
      </w:pPr>
      <w:r>
        <w:rPr>
          <w:color w:val="000000"/>
        </w:rPr>
        <w:t>}</w:t>
      </w:r>
    </w:p>
    <w:p w14:paraId="6ADB8E9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lastRenderedPageBreak/>
        <w:t xml:space="preserve">Nada nesse objeto é persistido entre sessões. Ao recarregar a página, todo o estado volta ao valor inicial e é necessário carregar as planilhas novamente. A única exceção é o registro de atividades da aba Pipefy Melhorias, gravado em </w:t>
      </w:r>
      <w:r>
        <w:rPr>
          <w:rStyle w:val="CdigoHTML"/>
          <w:color w:val="000000"/>
        </w:rPr>
        <w:t>localStorage</w:t>
      </w:r>
      <w:r>
        <w:rPr>
          <w:color w:val="000000"/>
        </w:rPr>
        <w:t xml:space="preserve"> e descrito na seção 13.</w:t>
      </w:r>
    </w:p>
    <w:p w14:paraId="03FB38E4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11CEA11D">
          <v:rect id="_x0000_i1028" style="width:0;height:1.5pt" o:hralign="center" o:hrstd="t" o:hr="t" fillcolor="#a0a0a0" stroked="f"/>
        </w:pict>
      </w:r>
    </w:p>
    <w:p w14:paraId="57C22F1C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 Tela de upload</w:t>
      </w:r>
    </w:p>
    <w:p w14:paraId="4F962C6C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 tela inicial apresenta dois cartões de upload lado a lado — Base Governança e Chamados RPA. Cada cartão funciona como uma área de arraste e soltura (*dropzone*).</w:t>
      </w:r>
    </w:p>
    <w:p w14:paraId="4F33109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2 — Interações da área de upload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5950"/>
      </w:tblGrid>
      <w:tr w:rsidR="00000000" w14:paraId="4CB46C4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1127A8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Ação do usuário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2B42F5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Função acionada</w:t>
            </w:r>
          </w:p>
        </w:tc>
      </w:tr>
      <w:tr w:rsidR="00000000" w14:paraId="3094DF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AA86E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Clique na área tracejada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6451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Aciona o </w:t>
            </w:r>
            <w:r>
              <w:rPr>
                <w:rStyle w:val="CdigoHTML"/>
                <w:color w:val="000000"/>
              </w:rPr>
              <w:t>&lt;input type="file"&gt;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oculto, abrindo o seletor de arquivos do sistema</w:t>
            </w:r>
          </w:p>
        </w:tc>
      </w:tr>
      <w:tr w:rsidR="00000000" w14:paraId="7369D85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3F527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Arrastar um arquivo sobre a área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4C7D2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handleDropzoneDragOver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— destaca a área com a classe </w:t>
            </w:r>
            <w:r>
              <w:rPr>
                <w:rStyle w:val="CdigoHTML"/>
                <w:color w:val="000000"/>
              </w:rPr>
              <w:t>.over</w:t>
            </w:r>
          </w:p>
        </w:tc>
      </w:tr>
      <w:tr w:rsidR="00000000" w14:paraId="5FB07E2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9CA08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Arrastar para fora da área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C618C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handleDropzoneDragLeave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— remove o destaque</w:t>
            </w:r>
          </w:p>
        </w:tc>
      </w:tr>
      <w:tr w:rsidR="00000000" w14:paraId="610741F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E56AE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Soltar o arquivo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43D32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handleDropzoneDrop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— lê o arquivo solto e chama </w:t>
            </w:r>
            <w:r>
              <w:rPr>
                <w:rStyle w:val="CdigoHTML"/>
                <w:color w:val="000000"/>
              </w:rPr>
              <w:t>readFile</w:t>
            </w:r>
          </w:p>
        </w:tc>
      </w:tr>
      <w:tr w:rsidR="00000000" w14:paraId="3B67D59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7AD50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Selecionar o arquivo pelo seletor do sistema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4A889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handleFileInputChange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— chama </w:t>
            </w:r>
            <w:r>
              <w:rPr>
                <w:rStyle w:val="CdigoHTML"/>
                <w:color w:val="000000"/>
              </w:rPr>
              <w:t>readFile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sobre o arquivo escolhido</w:t>
            </w:r>
          </w:p>
        </w:tc>
      </w:tr>
    </w:tbl>
    <w:p w14:paraId="197AB52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função </w:t>
      </w:r>
      <w:r>
        <w:rPr>
          <w:rStyle w:val="CdigoHTML"/>
          <w:color w:val="000000"/>
        </w:rPr>
        <w:t>readFile</w:t>
      </w:r>
      <w:r>
        <w:rPr>
          <w:color w:val="000000"/>
        </w:rPr>
        <w:t xml:space="preserve"> cria um </w:t>
      </w:r>
      <w:r>
        <w:rPr>
          <w:rStyle w:val="CdigoHTML"/>
          <w:color w:val="000000"/>
        </w:rPr>
        <w:t>FileReader</w:t>
      </w:r>
      <w:r>
        <w:rPr>
          <w:color w:val="000000"/>
        </w:rPr>
        <w:t xml:space="preserve"> e lê o conteúdo como </w:t>
      </w:r>
      <w:r>
        <w:rPr>
          <w:rStyle w:val="CdigoHTML"/>
          <w:color w:val="000000"/>
        </w:rPr>
        <w:t>ArrayBuffer</w:t>
      </w:r>
      <w:r>
        <w:rPr>
          <w:color w:val="000000"/>
        </w:rPr>
        <w:t xml:space="preserve">. Ao concluir a leitura, </w:t>
      </w:r>
      <w:r>
        <w:rPr>
          <w:rStyle w:val="CdigoHTML"/>
          <w:color w:val="000000"/>
        </w:rPr>
        <w:t>XLSX.read()</w:t>
      </w:r>
      <w:r>
        <w:rPr>
          <w:color w:val="000000"/>
        </w:rPr>
        <w:t xml:space="preserve"> converte os bytes em um workbook, com a opção </w:t>
      </w:r>
      <w:r>
        <w:rPr>
          <w:rStyle w:val="CdigoHTML"/>
          <w:color w:val="000000"/>
        </w:rPr>
        <w:t>cellDates:true</w:t>
      </w:r>
      <w:r>
        <w:rPr>
          <w:color w:val="000000"/>
        </w:rPr>
        <w:t xml:space="preserve">, que faz o SheetJS retornar objetos </w:t>
      </w:r>
      <w:r>
        <w:rPr>
          <w:rStyle w:val="CdigoHTML"/>
          <w:color w:val="000000"/>
        </w:rPr>
        <w:t>Date</w:t>
      </w:r>
      <w:r>
        <w:rPr>
          <w:color w:val="000000"/>
        </w:rPr>
        <w:t xml:space="preserve"> nativos em vez do número serial usado internamente pelo Excel. O workbook resultante é armazenado em </w:t>
      </w:r>
      <w:r>
        <w:rPr>
          <w:rStyle w:val="CdigoHTML"/>
          <w:color w:val="000000"/>
        </w:rPr>
        <w:t>App.gov</w:t>
      </w:r>
      <w:r>
        <w:rPr>
          <w:color w:val="000000"/>
        </w:rPr>
        <w:t xml:space="preserve"> ou </w:t>
      </w:r>
      <w:r>
        <w:rPr>
          <w:rStyle w:val="CdigoHTML"/>
          <w:color w:val="000000"/>
        </w:rPr>
        <w:t>App.rpa</w:t>
      </w:r>
      <w:r>
        <w:rPr>
          <w:color w:val="000000"/>
        </w:rPr>
        <w:t xml:space="preserve">, conforme o tipo de upload, e as funções </w:t>
      </w:r>
      <w:r>
        <w:rPr>
          <w:rStyle w:val="CdigoHTML"/>
          <w:color w:val="000000"/>
        </w:rPr>
        <w:t>showOk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updateBar</w:t>
      </w:r>
      <w:r>
        <w:rPr>
          <w:color w:val="000000"/>
        </w:rPr>
        <w:t xml:space="preserve"> atualizam a interface.</w:t>
      </w:r>
    </w:p>
    <w:p w14:paraId="1383D60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função </w:t>
      </w:r>
      <w:r>
        <w:rPr>
          <w:rStyle w:val="CdigoHTML"/>
          <w:color w:val="000000"/>
        </w:rPr>
        <w:t>showOk</w:t>
      </w:r>
      <w:r>
        <w:rPr>
          <w:color w:val="000000"/>
        </w:rPr>
        <w:t xml:space="preserve"> confirma visualmente o upload e, no caso da Base Governança, verifica quais das quatro abas esperadas (</w:t>
      </w:r>
      <w:r>
        <w:rPr>
          <w:rStyle w:val="CdigoHTML"/>
          <w:color w:val="000000"/>
        </w:rPr>
        <w:t>Pipefy_Melhorias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Projetos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Analytics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Inventario_RPA</w:t>
      </w:r>
      <w:r>
        <w:rPr>
          <w:color w:val="000000"/>
        </w:rPr>
        <w:t xml:space="preserve">) foram encontradas no arquivo, com comparação tolerante a maiúsculas, espaços e underscores. Um diagnóstico adicional varre as colunas da aba </w:t>
      </w:r>
      <w:r>
        <w:rPr>
          <w:rStyle w:val="CdigoHTML"/>
          <w:color w:val="000000"/>
        </w:rPr>
        <w:t>Pipefy_Melhorias</w:t>
      </w:r>
      <w:r>
        <w:rPr>
          <w:color w:val="000000"/>
        </w:rPr>
        <w:t xml:space="preserve"> em busca de termos como "data", "criado", "início" ou "conclusão", útil para identificar rapidamente se o nome de uma coluna de data foi alterado na planilha de origem.</w:t>
      </w:r>
    </w:p>
    <w:p w14:paraId="43B6D456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função </w:t>
      </w:r>
      <w:r>
        <w:rPr>
          <w:rStyle w:val="CdigoHTML"/>
          <w:color w:val="000000"/>
        </w:rPr>
        <w:t>updateBar</w:t>
      </w:r>
      <w:r>
        <w:rPr>
          <w:color w:val="000000"/>
        </w:rPr>
        <w:t xml:space="preserve"> </w:t>
      </w:r>
      <w:r>
        <w:rPr>
          <w:color w:val="000000"/>
        </w:rPr>
        <w:t>conta quantos dos dois arquivos já foram carregados e habilita o botão "Gerar dashboard" assim que pelo menos um deles estiver presente — não é necessário carregar as duas bases simultaneamente. As abas que dependem da fonte ausente exibem apenas uma mensagem informando que não há dados carregados.</w:t>
      </w:r>
    </w:p>
    <w:p w14:paraId="57FCC281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3F0791EE">
          <v:rect id="_x0000_i1029" style="width:0;height:1.5pt" o:hralign="center" o:hrstd="t" o:hr="t" fillcolor="#a0a0a0" stroked="f"/>
        </w:pict>
      </w:r>
    </w:p>
    <w:p w14:paraId="16BEB1D9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 Geração do dashboard</w:t>
      </w:r>
    </w:p>
    <w:p w14:paraId="2CB9834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função </w:t>
      </w:r>
      <w:r>
        <w:rPr>
          <w:rStyle w:val="CdigoHTML"/>
          <w:color w:val="000000"/>
        </w:rPr>
        <w:t>generate</w:t>
      </w:r>
      <w:r>
        <w:rPr>
          <w:color w:val="000000"/>
        </w:rPr>
        <w:t xml:space="preserve"> orquestra a construção do dashboard a partir das planilhas carregadas, executando as seguintes etapas em sequência:</w:t>
      </w:r>
    </w:p>
    <w:p w14:paraId="63EE5CDC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lastRenderedPageBreak/>
        <w:t xml:space="preserve">Primeiro, todas as instâncias ativas do Chart.js são destruídas e o contador de identificadores é zerado, evitando o erro de canvas duplicado ao gerar o dashboard mais de uma vez na mesma sessão. Em seguida, os parsers correspondentes às fontes carregadas são executados — </w:t>
      </w:r>
      <w:r>
        <w:rPr>
          <w:rStyle w:val="CdigoHTML"/>
          <w:color w:val="000000"/>
        </w:rPr>
        <w:t>parseGov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parseInv</w:t>
      </w:r>
      <w:r>
        <w:rPr>
          <w:color w:val="000000"/>
        </w:rPr>
        <w:t xml:space="preserve"> para a Base Governança, </w:t>
      </w:r>
      <w:r>
        <w:rPr>
          <w:rStyle w:val="CdigoHTML"/>
          <w:color w:val="000000"/>
        </w:rPr>
        <w:t>parseRPA</w:t>
      </w:r>
      <w:r>
        <w:rPr>
          <w:color w:val="000000"/>
        </w:rPr>
        <w:t xml:space="preserve"> para o relatório de chamados — seguidos por </w:t>
      </w:r>
      <w:r>
        <w:rPr>
          <w:rStyle w:val="CdigoHTML"/>
          <w:color w:val="000000"/>
        </w:rPr>
        <w:t>enrichRPAWithArea</w:t>
      </w:r>
      <w:r>
        <w:rPr>
          <w:color w:val="000000"/>
        </w:rPr>
        <w:t>, que roda mesmo quando uma das fontes está ausente.</w:t>
      </w:r>
    </w:p>
    <w:p w14:paraId="4A6D5FDA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partir dos dados normalizados, o sistema calcula o intervalo de datas coberto pela planilha e define esse intervalo como limite dos campos de data do filtro de período, impedindo a seleção de datas fora do que a base realmente contém. Cada aba é então construída dentro de um bloco </w:t>
      </w:r>
      <w:r>
        <w:rPr>
          <w:rStyle w:val="CdigoHTML"/>
          <w:color w:val="000000"/>
        </w:rPr>
        <w:t>try/catch</w:t>
      </w:r>
      <w:r>
        <w:rPr>
          <w:color w:val="000000"/>
        </w:rPr>
        <w:t xml:space="preserve"> independente, de modo que uma falha de renderização em uma aba não interrompa as demais — o erro, quando ocorre, é registrado apenas no console do navegador.</w:t>
      </w:r>
    </w:p>
    <w:p w14:paraId="610318AB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Por fim, o texto de sincronização no topo da página é atualizado com o horário da geração e as fontes carregadas, a barra de filtro de período e o botão de exportação em PDF são exibidos, e a navegação é direcionada automaticamente para a aba Painel de Controle.</w:t>
      </w:r>
    </w:p>
    <w:p w14:paraId="4ED6363B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20761A60">
          <v:rect id="_x0000_i1030" style="width:0;height:1.5pt" o:hralign="center" o:hrstd="t" o:hr="t" fillcolor="#a0a0a0" stroked="f"/>
        </w:pict>
      </w:r>
    </w:p>
    <w:p w14:paraId="0AEB54AC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 Leitura e transformação das planilhas</w:t>
      </w:r>
    </w:p>
    <w:p w14:paraId="011BF8CB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5.1 Detecção de abas</w:t>
      </w:r>
    </w:p>
    <w:p w14:paraId="292440F7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sistema não exige nomes exatos de aba. A comparação ignora maiúsculas, minúsculas, espaços e underscores, de modo que </w:t>
      </w:r>
      <w:r>
        <w:rPr>
          <w:rStyle w:val="CdigoHTML"/>
          <w:color w:val="000000"/>
        </w:rPr>
        <w:t>Pipefy_Melhorias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pipefymelhorias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PIPEFY MELHORIAS</w:t>
      </w:r>
      <w:r>
        <w:rPr>
          <w:color w:val="000000"/>
        </w:rPr>
        <w:t xml:space="preserve"> </w:t>
      </w:r>
      <w:r>
        <w:rPr>
          <w:color w:val="000000"/>
        </w:rPr>
        <w:t>são reconhecidos como a mesma aba.</w:t>
      </w:r>
    </w:p>
    <w:p w14:paraId="6EDD0691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Para o relatório de Chamados RPA, cujo nome de aba varia entre exportações do Pipefy, o sistema testa todas as abas do arquivo e atribui uma pontuação a cada uma, de acordo com a presença de colunas características de um relatório de chamados: </w:t>
      </w:r>
      <w:r>
        <w:rPr>
          <w:rStyle w:val="CdigoHTML"/>
          <w:color w:val="000000"/>
        </w:rPr>
        <w:t>Código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Fase atual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Processo</w:t>
      </w:r>
      <w:r>
        <w:rPr>
          <w:color w:val="000000"/>
        </w:rPr>
        <w:t xml:space="preserve">, uma coluna relacionada a "qual é o problema" e </w:t>
      </w:r>
      <w:r>
        <w:rPr>
          <w:rStyle w:val="CdigoHTML"/>
          <w:color w:val="000000"/>
        </w:rPr>
        <w:t>Criado em</w:t>
      </w:r>
      <w:r>
        <w:rPr>
          <w:color w:val="000000"/>
        </w:rPr>
        <w:t xml:space="preserve">. A aba com maior pontuação é selecionada. Quando nenhuma aba atinge ao menos duas dessas colunas, o sistema não tenta adivinhar: deixa </w:t>
      </w:r>
      <w:r>
        <w:rPr>
          <w:rStyle w:val="CdigoHTML"/>
          <w:color w:val="000000"/>
        </w:rPr>
        <w:t>App.R</w:t>
      </w:r>
      <w:r>
        <w:rPr>
          <w:color w:val="000000"/>
        </w:rPr>
        <w:t xml:space="preserve"> </w:t>
      </w:r>
      <w:r>
        <w:rPr>
          <w:color w:val="000000"/>
        </w:rPr>
        <w:t>vazio e exibe um aviso informando que o arquivo carregado não corresponde a um relatório de chamados válido.</w:t>
      </w:r>
    </w:p>
    <w:p w14:paraId="3051CEEB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5.2 Pipefy_Melhorias → </w:t>
      </w:r>
      <w:r>
        <w:rPr>
          <w:rStyle w:val="CdigoHTML"/>
          <w:color w:val="000000"/>
        </w:rPr>
        <w:t>App.P.improvements</w:t>
      </w:r>
    </w:p>
    <w:p w14:paraId="4D7BCE55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3 — Campos normalizados de Pipefy_Melhorias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187"/>
        <w:gridCol w:w="3540"/>
      </w:tblGrid>
      <w:tr w:rsidR="00000000" w14:paraId="35AB7D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A77F3A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 interno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C8A093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Coluna de origem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C4EC55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</w:tr>
      <w:tr w:rsidR="00000000" w14:paraId="0AA508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F1E52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num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F0291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65F64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265E4B7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4ED37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frente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12A0B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AD7B4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área de negócio (P2P, O2C etc.)</w:t>
            </w:r>
          </w:p>
        </w:tc>
      </w:tr>
      <w:tr w:rsidR="00000000" w14:paraId="7E0D5B9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82503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fluxo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4C90C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NomeFluxo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5B9FC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nome do fluxo de processo</w:t>
            </w:r>
          </w:p>
        </w:tc>
      </w:tr>
      <w:tr w:rsidR="00000000" w14:paraId="428D8E0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7EFEC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00F32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7E123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descrição da melhoria</w:t>
            </w:r>
          </w:p>
        </w:tc>
      </w:tr>
      <w:tr w:rsidR="00000000" w14:paraId="6F72CF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8EE91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lastRenderedPageBreak/>
              <w:t>statusRaw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91719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C0BF2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texto original da planilha</w:t>
            </w:r>
          </w:p>
        </w:tc>
      </w:tr>
      <w:tr w:rsidR="00000000" w14:paraId="366892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97FD1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sc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D64D2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Status, via </w:t>
            </w:r>
            <w:r>
              <w:rPr>
                <w:rStyle w:val="CdigoHTML"/>
                <w:color w:val="000000"/>
              </w:rPr>
              <w:t>classeStatusMelhoria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59ADA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ver seção 6; "Planejamento" conta como </w:t>
            </w:r>
            <w:r>
              <w:rPr>
                <w:rStyle w:val="CdigoHTML"/>
                <w:color w:val="000000"/>
              </w:rPr>
              <w:t>doing</w:t>
            </w:r>
          </w:p>
        </w:tc>
      </w:tr>
      <w:tr w:rsidR="00000000" w14:paraId="70AC1B5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CECB1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resp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52E51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Responsavel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2B56C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remove um caractere de espaço de largura zero comum em colagens do Excel</w:t>
            </w:r>
          </w:p>
        </w:tc>
      </w:tr>
      <w:tr w:rsidR="00000000" w14:paraId="1B6E03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A150F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champion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ABD97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Champion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C36E5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00C4B2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94F91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258A0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2C123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6F930E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F770B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tipo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C9F3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TipoMelhoriaAjuste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64A17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7A3FCFD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B3326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dtInicio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A0F39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DataInicioDesenvolvimento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AD591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sem coluna alternativa</w:t>
            </w:r>
          </w:p>
        </w:tc>
      </w:tr>
      <w:tr w:rsidR="00000000" w14:paraId="07176F2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169C4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dtFim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75B91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DataRealEstimadaConclusaoValidacaoChampion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4A7FD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sem coluna alternativa</w:t>
            </w:r>
          </w:p>
        </w:tc>
      </w:tr>
      <w:tr w:rsidR="00000000" w14:paraId="2601940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10751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horas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692DE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QtdHorasEstimadas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13C1E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2599A33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Linhas sem </w:t>
      </w:r>
      <w:r>
        <w:rPr>
          <w:rStyle w:val="CdigoHTML"/>
          <w:color w:val="000000"/>
        </w:rPr>
        <w:t>num</w:t>
      </w:r>
      <w:r>
        <w:rPr>
          <w:color w:val="000000"/>
        </w:rPr>
        <w:t xml:space="preserve"> e sem </w:t>
      </w:r>
      <w:r>
        <w:rPr>
          <w:rStyle w:val="CdigoHTML"/>
          <w:color w:val="000000"/>
        </w:rPr>
        <w:t>atividade</w:t>
      </w:r>
      <w:r>
        <w:rPr>
          <w:color w:val="000000"/>
        </w:rPr>
        <w:t xml:space="preserve"> são descartadas. Melhorias de backlog sem </w:t>
      </w:r>
      <w:r>
        <w:rPr>
          <w:rStyle w:val="CdigoHTML"/>
          <w:color w:val="000000"/>
        </w:rPr>
        <w:t>dtInicio</w:t>
      </w:r>
      <w:r>
        <w:rPr>
          <w:color w:val="000000"/>
        </w:rPr>
        <w:t xml:space="preserve"> nem </w:t>
      </w:r>
      <w:r>
        <w:rPr>
          <w:rStyle w:val="CdigoHTML"/>
          <w:color w:val="000000"/>
        </w:rPr>
        <w:t>dtFim</w:t>
      </w:r>
      <w:r>
        <w:rPr>
          <w:color w:val="000000"/>
        </w:rPr>
        <w:t xml:space="preserve"> </w:t>
      </w:r>
      <w:r>
        <w:rPr>
          <w:color w:val="000000"/>
        </w:rPr>
        <w:t>são sempre incluídas quando o filtro de período está ativo, por representarem trabalho pendente e não histórico.</w:t>
      </w:r>
    </w:p>
    <w:p w14:paraId="121775C9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5.3 Projetos → </w:t>
      </w:r>
      <w:r>
        <w:rPr>
          <w:rStyle w:val="CdigoHTML"/>
          <w:color w:val="000000"/>
        </w:rPr>
        <w:t>App.P.proj</w:t>
      </w:r>
    </w:p>
    <w:p w14:paraId="290E5CB7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parser reconhece automaticamente duas versões de layout da planilha. No layout atual, a coluna Status contém valores reconhecíveis pela função de classificação, e os campos são lidos pelo nome da coluna (</w:t>
      </w:r>
      <w:r>
        <w:rPr>
          <w:rStyle w:val="CdigoHTML"/>
          <w:color w:val="000000"/>
        </w:rPr>
        <w:t>Numero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Titulo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Responsavel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AreaCliente</w:t>
      </w:r>
      <w:r>
        <w:rPr>
          <w:color w:val="000000"/>
        </w:rPr>
        <w:t xml:space="preserve"> ou </w:t>
      </w:r>
      <w:r>
        <w:rPr>
          <w:rStyle w:val="CdigoHTML"/>
          <w:color w:val="000000"/>
        </w:rPr>
        <w:t>Frente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PontoFocal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Status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PrazoConclusão</w:t>
      </w:r>
      <w:r>
        <w:rPr>
          <w:color w:val="000000"/>
        </w:rPr>
        <w:t>, entre outros). Quando nenhum valor de Status é reconhecido, o sistema assume uma versão anterior da planilha, na qual os cabeçalhos estão deslocados uma coluna em relação ao conteúdo, e passa a ler por posição: coluna 0 corresponde ao número, 1 ao título, 2 ao responsável, e assim por diante. Em ambos os casos, linhas sem título são descartadas.</w:t>
      </w:r>
    </w:p>
    <w:p w14:paraId="270790E7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5.4 Analytics → </w:t>
      </w:r>
      <w:r>
        <w:rPr>
          <w:rStyle w:val="CdigoHTML"/>
          <w:color w:val="000000"/>
        </w:rPr>
        <w:t>App.P.ana</w:t>
      </w:r>
    </w:p>
    <w:p w14:paraId="684EBF23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4 — Campos normalizados de Analytics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045"/>
        <w:gridCol w:w="5150"/>
      </w:tblGrid>
      <w:tr w:rsidR="00000000" w14:paraId="0A03B2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79E06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460CC5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Coluna de origem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64AB13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</w:tr>
      <w:tr w:rsidR="00000000" w14:paraId="7ED8DAC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E94D5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num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49D86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Numero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00C02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5A1308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4D13A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F8AD8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264AD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linhas sem título são descartadas</w:t>
            </w:r>
          </w:p>
        </w:tc>
      </w:tr>
      <w:tr w:rsidR="00000000" w14:paraId="06817E2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317FA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lastRenderedPageBreak/>
              <w:t>statusRaw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000000"/>
              </w:rPr>
              <w:t>sc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FA3CA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F57B2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classificação padrão, sem a regra especial do Pipefy</w:t>
            </w:r>
          </w:p>
        </w:tc>
      </w:tr>
      <w:tr w:rsidR="00000000" w14:paraId="5099E60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D0630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prio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72B48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840AA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extrai apenas o número do texto</w:t>
            </w:r>
          </w:p>
        </w:tc>
      </w:tr>
      <w:tr w:rsidR="00000000" w14:paraId="54C762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19DB2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frente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F94DB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Frente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28656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23CDAA1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28531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resp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09341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Responsavel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1F09F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747E7C8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02DCA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dtInicio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D85B5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DataAbertura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34326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00000" w14:paraId="67A51B1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7CEC9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dtFim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8E104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DataFechamento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13A4C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440E29E9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5.5 Inventario_RPA → </w:t>
      </w:r>
      <w:r>
        <w:rPr>
          <w:rStyle w:val="CdigoHTML"/>
          <w:color w:val="000000"/>
        </w:rPr>
        <w:t>App.B</w:t>
      </w:r>
    </w:p>
    <w:p w14:paraId="6E6AAB9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5 — Campos normalizados do inventário de bots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728"/>
        <w:gridCol w:w="5907"/>
      </w:tblGrid>
      <w:tr w:rsidR="00000000" w14:paraId="533DF30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45481A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EBC053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Coluna de origem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3DF071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</w:tr>
      <w:tr w:rsidR="00000000" w14:paraId="6E8E9E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A1DE9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nome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E5086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NomeRPA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80C83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linhas sem nome são descartadas</w:t>
            </w:r>
          </w:p>
        </w:tc>
      </w:tr>
      <w:tr w:rsidR="00000000" w14:paraId="32CC09F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582D1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perimetro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C7DE6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Perimetro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ABA45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Brasil, MEX, ARG etc.</w:t>
            </w:r>
          </w:p>
        </w:tc>
      </w:tr>
      <w:tr w:rsidR="00000000" w14:paraId="5874111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A7961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area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36854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A44EE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P2P, TAX, H2R etc.</w:t>
            </w:r>
          </w:p>
        </w:tc>
      </w:tr>
      <w:tr w:rsidR="00000000" w14:paraId="7EBCA8C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188E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AD2FE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1376A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convertido para maiúsculas: PRD, DEV, BACKLOG, CANCELADO, DESATIVADO</w:t>
            </w:r>
          </w:p>
        </w:tc>
      </w:tr>
      <w:tr w:rsidR="00000000" w14:paraId="476E419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A4DE8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anoPrd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F88B2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AnoPRD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FE0E0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ano de entrada em produção, usado no filtro de período específico desta aba</w:t>
            </w:r>
          </w:p>
        </w:tc>
      </w:tr>
      <w:tr w:rsidR="00000000" w14:paraId="15DFD60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D65BF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criticidade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943D4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Criticidade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00699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(crítica) a 4 (baixa)</w:t>
            </w:r>
          </w:p>
        </w:tc>
      </w:tr>
      <w:tr w:rsidR="00000000" w14:paraId="39E83B8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22439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873C5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238D1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FTEs economizados</w:t>
            </w:r>
          </w:p>
        </w:tc>
      </w:tr>
      <w:tr w:rsidR="00000000" w14:paraId="70652EC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40FFF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vol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A8709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VolumetriaMensal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F4EE4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transações por mês</w:t>
            </w:r>
          </w:p>
        </w:tc>
      </w:tr>
    </w:tbl>
    <w:p w14:paraId="74C11342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5.6 Relatório de Chamados RPA → </w:t>
      </w:r>
      <w:r>
        <w:rPr>
          <w:rStyle w:val="CdigoHTML"/>
          <w:color w:val="000000"/>
        </w:rPr>
        <w:t>App.R</w:t>
      </w:r>
    </w:p>
    <w:p w14:paraId="2E0CD260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6 — Campos normalizados dos chamados RPA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250"/>
        <w:gridCol w:w="4953"/>
      </w:tblGrid>
      <w:tr w:rsidR="00000000" w14:paraId="2AE2C4E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EF690B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9D9F5D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Coluna de origem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F7A0DC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</w:tr>
      <w:tr w:rsidR="00000000" w14:paraId="526935D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A7C4F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cod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3C917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A5A2F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linhas sem código são descartadas</w:t>
            </w:r>
          </w:p>
        </w:tc>
      </w:tr>
      <w:tr w:rsidR="00000000" w14:paraId="0B2EA72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446D9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2C77C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Fase atual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FB927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fase corrente no fluxo do Pipefy</w:t>
            </w:r>
          </w:p>
        </w:tc>
      </w:tr>
      <w:tr w:rsidR="00000000" w14:paraId="390693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FB81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processo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D74A2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Processo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44087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nome do bot; vazio vira </w:t>
            </w:r>
            <w:r>
              <w:rPr>
                <w:rStyle w:val="CdigoHTML"/>
                <w:color w:val="000000"/>
              </w:rPr>
              <w:t>(sem processo)</w:t>
            </w:r>
          </w:p>
        </w:tc>
      </w:tr>
      <w:tr w:rsidR="00000000" w14:paraId="291BCF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4A0C0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solicitante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BC561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Nome do solicitante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3F794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quem abriu o chamado</w:t>
            </w:r>
          </w:p>
        </w:tc>
      </w:tr>
      <w:tr w:rsidR="00000000" w14:paraId="72608C8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37CD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responsaveis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3930C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Responsáveis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101E2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quem atende o chamado, armazenado como lista</w:t>
            </w:r>
          </w:p>
        </w:tc>
      </w:tr>
      <w:tr w:rsidR="00000000" w14:paraId="0871B2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FB641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criado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3BB2C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Criado 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464FD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de abertura</w:t>
            </w:r>
          </w:p>
        </w:tc>
      </w:tr>
      <w:tr w:rsidR="00000000" w14:paraId="5548B65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E888C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dtFim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D3293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Finalizado 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E1A37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de conclusão</w:t>
            </w:r>
          </w:p>
        </w:tc>
      </w:tr>
      <w:tr w:rsidR="00000000" w14:paraId="190A1BC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8804B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mes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2ABE6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derivado de </w:t>
            </w:r>
            <w:r>
              <w:rPr>
                <w:rStyle w:val="CdigoHTML"/>
                <w:color w:val="000000"/>
              </w:rPr>
              <w:t>criado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D70C9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chave no formato AAAA-MM</w:t>
            </w:r>
          </w:p>
        </w:tc>
      </w:tr>
      <w:tr w:rsidR="00000000" w14:paraId="343C326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D75F0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vencido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64836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Vencido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12D32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aceita booleano ou texto "true"/"sim"</w:t>
            </w:r>
          </w:p>
        </w:tc>
      </w:tr>
    </w:tbl>
    <w:p w14:paraId="04655C3A" w14:textId="77777777" w:rsidR="007C09E7" w:rsidRDefault="007C09E7" w:rsidP="0068507D">
      <w:pPr>
        <w:pStyle w:val="Ttulo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5.7 Identificação da área de cada chamado</w:t>
      </w:r>
    </w:p>
    <w:p w14:paraId="3F8FDE42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Os chamados RPA não têm coluna de área na planilha de origem. A função </w:t>
      </w:r>
      <w:r>
        <w:rPr>
          <w:rStyle w:val="CdigoHTML"/>
          <w:color w:val="000000"/>
        </w:rPr>
        <w:t>enrichRPAWithArea</w:t>
      </w:r>
      <w:r>
        <w:rPr>
          <w:color w:val="000000"/>
        </w:rPr>
        <w:t xml:space="preserve"> </w:t>
      </w:r>
      <w:r>
        <w:rPr>
          <w:color w:val="000000"/>
        </w:rPr>
        <w:t xml:space="preserve">resolve essa informação em duas etapas: primeiro tenta um cruzamento com o inventário de bots, comparando os nomes normalizados (sem prefixos entre colchetes, sem acentuação, sem espaços) e verificando se um nome contém o outro; quando esse cruzamento falha, aplica um conjunto de regras por palavra-chave — processos com termos como "bank statement" ou "payment run" são atribuídos a P2P, termos relacionados a impostos a TAX, e assim por diante. Chamados que não se encaixam em nenhuma das duas regras recebem </w:t>
      </w:r>
      <w:r>
        <w:rPr>
          <w:color w:val="000000"/>
        </w:rPr>
        <w:t>a marcação</w:t>
      </w:r>
      <w:r>
        <w:rPr>
          <w:color w:val="000000"/>
        </w:rPr>
        <w:t xml:space="preserve"> </w:t>
      </w:r>
      <w:r>
        <w:rPr>
          <w:rStyle w:val="CdigoHTML"/>
          <w:color w:val="000000"/>
        </w:rPr>
        <w:t>(não mapeada)</w:t>
      </w:r>
      <w:r>
        <w:rPr>
          <w:color w:val="000000"/>
        </w:rPr>
        <w:t>.</w:t>
      </w:r>
    </w:p>
    <w:p w14:paraId="0D4E64DE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6DDE9037">
          <v:rect id="_x0000_i1031" style="width:0;height:1.5pt" o:hralign="center" o:hrstd="t" o:hr="t" fillcolor="#a0a0a0" stroked="f"/>
        </w:pict>
      </w:r>
    </w:p>
    <w:p w14:paraId="138058CA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 Normalização de status</w:t>
      </w:r>
    </w:p>
    <w:p w14:paraId="3DDB0371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Internamente, o sistema nunca compara o texto bruto de status vindo da planilha — trabalha com um código normalizado (</w:t>
      </w:r>
      <w:r>
        <w:rPr>
          <w:rStyle w:val="CdigoHTML"/>
          <w:color w:val="000000"/>
        </w:rPr>
        <w:t>sc</w:t>
      </w:r>
      <w:r>
        <w:rPr>
          <w:color w:val="000000"/>
        </w:rPr>
        <w:t xml:space="preserve">), já que o texto de origem varia em grafia e acentuação. A função </w:t>
      </w:r>
      <w:r>
        <w:rPr>
          <w:rStyle w:val="CdigoHTML"/>
          <w:color w:val="000000"/>
        </w:rPr>
        <w:t>classeStatus</w:t>
      </w:r>
      <w:r>
        <w:rPr>
          <w:color w:val="000000"/>
        </w:rPr>
        <w:t xml:space="preserve"> faz essa conversão.</w:t>
      </w:r>
    </w:p>
    <w:p w14:paraId="161FD986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7 — Mapeamento de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1"/>
        <w:gridCol w:w="1994"/>
      </w:tblGrid>
      <w:tr w:rsidR="00000000" w14:paraId="4C4C19D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E8AA7E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Texto na planilha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E1822F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Código interno</w:t>
            </w:r>
          </w:p>
        </w:tc>
      </w:tr>
      <w:tr w:rsidR="00000000" w14:paraId="5E6958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87517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Concluído, Finalizado(s)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4D740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done</w:t>
            </w:r>
          </w:p>
        </w:tc>
      </w:tr>
      <w:tr w:rsidR="00000000" w14:paraId="4E6F229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707CA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Suporte Pipefy, Encaminhado ao fornecedor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6AA60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vendor</w:t>
            </w:r>
          </w:p>
        </w:tc>
      </w:tr>
      <w:tr w:rsidR="00000000" w14:paraId="38D00C9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8EFDD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Em andamento, Em execução, Desenvolvimento, Em validação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AC9B5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doing</w:t>
            </w:r>
          </w:p>
        </w:tc>
      </w:tr>
      <w:tr w:rsidR="00000000" w14:paraId="0413116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80726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Encerramento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B16F9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closing</w:t>
            </w:r>
          </w:p>
        </w:tc>
      </w:tr>
      <w:tr w:rsidR="00000000" w14:paraId="10B5F14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0827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Monitoramento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EB44A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monitor</w:t>
            </w:r>
          </w:p>
        </w:tc>
      </w:tr>
      <w:tr w:rsidR="00000000" w14:paraId="77F08D2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F5B0C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Planejamento, Diagnóstico, Não iniciado, Backlog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8C359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todo</w:t>
            </w:r>
          </w:p>
        </w:tc>
      </w:tr>
      <w:tr w:rsidR="00000000" w14:paraId="4C1E480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645DA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Bloqueado, Pausado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69779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blocked</w:t>
            </w:r>
          </w:p>
        </w:tc>
      </w:tr>
      <w:tr w:rsidR="00000000" w14:paraId="4B9AB4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BE22C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Cancelado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48741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cancel</w:t>
            </w:r>
          </w:p>
        </w:tc>
      </w:tr>
      <w:tr w:rsidR="00000000" w14:paraId="7522544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FB4AA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qualquer outro valor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6C4F1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other</w:t>
            </w:r>
          </w:p>
        </w:tc>
      </w:tr>
    </w:tbl>
    <w:p w14:paraId="410839D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Um prefixo numérico de ordenação, quando presente, é ignorado antes da comparação — "3 - Planejamento" e "Planejamento" resultam no mesmo código.</w:t>
      </w:r>
    </w:p>
    <w:p w14:paraId="739F549A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Existe uma exceção para as Melhorias Pipefy, aplicada pela função </w:t>
      </w:r>
      <w:r>
        <w:rPr>
          <w:rStyle w:val="CdigoHTML"/>
          <w:color w:val="000000"/>
        </w:rPr>
        <w:t>classeStatusMelhoria</w:t>
      </w:r>
      <w:r>
        <w:rPr>
          <w:color w:val="000000"/>
        </w:rPr>
        <w:t xml:space="preserve">: nessa fonte, o status "Planejamento" é tratado como </w:t>
      </w:r>
      <w:r>
        <w:rPr>
          <w:rStyle w:val="CdigoHTML"/>
          <w:color w:val="000000"/>
        </w:rPr>
        <w:t>doing</w:t>
      </w:r>
      <w:r>
        <w:rPr>
          <w:color w:val="000000"/>
        </w:rPr>
        <w:t xml:space="preserve">, e não como </w:t>
      </w:r>
      <w:r>
        <w:rPr>
          <w:rStyle w:val="CdigoHTML"/>
          <w:color w:val="000000"/>
        </w:rPr>
        <w:t>todo</w:t>
      </w:r>
      <w:r>
        <w:rPr>
          <w:color w:val="000000"/>
        </w:rPr>
        <w:t xml:space="preserve">, por já representar trabalho retirado do backlog. Essa distinção é o que permite à coluna "Dev + Planej." do Overview somar os dois estados corretamente — a correção desse comportamento foi a motivação original deste projeto, já que a versão anterior do painel tratava "Backlog" e "Planejamento" como equivalentes. Em Projetos e Analytics essa exceção não se aplica: ali, "Planejamento" é a segunda fase do fluxo (Diagnóstico → Planejamento → Execução) e permanece classificada como </w:t>
      </w:r>
      <w:r>
        <w:rPr>
          <w:rStyle w:val="CdigoHTML"/>
          <w:color w:val="000000"/>
        </w:rPr>
        <w:t>todo</w:t>
      </w:r>
      <w:r>
        <w:rPr>
          <w:color w:val="000000"/>
        </w:rPr>
        <w:t>.</w:t>
      </w:r>
    </w:p>
    <w:p w14:paraId="427D88F0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0E4F88CB">
          <v:rect id="_x0000_i1032" style="width:0;height:1.5pt" o:hralign="center" o:hrstd="t" o:hr="t" fillcolor="#a0a0a0" stroked="f"/>
        </w:pict>
      </w:r>
    </w:p>
    <w:p w14:paraId="64FB35BA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 Filtro global de período</w:t>
      </w:r>
    </w:p>
    <w:p w14:paraId="144918E8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filtro de período no topo da página afeta todas as abas simultaneamente. Ele pode ser acionado de três formas: pelos atalhos "Este mês", "Trimestre" e "Este ano" (função </w:t>
      </w:r>
      <w:r>
        <w:rPr>
          <w:rStyle w:val="CdigoHTML"/>
          <w:color w:val="000000"/>
        </w:rPr>
        <w:t>setQuickRange</w:t>
      </w:r>
      <w:r>
        <w:rPr>
          <w:color w:val="000000"/>
        </w:rPr>
        <w:t xml:space="preserve">, que calcula o intervalo a partir da data atual e marca o atalho como ativo); pela edição manual dos dois campos de data (função </w:t>
      </w:r>
      <w:r>
        <w:rPr>
          <w:rStyle w:val="CdigoHTML"/>
          <w:color w:val="000000"/>
        </w:rPr>
        <w:t>applyDateFilter</w:t>
      </w:r>
      <w:r>
        <w:rPr>
          <w:color w:val="000000"/>
        </w:rPr>
        <w:t xml:space="preserve">, que monta o intervalo no modo personalizado, cobrindo o dia inteiro em ambas as pontas); ou pelo botão de limpar (função </w:t>
      </w:r>
      <w:r>
        <w:rPr>
          <w:rStyle w:val="CdigoHTML"/>
          <w:color w:val="000000"/>
        </w:rPr>
        <w:t>clearDateFilter</w:t>
      </w:r>
      <w:r>
        <w:rPr>
          <w:color w:val="000000"/>
        </w:rPr>
        <w:t xml:space="preserve">, que retorna ao modo sem filtro). Clicar em um atalho já ativo funciona como alternância e remove o filtro. Qualquer uma dessas ações aciona </w:t>
      </w:r>
      <w:r>
        <w:rPr>
          <w:rStyle w:val="CdigoHTML"/>
          <w:color w:val="000000"/>
        </w:rPr>
        <w:t>renderAll</w:t>
      </w:r>
      <w:r>
        <w:rPr>
          <w:color w:val="000000"/>
        </w:rPr>
        <w:t>, que reconstrói todas as abas com dado carregado.</w:t>
      </w:r>
    </w:p>
    <w:p w14:paraId="534D4B2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período não é interpretado da mesma forma em todas as fontes — cada uma usa a data que faz sentido para o seu contexto de negócio.</w:t>
      </w:r>
    </w:p>
    <w:p w14:paraId="574A07D0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8 — Referência de data por fonte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117"/>
      </w:tblGrid>
      <w:tr w:rsidR="00000000" w14:paraId="33C3432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1AAA2D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Fonte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FF6499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Campo de referência</w:t>
            </w:r>
          </w:p>
        </w:tc>
      </w:tr>
      <w:tr w:rsidR="00000000" w14:paraId="32B19A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F34B7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Pipefy Melhorias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A1EA9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intervalo </w:t>
            </w:r>
            <w:r>
              <w:rPr>
                <w:rStyle w:val="CdigoHTML"/>
                <w:color w:val="000000"/>
              </w:rPr>
              <w:t>dtInicio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 </w:t>
            </w:r>
            <w:r>
              <w:rPr>
                <w:rStyle w:val="CdigoHTML"/>
                <w:color w:val="000000"/>
              </w:rPr>
              <w:t>dtFim</w:t>
            </w:r>
          </w:p>
        </w:tc>
      </w:tr>
      <w:tr w:rsidR="00000000" w14:paraId="28A08A9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7057A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DF03C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dtFim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(prazo de conclusão)</w:t>
            </w:r>
          </w:p>
        </w:tc>
      </w:tr>
      <w:tr w:rsidR="00000000" w14:paraId="6CB9122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F082A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D1911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intervalo </w:t>
            </w:r>
            <w:r>
              <w:rPr>
                <w:rStyle w:val="CdigoHTML"/>
                <w:color w:val="000000"/>
              </w:rPr>
              <w:t>dtInicio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a </w:t>
            </w:r>
            <w:r>
              <w:rPr>
                <w:rStyle w:val="CdigoHTML"/>
                <w:color w:val="000000"/>
              </w:rPr>
              <w:t>dtFim</w:t>
            </w:r>
          </w:p>
        </w:tc>
      </w:tr>
      <w:tr w:rsidR="00000000" w14:paraId="2AD24BB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FB1FF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Chamados RPA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05211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criado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(data de abertura)</w:t>
            </w:r>
          </w:p>
        </w:tc>
      </w:tr>
      <w:tr w:rsidR="00000000" w14:paraId="543ADB9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AF6A5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Inventário de Bots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8F9B0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anoPrd</w:t>
            </w:r>
            <w:r>
              <w:rPr>
                <w:rFonts w:eastAsia="Times New Roman"/>
                <w:color w:val="000000"/>
                <w:sz w:val="20"/>
                <w:szCs w:val="20"/>
              </w:rPr>
              <w:t>, filtrado por ano — ver seção 15</w:t>
            </w:r>
          </w:p>
        </w:tc>
      </w:tr>
    </w:tbl>
    <w:p w14:paraId="71081D3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lógica central está em três funções do módulo de datas. </w:t>
      </w:r>
      <w:r>
        <w:rPr>
          <w:rStyle w:val="CdigoHTML"/>
          <w:color w:val="000000"/>
        </w:rPr>
        <w:t>dataNoIntervalo</w:t>
      </w:r>
      <w:r>
        <w:rPr>
          <w:color w:val="000000"/>
        </w:rPr>
        <w:t xml:space="preserve"> avalia itens com uma única data de referência: sem filtro ativo, tudo passa; com filtro ativo, um item sem data nunca passa. </w:t>
      </w:r>
      <w:r>
        <w:rPr>
          <w:rStyle w:val="CdigoHTML"/>
          <w:color w:val="000000"/>
        </w:rPr>
        <w:t>ativoNoIntervalo</w:t>
      </w:r>
      <w:r>
        <w:rPr>
          <w:color w:val="000000"/>
        </w:rPr>
        <w:t xml:space="preserve"> </w:t>
      </w:r>
      <w:r>
        <w:rPr>
          <w:color w:val="000000"/>
        </w:rPr>
        <w:t xml:space="preserve">avalia itens com um intervalo próprio, como as Melhorias — um item com apenas a data de início é considerado ativo até a data atual; um item sem nenhuma das duas datas é classificado como "sem data" e contado à parte. </w:t>
      </w:r>
      <w:r>
        <w:rPr>
          <w:rStyle w:val="CdigoHTML"/>
          <w:color w:val="000000"/>
        </w:rPr>
        <w:t>filtrarPorPeriodo</w:t>
      </w:r>
      <w:r>
        <w:rPr>
          <w:color w:val="000000"/>
        </w:rPr>
        <w:t xml:space="preserve"> aplica a regra apropriada a cada item de um array e retorna dois valores: os itens que passaram no filtro e a quantidade dos que ficaram de fora por ausência de data — essa contagem é sempre exibida na interface, nunca ocultada.</w:t>
      </w:r>
    </w:p>
    <w:p w14:paraId="5F5547C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Em nenhuma circunstância um item sem data recebe uma data aproximada ou padrão: ele simplesmente fica fora do recorte enquanto o filtro estiver ativo.</w:t>
      </w:r>
    </w:p>
    <w:p w14:paraId="65B083AC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1C3F7C23">
          <v:rect id="_x0000_i1033" style="width:0;height:1.5pt" o:hralign="center" o:hrstd="t" o:hr="t" fillcolor="#a0a0a0" stroked="f"/>
        </w:pict>
      </w:r>
    </w:p>
    <w:p w14:paraId="3FB85585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 Barra superior</w:t>
      </w:r>
    </w:p>
    <w:p w14:paraId="1DB5A8B5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9 — Elementos da barra superior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6391"/>
      </w:tblGrid>
      <w:tr w:rsidR="00000000" w14:paraId="0F0EE82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15F5FA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8A69F0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Comportamento</w:t>
            </w:r>
          </w:p>
        </w:tc>
      </w:tr>
      <w:tr w:rsidR="00000000" w14:paraId="0B4C8C3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ED742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Logos Saint-Gobain e GBS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8D5D9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decorativos</w:t>
            </w:r>
          </w:p>
        </w:tc>
      </w:tr>
      <w:tr w:rsidR="00000000" w14:paraId="3FD2E25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AC582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Texto de sincronização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BE83C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exibe a hora da última geração, as fontes carregadas e o período ativo</w:t>
            </w:r>
          </w:p>
        </w:tc>
      </w:tr>
      <w:tr w:rsidR="00000000" w14:paraId="2736DA2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428E3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Atalhos de período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56563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ver seção 7</w:t>
            </w:r>
          </w:p>
        </w:tc>
      </w:tr>
      <w:tr w:rsidR="00000000" w14:paraId="61D03ED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5B869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Botão "Exportar PDF"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4673A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visível somente após a primeira geração; aciona </w:t>
            </w:r>
            <w:r>
              <w:rPr>
                <w:rStyle w:val="CdigoHTML"/>
                <w:color w:val="000000"/>
              </w:rPr>
              <w:t>window.print()</w:t>
            </w:r>
          </w:p>
        </w:tc>
      </w:tr>
      <w:tr w:rsidR="00000000" w14:paraId="2867EA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0872A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Botão "Atualizar bases"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23971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retorna à tela de upload sem descartar os dados já carregados</w:t>
            </w:r>
          </w:p>
        </w:tc>
      </w:tr>
    </w:tbl>
    <w:p w14:paraId="35A4C334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4A89FA85">
          <v:rect id="_x0000_i1034" style="width:0;height:1.5pt" o:hralign="center" o:hrstd="t" o:hr="t" fillcolor="#a0a0a0" stroked="f"/>
        </w:pict>
      </w:r>
    </w:p>
    <w:p w14:paraId="0CE16F5F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 Navegação entre abas</w:t>
      </w:r>
    </w:p>
    <w:p w14:paraId="3F7A3BF2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função </w:t>
      </w:r>
      <w:r>
        <w:rPr>
          <w:rStyle w:val="CdigoHTML"/>
          <w:color w:val="000000"/>
        </w:rPr>
        <w:t>setNav</w:t>
      </w:r>
      <w:r>
        <w:rPr>
          <w:color w:val="000000"/>
        </w:rPr>
        <w:t xml:space="preserve"> alterna a classe ativa entre o item de menu selecionado e a seção de página correspondente, ocultando as demais. Ao entrar em uma aba, os números dos indicadores visíveis são reanimados do zero até o valor final — efeito puramente visual, sem novo cálculo.</w:t>
      </w:r>
    </w:p>
    <w:p w14:paraId="4F5A81B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aba RPA e Bots possui uma navegação secundária entre seis subabas, controlada pela função </w:t>
      </w:r>
      <w:r>
        <w:rPr>
          <w:rStyle w:val="CdigoHTML"/>
          <w:color w:val="000000"/>
        </w:rPr>
        <w:t>rpaPage</w:t>
      </w:r>
      <w:r>
        <w:rPr>
          <w:color w:val="000000"/>
        </w:rPr>
        <w:t xml:space="preserve">, restrita ao conteúdo dessa aba. Os contadores exibidos ao lado de cada item do menu principal são atualizados pela função </w:t>
      </w:r>
      <w:r>
        <w:rPr>
          <w:rStyle w:val="CdigoHTML"/>
          <w:color w:val="000000"/>
        </w:rPr>
        <w:t>setBadge</w:t>
      </w:r>
      <w:r>
        <w:rPr>
          <w:color w:val="000000"/>
        </w:rPr>
        <w:t xml:space="preserve"> conforme cada aba é construída.</w:t>
      </w:r>
    </w:p>
    <w:p w14:paraId="5E300CCB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2A5C95D0">
          <v:rect id="_x0000_i1035" style="width:0;height:1.5pt" o:hralign="center" o:hrstd="t" o:hr="t" fillcolor="#a0a0a0" stroked="f"/>
        </w:pict>
      </w:r>
    </w:p>
    <w:p w14:paraId="7467BF7B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 Aba Painel de Controle</w:t>
      </w:r>
    </w:p>
    <w:p w14:paraId="4B29B590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Esta aba apresenta uma visão executiva que combina as quatro fontes de dados — Projetos, Melhorias, Analytics e Chamados RPA — em uma lista unificada de ações, produzida pela função </w:t>
      </w:r>
      <w:r>
        <w:rPr>
          <w:rStyle w:val="CdigoHTML"/>
          <w:color w:val="000000"/>
        </w:rPr>
        <w:t>todasAcoes</w:t>
      </w:r>
      <w:r>
        <w:rPr>
          <w:color w:val="000000"/>
        </w:rPr>
        <w:t xml:space="preserve">. Cada ação carrega a fonte de origem, o status normalizado, a frente de negócio, o responsável, as datas relevantes e, no caso de chamados RPA, o indicador de vencimento. Chamados RPA só recebem uma frente quando a área do bot corresponde a uma das cinco áreas de negócio principais; áreas secundárias do inventário não entram nos gráficos "por frente" desta aba. A função </w:t>
      </w:r>
      <w:r>
        <w:rPr>
          <w:rStyle w:val="CdigoHTML"/>
          <w:color w:val="000000"/>
        </w:rPr>
        <w:t>todasAcoesFiltradas</w:t>
      </w:r>
      <w:r>
        <w:rPr>
          <w:color w:val="000000"/>
        </w:rPr>
        <w:t xml:space="preserve"> aplica o filtro global de período sobre essa lista combinada.</w:t>
      </w:r>
    </w:p>
    <w:p w14:paraId="1A27341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Quando há mais de uma frente presente nos dados, chips de filtro permitem restringir a visão a uma área específica; essa seleção é guardada em </w:t>
      </w:r>
      <w:r>
        <w:rPr>
          <w:rStyle w:val="CdigoHTML"/>
          <w:color w:val="000000"/>
        </w:rPr>
        <w:t>App.govFrente</w:t>
      </w:r>
      <w:r>
        <w:rPr>
          <w:color w:val="000000"/>
        </w:rPr>
        <w:t>. O filtro de área afeta os indicadores, o donut de status e o gráfico "Por responsável", mas não o gráfico "Por frente", que sempre mostra o panorama completo como referência de comparação.</w:t>
      </w:r>
    </w:p>
    <w:p w14:paraId="6D06744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aba exibe cinco indicadores — total de ações, percentual concluído, em andamento, em backlog e "outros" — seguidos de um donut de status que agrupa Encerramento e Monitoramento em uma única fatia e reúne bloqueados, cancelados e itens em suporte externo sob "Impedimentos". O gráfico "Por responsável" soma apenas os membros fixos da equipe CoE, definidos na constante </w:t>
      </w:r>
      <w:r>
        <w:rPr>
          <w:rStyle w:val="CdigoHTML"/>
          <w:color w:val="000000"/>
        </w:rPr>
        <w:t>COE_TEAM</w:t>
      </w:r>
      <w:r>
        <w:rPr>
          <w:color w:val="000000"/>
        </w:rPr>
        <w:t>; pessoas fora dessa lista não aparecem, ainda que constem como responsáveis na planilha. Um rodapé de diagnóstico mostra a contagem bruta de cada fonte, sem filtro de data, para auditoria rápida.</w:t>
      </w:r>
    </w:p>
    <w:p w14:paraId="2BA8AA48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3CEC09B4">
          <v:rect id="_x0000_i1036" style="width:0;height:1.5pt" o:hralign="center" o:hrstd="t" o:hr="t" fillcolor="#a0a0a0" stroked="f"/>
        </w:pict>
      </w:r>
    </w:p>
    <w:p w14:paraId="00994CD3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11 Aba Projetos</w:t>
      </w:r>
    </w:p>
    <w:p w14:paraId="1424E4C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 aba apresenta indicadores de total, execução, fase final, atrasos e risco alto, seguidos de um donut de status e barras por frente ou área cliente.</w:t>
      </w:r>
    </w:p>
    <w:p w14:paraId="6668E9D3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score de risco de cada projeto, calculado pela função </w:t>
      </w:r>
      <w:r>
        <w:rPr>
          <w:rStyle w:val="CdigoHTML"/>
          <w:color w:val="000000"/>
        </w:rPr>
        <w:t>riscoProjeto</w:t>
      </w:r>
      <w:r>
        <w:rPr>
          <w:color w:val="000000"/>
        </w:rPr>
        <w:t xml:space="preserve">, combina três fatores sem exigir nenhum campo manual na planilha. O atraso é o fator de maior peso: quando o prazo já passou, a pontuação soma até 70 pontos, crescendo com o número de dias de atraso — cerca de 40 dias de atraso já é suficiente para classificar o projeto como risco alto isoladamente. Quando o prazo ainda não venceu, a proximidade da data soma pontos adicionais, e a ausência de qualquer prazo definido também é penalizada, por representar falta de controle. A fase do projeto contribui com um </w:t>
      </w:r>
      <w:r>
        <w:rPr>
          <w:color w:val="000000"/>
        </w:rPr>
        <w:t>peso decrescente conforme o projeto avança no fluxo — Diagnóstico e Planejamento pesam mais que Execução e Encerramento — e um projeto bloqueado recebe um acréscimo fixo. O resultado final é classificado como risco alto a partir de 55 pontos, médio a partir de 30, e baixo abaixo disso; projetos concluídos, cancelados ou em monitoramento sempre recebem risco zero. Cada cálculo mantém também uma lista de motivos legíveis, exibida como texto auxiliar no indicador de risco.</w:t>
      </w:r>
    </w:p>
    <w:p w14:paraId="61DF38F3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lista de projetos aceita busca por texto, filtros combináveis de atraso e risco alto, e seletores de responsável, status e frente. A ordenação padrão é por score de risco, com progresso como critério de desempate. Clicar em um projeto expande um painel com os campos preenchidos na planilha — campos vazios simplesmente não aparecem. O estado de expansão de cada projeto é mantido em </w:t>
      </w:r>
      <w:r>
        <w:rPr>
          <w:rStyle w:val="CdigoHTML"/>
          <w:color w:val="000000"/>
        </w:rPr>
        <w:t>App.projOpen</w:t>
      </w:r>
      <w:r>
        <w:rPr>
          <w:color w:val="000000"/>
        </w:rPr>
        <w:t xml:space="preserve"> enquanto a página não é recarregada.</w:t>
      </w:r>
    </w:p>
    <w:p w14:paraId="4B98BD02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463D209F">
          <v:rect id="_x0000_i1037" style="width:0;height:1.5pt" o:hralign="center" o:hrstd="t" o:hr="t" fillcolor="#a0a0a0" stroked="f"/>
        </w:pict>
      </w:r>
    </w:p>
    <w:p w14:paraId="3D97E3CC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12 Aba Pipefy Melhorias</w:t>
      </w:r>
    </w:p>
    <w:p w14:paraId="070ADC6F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Os indicadores desta aba mostram o total de melhorias sem filtro, seguido de conclusão percentual, backlog, bloqueadas e fluxos distintos. Quando existem melhorias marcadas como concluídas sem data de conclusão preenchida, um aviso identifica essa situação como erro de preenchimento da planilha, não como falha do sistema.</w:t>
      </w:r>
    </w:p>
    <w:p w14:paraId="46B74133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gráfico "Melhorias Concluídas × Backlog" aparece somente quando há ao menos três melhorias concluídas com data e dois meses históricos distintos. Ele traz três séries: concluídas por mês, que é uma contagem histórica real; backlog reconstruído, calculado como o backlog atual somado às melhorias concluídas após cada mês do histórico — uma aproximação que assume que nenhum item novo entrou no backlog depois daquele ponto; e uma projeção linear para os meses futuros, calculada como o backlog atual dividido p</w:t>
      </w:r>
      <w:r>
        <w:rPr>
          <w:color w:val="000000"/>
        </w:rPr>
        <w:t>elo número de meses futuros exibidos. Uma linha vertical tracejada marca o mês corrente, separando histórico de projeção.</w:t>
      </w:r>
    </w:p>
    <w:p w14:paraId="7F4D282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 tabela "Overview por categoria" cruza frentes de negócio com as colunas Melhorias, Backlog, Dev + Planejamento, Validação, Pipefy, Bloqueado, Concluídos e Cancelados. As colunas Dev + Planejamento e Validação representam a mesma classificação interna (</w:t>
      </w:r>
      <w:r>
        <w:rPr>
          <w:rStyle w:val="CdigoHTML"/>
          <w:color w:val="000000"/>
        </w:rPr>
        <w:t>doing</w:t>
      </w:r>
      <w:r>
        <w:rPr>
          <w:color w:val="000000"/>
        </w:rPr>
        <w:t>), diferenciadas pelo texto original do status: registros cujo status contém "validação" ou "aguardando" vão para Validação; os demais, para Dev + Planejamento.</w:t>
      </w:r>
    </w:p>
    <w:p w14:paraId="4E0B40B4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3219529F">
          <v:rect id="_x0000_i1038" style="width:0;height:1.5pt" o:hralign="center" o:hrstd="t" o:hr="t" fillcolor="#a0a0a0" stroked="f"/>
        </w:pict>
      </w:r>
    </w:p>
    <w:p w14:paraId="20BE2B0F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13 Registro manual de atividades</w:t>
      </w:r>
    </w:p>
    <w:p w14:paraId="3A86A6FB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No final da aba Pipefy Melhorias há um card de Atividades, a única parte do sistema cujos dados não vêm de planilha alguma. Ele reproduz uma tabela de acompanhamento manual — tema, atividade, observação e responsável — usada pela equipe em apresentações internas, cujos temas não correspondem diretamente a linhas da planilha Pipefy_Melhorias.</w:t>
      </w:r>
    </w:p>
    <w:p w14:paraId="5AC0BE6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Os registros são gravados em </w:t>
      </w:r>
      <w:r>
        <w:rPr>
          <w:rStyle w:val="CdigoHTML"/>
          <w:color w:val="000000"/>
        </w:rPr>
        <w:t>localStorage</w:t>
      </w:r>
      <w:r>
        <w:rPr>
          <w:color w:val="000000"/>
        </w:rPr>
        <w:t xml:space="preserve">, sob a chave </w:t>
      </w:r>
      <w:r>
        <w:rPr>
          <w:rStyle w:val="CdigoHTML"/>
          <w:color w:val="000000"/>
        </w:rPr>
        <w:t>synapse.melhorias.atividades</w:t>
      </w:r>
      <w:r>
        <w:rPr>
          <w:color w:val="000000"/>
        </w:rPr>
        <w:t xml:space="preserve">, como um array de objetos com os campos </w:t>
      </w:r>
      <w:r>
        <w:rPr>
          <w:rStyle w:val="CdigoHTML"/>
          <w:color w:val="000000"/>
        </w:rPr>
        <w:t>id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tema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atividade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observacao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responsavel</w:t>
      </w:r>
      <w:r>
        <w:rPr>
          <w:color w:val="000000"/>
        </w:rPr>
        <w:t>. Essa gravação sobrevive a recarregamentos de página e a novas gerações do dashboard com planilhas diferentes, mas fica restrita ao navegador e computador em que foi criada — não é sincronizada entre dispositivos e é removida se o usuário limpar os dados de navegação.</w:t>
      </w:r>
    </w:p>
    <w:p w14:paraId="2F56543C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botão de adicionar abre o modal em branco; o ícone de lápis em uma linha o abre preenchido para edição. O envio do formulário decide entre criar ou atualizar com base no identificador oculto do registro. A exclusão pede confirmação nativa do navegador antes de remover o item, de forma definitiva. O texto digitado nos campos passa por um escape de HTML antes de ser inserido na tabela, prevenindo que marcações digitadas pelo usuário sejam interpretadas como código.</w:t>
      </w:r>
    </w:p>
    <w:p w14:paraId="1DEA4635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108375F5">
          <v:rect id="_x0000_i1039" style="width:0;height:1.5pt" o:hralign="center" o:hrstd="t" o:hr="t" fillcolor="#a0a0a0" stroked="f"/>
        </w:pict>
      </w:r>
    </w:p>
    <w:p w14:paraId="3F9432E0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14 Aba Analytics</w:t>
      </w:r>
    </w:p>
    <w:p w14:paraId="33708A20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Além dos indicadores de total, conclusão, andamento e não iniciadas, a aba apresenta um donut de status e barras por prioridade, frente e responsável. Quando não há filtro de período ativo, mas parte das atividades carece de data registrada, um aviso informa a proporção afetada.</w:t>
      </w:r>
    </w:p>
    <w:p w14:paraId="7F6FC3CA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heatmap de prioridade por frente, produzido pela função </w:t>
      </w:r>
      <w:r>
        <w:rPr>
          <w:rStyle w:val="CdigoHTML"/>
          <w:color w:val="000000"/>
        </w:rPr>
        <w:t>buildHeatmap</w:t>
      </w:r>
      <w:r>
        <w:rPr>
          <w:color w:val="000000"/>
        </w:rPr>
        <w:t xml:space="preserve"> </w:t>
      </w:r>
      <w:r>
        <w:rPr>
          <w:color w:val="000000"/>
        </w:rPr>
        <w:t>— fisicamente definida no módulo da Governança, mas usada apenas aqui —, cruza as prioridades de 1 a 4 com as frentes presentes em Analytics ou em Projetos, contando apenas atividades ainda em aberto. A intensidade da cor é proporcional ao valor máximo da matriz.</w:t>
      </w:r>
    </w:p>
    <w:p w14:paraId="7DB7183C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1E50E377">
          <v:rect id="_x0000_i1040" style="width:0;height:1.5pt" o:hralign="center" o:hrstd="t" o:hr="t" fillcolor="#a0a0a0" stroked="f"/>
        </w:pict>
      </w:r>
    </w:p>
    <w:p w14:paraId="7429BFBD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15 Aba RPA e Bots</w:t>
      </w:r>
    </w:p>
    <w:p w14:paraId="00AD9EF0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filtro de período desta seção usa a data de abertura do chamado, campo obrigatório no Pipefy e por isso presente em todos os registros.</w:t>
      </w:r>
    </w:p>
    <w:p w14:paraId="1FB7189C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subaba Visão geral acrescenta um filtro local por fase do chamado, que atualiza apenas seus próprios indicadores e gráficos através da função </w:t>
      </w:r>
      <w:r>
        <w:rPr>
          <w:rStyle w:val="CdigoHTML"/>
          <w:color w:val="000000"/>
        </w:rPr>
        <w:t>renderRPAStatus</w:t>
      </w:r>
      <w:r>
        <w:rPr>
          <w:color w:val="000000"/>
        </w:rPr>
        <w:t>. Ela reúne cinco indicadores, um gráfico de volume mensal em barras empilhadas, um donut de status por fase e uma distribuição de chamados por área, na qual áreas secundárias do inventário são agregadas sob "Outros".</w:t>
      </w:r>
    </w:p>
    <w:p w14:paraId="4E37CDB9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subaba Top bots lista, em barras horizontais, a contagem de chamados por processo. A subaba Tipos de problema cruza tipo de problema com fase e com área, usando o componente </w:t>
      </w:r>
      <w:r>
        <w:rPr>
          <w:rStyle w:val="CdigoHTML"/>
          <w:color w:val="000000"/>
        </w:rPr>
        <w:t>clusteredBars</w:t>
      </w:r>
      <w:r>
        <w:rPr>
          <w:color w:val="000000"/>
        </w:rPr>
        <w:t>, e apresenta dois donuts adicionais sobre reexecução e causa interna ou externa. A subaba Tempo de resolução calcula a média de dias por fase e o tempo médio por bot, considerando apenas bots com três ou mais chamados para evitar distorção estatística por amostra pequena. A subaba Chamados oferece busca textual sobre a lista completa, limitada a mil linhas exibidas por vez.</w:t>
      </w:r>
    </w:p>
    <w:p w14:paraId="4DDC0843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 subaba Inventário de bots reinterpreta o filtro de período: em vez de filtrar por data de ação, filtra por ano de entrada em produção (</w:t>
      </w:r>
      <w:r>
        <w:rPr>
          <w:rStyle w:val="CdigoHTML"/>
          <w:color w:val="000000"/>
        </w:rPr>
        <w:t>AnoPRD</w:t>
      </w:r>
      <w:r>
        <w:rPr>
          <w:color w:val="000000"/>
        </w:rPr>
        <w:t>). Ela apresenta indicadores de composição do inventário, distribuição por área e perímetro, classificação por criticidade e frequência de execução, e uma tabela de cruzamento que aponta os dez bots em produção com mais chamados de manutenção associados — candidatos naturais a refatoração.</w:t>
      </w:r>
    </w:p>
    <w:p w14:paraId="0D35D09A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20330D32">
          <v:rect id="_x0000_i1041" style="width:0;height:1.5pt" o:hralign="center" o:hrstd="t" o:hr="t" fillcolor="#a0a0a0" stroked="f"/>
        </w:pict>
      </w:r>
    </w:p>
    <w:p w14:paraId="64906AC0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16 Análise automática</w:t>
      </w:r>
    </w:p>
    <w:p w14:paraId="135C3A8B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 botão "Gera</w:t>
      </w:r>
      <w:r>
        <w:rPr>
          <w:color w:val="000000"/>
        </w:rPr>
        <w:t>r análise", presente em todas as abas, não envolve inteligência artificial ou modelo de linguagem: aciona um conjunto de regras determinísticas, escritas manualmente, que transformam os números do recorte atual em frases descritivas. Cada observação recebe uma classificação — positiva, negativa, alerta ou neutra — que define a cor e o ícone exibidos.</w:t>
      </w:r>
    </w:p>
    <w:p w14:paraId="543EA476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10 — Critérios de análise por aba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621"/>
      </w:tblGrid>
      <w:tr w:rsidR="00000000" w14:paraId="45A7A1D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382507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Aba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F12F12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Critérios avaliados</w:t>
            </w:r>
          </w:p>
        </w:tc>
      </w:tr>
      <w:tr w:rsidR="00000000" w14:paraId="3B31739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F910A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Governança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006BB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taxa geral de conclusão; fonte com mais backlog aberto; concentração de carga por responsável da equipe CoE; percentual de ações canceladas</w:t>
            </w:r>
          </w:p>
        </w:tc>
      </w:tr>
      <w:tr w:rsidR="00000000" w14:paraId="74646A3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2D655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Projetos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94A40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contagem geral; lista nominal de atrasados por dias de atraso; projeto mais crítico por score de risco; frente com mais projetos; percentual não iniciado</w:t>
            </w:r>
          </w:p>
        </w:tc>
      </w:tr>
      <w:tr w:rsidR="00000000" w14:paraId="0FDF0ED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CA8F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Pipefy Melhorias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FBAB1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taxa de conclusão; complexidade predominante; frente com mais demanda; contagem de bloqueadas</w:t>
            </w:r>
          </w:p>
        </w:tc>
      </w:tr>
      <w:tr w:rsidR="00000000" w14:paraId="00F1199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47EE4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8D9DF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taxa de conclusão; atividades de prioridade 1 em aberto; frente com mais demanda; atividades sem data</w:t>
            </w:r>
          </w:p>
        </w:tc>
      </w:tr>
      <w:tr w:rsidR="00000000" w14:paraId="79C5AD2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6EA28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5EAAA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concentração nos três processos com mais manutenções; taxa de chamados vencidos; problema mais frequente; tendência de volume mês a mês; área com mais chamados</w:t>
            </w:r>
          </w:p>
        </w:tc>
      </w:tr>
      <w:tr w:rsidR="00000000" w14:paraId="69C2BEB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90549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Inventário de Bots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0ABB5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composição geral; área com mais bots em produção; bots críticos em produção; bot com mais chamados associados</w:t>
            </w:r>
          </w:p>
        </w:tc>
      </w:tr>
    </w:tbl>
    <w:p w14:paraId="6F1A7952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Os limiares numéricos usados nessas regras — por exemplo, 30% de concentração de carga ou 15% de variação mensal — foram definidos pela equipe para separar ruído estatístico normal de sinais que merecem atenção; não resultam de cálculo estatístico automático.</w:t>
      </w:r>
    </w:p>
    <w:p w14:paraId="65AD23A4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618DFD25">
          <v:rect id="_x0000_i1042" style="width:0;height:1.5pt" o:hralign="center" o:hrstd="t" o:hr="t" fillcolor="#a0a0a0" stroked="f"/>
        </w:pict>
      </w:r>
    </w:p>
    <w:p w14:paraId="3E3D374D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17 Gráficos</w:t>
      </w:r>
    </w:p>
    <w:p w14:paraId="4D7F4DF4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Os gráficos de linha, donut e barras empilhadas são produzidos pelo Chart.js. Cada função de gráfico devolve um trecho de HTML contendo um elemento </w:t>
      </w:r>
      <w:r>
        <w:rPr>
          <w:rStyle w:val="CdigoHTML"/>
          <w:color w:val="000000"/>
        </w:rPr>
        <w:t>&lt;canvas&gt;</w:t>
      </w:r>
      <w:r>
        <w:rPr>
          <w:color w:val="000000"/>
        </w:rPr>
        <w:t xml:space="preserve"> </w:t>
      </w:r>
      <w:r>
        <w:rPr>
          <w:color w:val="000000"/>
        </w:rPr>
        <w:t xml:space="preserve">com identificador único e registra a configuração correspondente em uma fila interna, já que o elemento ainda não existe no DOM no momento da chamada. Após a inserção do HTML na página, a função </w:t>
      </w:r>
      <w:r>
        <w:rPr>
          <w:rStyle w:val="CdigoHTML"/>
          <w:color w:val="000000"/>
        </w:rPr>
        <w:t>flushCharts</w:t>
      </w:r>
      <w:r>
        <w:rPr>
          <w:color w:val="000000"/>
        </w:rPr>
        <w:t xml:space="preserve"> </w:t>
      </w:r>
      <w:r>
        <w:rPr>
          <w:color w:val="000000"/>
        </w:rPr>
        <w:t>percorre essa fila e instancia cada gráfico. Instâncias anteriores com o mesmo identificador são destruídas antes da recriação, evitando o erro de canvas já em uso quando uma aba é reconstruída — por exemplo, ao alterar o filtro de período. No início de cada geração de dashboard, todas as instâncias ativas são destruídas de uma só vez.</w:t>
      </w:r>
    </w:p>
    <w:p w14:paraId="27DE6056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Dois componentes visuais não usam Chart.js: as barras agrupadas da subaba Tipos de problema e o heatmap da aba Analytics são montados diretamente em HTML e CSS, para permitir controle total do layout.</w:t>
      </w:r>
    </w:p>
    <w:p w14:paraId="19227CCA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1F35674F">
          <v:rect id="_x0000_i1043" style="width:0;height:1.5pt" o:hralign="center" o:hrstd="t" o:hr="t" fillcolor="#a0a0a0" stroked="f"/>
        </w:pict>
      </w:r>
    </w:p>
    <w:p w14:paraId="5B1A180A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18 Exportação para PDF</w:t>
      </w:r>
    </w:p>
    <w:p w14:paraId="13191C7D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botão "Exportar PDF" aciona </w:t>
      </w:r>
      <w:r>
        <w:rPr>
          <w:rStyle w:val="CdigoHTML"/>
          <w:color w:val="000000"/>
        </w:rPr>
        <w:t>window.print()</w:t>
      </w:r>
      <w:r>
        <w:rPr>
          <w:color w:val="000000"/>
        </w:rPr>
        <w:t>, abrindo o diálogo de impressão nativo do navegador — não há geração de PDF customizada nem envio de dados a um servidor. Uma seção de impressão na folha de estilos oculta a navegação, os botões de ação, o filtro de período e o fundo animado, mostrando apenas o conteúdo da aba ativa no momento. Para exportar outra aba, é necessário navegar até ela antes de acionar a exportação.</w:t>
      </w:r>
    </w:p>
    <w:p w14:paraId="4566AD9E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5EC906A2">
          <v:rect id="_x0000_i1044" style="width:0;height:1.5pt" o:hralign="center" o:hrstd="t" o:hr="t" fillcolor="#a0a0a0" stroked="f"/>
        </w:pict>
      </w:r>
    </w:p>
    <w:p w14:paraId="0F1F67CF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19 Fundo animado</w:t>
      </w:r>
    </w:p>
    <w:p w14:paraId="42DE28C5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O fundo de partículas atrás do conteúdo é puramente decorativo. Um elemento </w:t>
      </w:r>
      <w:r>
        <w:rPr>
          <w:rStyle w:val="CdigoHTML"/>
          <w:color w:val="000000"/>
        </w:rPr>
        <w:t>&lt;canvas&gt;</w:t>
      </w:r>
      <w:r>
        <w:rPr>
          <w:color w:val="000000"/>
        </w:rPr>
        <w:t xml:space="preserve"> </w:t>
      </w:r>
      <w:r>
        <w:rPr>
          <w:color w:val="000000"/>
        </w:rPr>
        <w:t xml:space="preserve">fixo desenha cerca de noventa e cinco pontos em movimento lento, conectados por linhas quando próximos o suficiente, com leve repulsão em relação ao cursor do mouse. A animação é recalculada a cada quadro via </w:t>
      </w:r>
      <w:r>
        <w:rPr>
          <w:rStyle w:val="CdigoHTML"/>
          <w:color w:val="000000"/>
        </w:rPr>
        <w:t>requestAnimationFrame</w:t>
      </w:r>
      <w:r>
        <w:rPr>
          <w:color w:val="000000"/>
        </w:rPr>
        <w:t xml:space="preserve"> e se ajusta automaticamente ao redimensionamento da janela.</w:t>
      </w:r>
    </w:p>
    <w:p w14:paraId="5FCEECB9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611052E3">
          <v:rect id="_x0000_i1045" style="width:0;height:1.5pt" o:hralign="center" o:hrstd="t" o:hr="t" fillcolor="#a0a0a0" stroked="f"/>
        </w:pict>
      </w:r>
    </w:p>
    <w:p w14:paraId="205C6946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20 Privacidade e segurança</w:t>
      </w:r>
    </w:p>
    <w:p w14:paraId="143F63C5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Nenhum dado das planilhas carregadas sai do navegador do usuário: não há backend, API própria ou envio de arquivos a qualquer servidor, e todo o processamento ocorre localmente, em JavaScript. As conexões de rede feitas pela página servem exclusivamente para carregar bibliotecas de terceiros, ícones e fontes tipográficas — nenhuma delas recebe o conteúdo das planilhas.</w:t>
      </w:r>
    </w:p>
    <w:p w14:paraId="5EE33F07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A única informação que persiste entre sessões é o registro de atividades descrito na seção 13, mantido exclusivamente em </w:t>
      </w:r>
      <w:r>
        <w:rPr>
          <w:rStyle w:val="CdigoHTML"/>
          <w:color w:val="000000"/>
        </w:rPr>
        <w:t>localStorage</w:t>
      </w:r>
      <w:r>
        <w:rPr>
          <w:color w:val="000000"/>
        </w:rPr>
        <w:t xml:space="preserve"> </w:t>
      </w:r>
      <w:r>
        <w:rPr>
          <w:color w:val="000000"/>
        </w:rPr>
        <w:t>local. Recarregar a página descarta o restante do estado — workbooks, dados normalizados e filtros —, exigindo novo carregamento das planilhas.</w:t>
      </w:r>
    </w:p>
    <w:p w14:paraId="4EF5CDCD" w14:textId="77777777" w:rsidR="007C09E7" w:rsidRDefault="007C09E7" w:rsidP="0068507D">
      <w:pPr>
        <w:jc w:val="both"/>
        <w:rPr>
          <w:rFonts w:eastAsia="Times New Roman"/>
          <w:vanish/>
          <w:color w:val="000000"/>
        </w:rPr>
      </w:pPr>
      <w:r>
        <w:rPr>
          <w:rFonts w:eastAsia="Times New Roman"/>
          <w:color w:val="000000"/>
        </w:rPr>
        <w:pict w14:anchorId="4A48A6BB">
          <v:rect id="_x0000_i1046" style="width:0;height:1.5pt" o:hralign="center" o:hrstd="t" o:hr="t" fillcolor="#a0a0a0" stroked="f"/>
        </w:pict>
      </w:r>
    </w:p>
    <w:p w14:paraId="46E51EA5" w14:textId="77777777" w:rsidR="007C09E7" w:rsidRDefault="007C09E7" w:rsidP="0068507D">
      <w:pPr>
        <w:pStyle w:val="Ttulo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21 Glossário de renomeações</w:t>
      </w:r>
    </w:p>
    <w:p w14:paraId="5ED56C5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 xml:space="preserve">Durante uma revisão de nomenclatura, funções identificadas por siglas ou abreviações pouco claras foram renomeadas para identificadores completos e autoexplicativos, tanto no </w:t>
      </w:r>
      <w:r>
        <w:rPr>
          <w:rStyle w:val="CdigoHTML"/>
          <w:color w:val="000000"/>
        </w:rPr>
        <w:t>app.js</w:t>
      </w:r>
      <w:r>
        <w:rPr>
          <w:color w:val="000000"/>
        </w:rPr>
        <w:t xml:space="preserve"> quanto em </w:t>
      </w:r>
      <w:r>
        <w:rPr>
          <w:rStyle w:val="CdigoHTML"/>
          <w:color w:val="000000"/>
        </w:rPr>
        <w:t>src/</w:t>
      </w:r>
      <w:r>
        <w:rPr>
          <w:color w:val="000000"/>
        </w:rPr>
        <w:t xml:space="preserve"> e </w:t>
      </w:r>
      <w:r>
        <w:rPr>
          <w:rStyle w:val="CdigoHTML"/>
          <w:color w:val="000000"/>
        </w:rPr>
        <w:t>index.html</w:t>
      </w:r>
      <w:r>
        <w:rPr>
          <w:color w:val="000000"/>
        </w:rPr>
        <w:t>. Nenhum comportamento do sistema foi alterado nessa revisão.</w:t>
      </w:r>
    </w:p>
    <w:p w14:paraId="3CAB367A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11 — Funções renomeadas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740"/>
        <w:gridCol w:w="4858"/>
      </w:tblGrid>
      <w:tr w:rsidR="00000000" w14:paraId="5CDBCAE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55C87B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Nome anterior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F8C836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Nome atual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259BEE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Função</w:t>
            </w:r>
          </w:p>
        </w:tc>
      </w:tr>
      <w:tr w:rsidR="00000000" w14:paraId="4394722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04112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11F99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handleFileInputChange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A06D7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trata a seleção de arquivo pelo input de upload</w:t>
            </w:r>
          </w:p>
        </w:tc>
      </w:tr>
      <w:tr w:rsidR="00000000" w14:paraId="3DBB30C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D238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dzO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78E39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handleDropzoneDragOver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BEC5E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trata o arraste de um arquivo sobre a área de upload</w:t>
            </w:r>
          </w:p>
        </w:tc>
      </w:tr>
      <w:tr w:rsidR="00000000" w14:paraId="469A125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4AC72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dzL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C768A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handleDropzoneDragLeave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07AD8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trata a saída do arraste da área de upload</w:t>
            </w:r>
          </w:p>
        </w:tc>
      </w:tr>
      <w:tr w:rsidR="00000000" w14:paraId="3657FB6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BDF00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dzD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AD989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handleDropzoneDrop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3386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trata a soltura do arquivo na área de upload</w:t>
            </w:r>
          </w:p>
        </w:tc>
      </w:tr>
      <w:tr w:rsidR="00000000" w14:paraId="5ED4947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54371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_cid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D17E2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_generateChartId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E1D5D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gera um identificador único de canvas para cada gráfico</w:t>
            </w:r>
          </w:p>
        </w:tc>
      </w:tr>
      <w:tr w:rsidR="00000000" w14:paraId="0A38EC1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51368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_animateNum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A6D9C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_animateNumber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FE5CC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anima a contagem visual dos indicadores numéricos</w:t>
            </w:r>
          </w:p>
        </w:tc>
      </w:tr>
      <w:tr w:rsidR="00000000" w14:paraId="730F2E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C727D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ym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50675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toYearMonthKey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99D86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converte uma data em chave de agrupamento mensal</w:t>
            </w:r>
          </w:p>
        </w:tc>
      </w:tr>
      <w:tr w:rsidR="00000000" w14:paraId="3255473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8ACF1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ymLabel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37994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toYearMonthLabel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FFC5D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converte a chave mensal em rótulo legível</w:t>
            </w:r>
          </w:p>
        </w:tc>
      </w:tr>
      <w:tr w:rsidR="00000000" w14:paraId="0307F89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9A8DE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41DCB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getColumnValue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BD022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lê o valor de uma coluna da planilha, com nomes alternativos</w:t>
            </w:r>
          </w:p>
        </w:tc>
      </w:tr>
      <w:tr w:rsidR="00000000" w14:paraId="52CC2E6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D9A18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pct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17D4D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calculatePercentage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4C866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calcula uma porcentagem arredondada</w:t>
            </w:r>
          </w:p>
        </w:tc>
      </w:tr>
      <w:tr w:rsidR="00000000" w14:paraId="7FF63D4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1BEB5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hbars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2174D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horizontalBars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8BB04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monta um gráfico de barras horizontais</w:t>
            </w:r>
          </w:p>
        </w:tc>
      </w:tr>
      <w:tr w:rsidR="00000000" w14:paraId="3580674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9AA51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chartVBars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BC2F6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verticalBarsChart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7390A1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monta o gráfico de barras verticais empilhadas</w:t>
            </w:r>
          </w:p>
        </w:tc>
      </w:tr>
      <w:tr w:rsidR="00000000" w14:paraId="3EFD85D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05D84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buildAna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46969F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buildAnalytics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0D3D82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constrói a aba Analytics</w:t>
            </w:r>
          </w:p>
        </w:tc>
      </w:tr>
      <w:tr w:rsidR="00000000" w14:paraId="1EF88FF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05166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avgField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3919D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averageField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A18F0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calcula a média de um campo numérico</w:t>
            </w:r>
          </w:p>
        </w:tc>
      </w:tr>
      <w:tr w:rsidR="00000000" w14:paraId="367BC01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B7550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normBotName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4537F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normalizeBotName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8103C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normaliza o nome de um bot para comparação aproximada</w:t>
            </w:r>
          </w:p>
        </w:tc>
      </w:tr>
    </w:tbl>
    <w:p w14:paraId="44850C7F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Além dessa revisão de siglas, uma segunda etapa traduziu para português os identificadores e comentários originalmente escritos em inglês, mantida a convenção de preservar em inglês apenas os códigos internos de status (</w:t>
      </w:r>
      <w:r>
        <w:rPr>
          <w:rStyle w:val="CdigoHTML"/>
          <w:color w:val="000000"/>
        </w:rPr>
        <w:t>done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doing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todo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blocked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cancel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closing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monitor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vendor</w:t>
      </w:r>
      <w:r>
        <w:rPr>
          <w:color w:val="000000"/>
        </w:rPr>
        <w:t xml:space="preserve">, </w:t>
      </w:r>
      <w:r>
        <w:rPr>
          <w:rStyle w:val="CdigoHTML"/>
          <w:color w:val="000000"/>
        </w:rPr>
        <w:t>other</w:t>
      </w:r>
      <w:r>
        <w:rPr>
          <w:color w:val="000000"/>
        </w:rPr>
        <w:t>), por funcionarem como um conjunto fechado de constantes internas, sem relação direta com texto exibido ao usuário.</w:t>
      </w:r>
    </w:p>
    <w:p w14:paraId="3F3D2B52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Quadro 12 — Principais funções traduzidas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4644"/>
      </w:tblGrid>
      <w:tr w:rsidR="00000000" w14:paraId="029EBF0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B3B1B2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Nome em inglês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D9D9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B4C964" w14:textId="77777777" w:rsidR="007C09E7" w:rsidRDefault="007C09E7" w:rsidP="0068507D">
            <w:pPr>
              <w:spacing w:before="150" w:after="15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Nome em português</w:t>
            </w:r>
          </w:p>
        </w:tc>
      </w:tr>
      <w:tr w:rsidR="00000000" w14:paraId="4EDC66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1202E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statusClass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06D9C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classeStatus</w:t>
            </w:r>
          </w:p>
        </w:tc>
      </w:tr>
      <w:tr w:rsidR="00000000" w14:paraId="4ECA53B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49AF5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improvementStatusClass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D9276D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classeStatusMelhoria</w:t>
            </w:r>
          </w:p>
        </w:tc>
      </w:tr>
      <w:tr w:rsidR="00000000" w14:paraId="18444D8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F99800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getStandardCoeName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4904A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nomePadraoCoe</w:t>
            </w:r>
          </w:p>
        </w:tc>
      </w:tr>
      <w:tr w:rsidR="00000000" w14:paraId="1A8223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5F7D1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getProjectPhase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4E28D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faseProjeto</w:t>
            </w:r>
          </w:p>
        </w:tc>
      </w:tr>
      <w:tr w:rsidR="00000000" w14:paraId="68F5A06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87FDE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isProjectOverdue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509C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projetoAtrasado</w:t>
            </w:r>
          </w:p>
        </w:tc>
      </w:tr>
      <w:tr w:rsidR="00000000" w14:paraId="389F4B8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16E88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getProjectRisk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E378D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riscoProjeto</w:t>
            </w:r>
          </w:p>
        </w:tc>
      </w:tr>
      <w:tr w:rsidR="00000000" w14:paraId="5CEBDDD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219D89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allActions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A577A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todasAcoes</w:t>
            </w:r>
          </w:p>
        </w:tc>
      </w:tr>
      <w:tr w:rsidR="00000000" w14:paraId="46177E4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AA665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allActionsFiltered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24B3EE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todasAcoesFiltradas</w:t>
            </w:r>
          </w:p>
        </w:tc>
      </w:tr>
      <w:tr w:rsidR="00000000" w14:paraId="480F98D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53B12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buildGovernance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BFCC5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construirGovernanca</w:t>
            </w:r>
          </w:p>
        </w:tc>
      </w:tr>
      <w:tr w:rsidR="00000000" w14:paraId="383497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66A15C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buildHeatmap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(nome mantido)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48FD93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construirMapaCalor</w:t>
            </w:r>
          </w:p>
        </w:tc>
      </w:tr>
      <w:tr w:rsidR="00000000" w14:paraId="1DFD168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B3D51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buildImprovements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032708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construirMelhorias</w:t>
            </w:r>
          </w:p>
        </w:tc>
      </w:tr>
      <w:tr w:rsidR="00000000" w14:paraId="710AC08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57055A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applyDate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751746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filtrarPorPeriodo</w:t>
            </w:r>
          </w:p>
        </w:tc>
      </w:tr>
      <w:tr w:rsidR="00000000" w14:paraId="042B257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87FA2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inDateRange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950D4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dataNoIntervalo</w:t>
            </w:r>
          </w:p>
        </w:tc>
      </w:tr>
      <w:tr w:rsidR="00000000" w14:paraId="59F61E5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497425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activeInRange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F9531B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ativoNoIntervalo</w:t>
            </w:r>
          </w:p>
        </w:tc>
      </w:tr>
      <w:tr w:rsidR="00000000" w14:paraId="11091AB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F66F74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analyzeGovernance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00000"/>
              </w:rPr>
              <w:t>analyzeProjects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etc.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1EA767" w14:textId="77777777" w:rsidR="007C09E7" w:rsidRDefault="007C09E7" w:rsidP="0068507D">
            <w:pPr>
              <w:spacing w:before="150" w:after="15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analisarGovernanca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00000"/>
              </w:rPr>
              <w:t>analisarProjetos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etc.</w:t>
            </w:r>
          </w:p>
        </w:tc>
      </w:tr>
    </w:tbl>
    <w:p w14:paraId="2551F74E" w14:textId="77777777" w:rsidR="007C09E7" w:rsidRDefault="007C09E7" w:rsidP="0068507D">
      <w:pPr>
        <w:pStyle w:val="NormalWeb"/>
        <w:jc w:val="both"/>
        <w:rPr>
          <w:color w:val="000000"/>
        </w:rPr>
      </w:pPr>
      <w:r>
        <w:rPr>
          <w:color w:val="000000"/>
        </w:rPr>
        <w:t>Esta segunda etapa, no momento da última atualização deste documento, cobre o núcleo de dados (Seção 1), a aba Governança, a aba Melhorias com o registro de atividades, e o módulo de análise automática. As funções relacionadas a upload, navegação, filtros, parsers e às abas Projetos, Analytics, RPA e Bots ainda mantêm identificadores em inglês e serão atualizadas em uma etapa posterior.</w:t>
      </w:r>
    </w:p>
    <w:sectPr w:rsidR="007C09E7" w:rsidSect="00685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E85C" w14:textId="77777777" w:rsidR="007C09E7" w:rsidRDefault="007C09E7" w:rsidP="0068507D">
      <w:r>
        <w:separator/>
      </w:r>
    </w:p>
  </w:endnote>
  <w:endnote w:type="continuationSeparator" w:id="0">
    <w:p w14:paraId="47375C2D" w14:textId="77777777" w:rsidR="007C09E7" w:rsidRDefault="007C09E7" w:rsidP="00685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E3EF" w14:textId="77777777" w:rsidR="0068507D" w:rsidRDefault="006850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8FD1" w14:textId="77777777" w:rsidR="0068507D" w:rsidRDefault="0068507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2C6D" w14:textId="77777777" w:rsidR="0068507D" w:rsidRDefault="006850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F57EA" w14:textId="77777777" w:rsidR="007C09E7" w:rsidRDefault="007C09E7" w:rsidP="0068507D">
      <w:r>
        <w:separator/>
      </w:r>
    </w:p>
  </w:footnote>
  <w:footnote w:type="continuationSeparator" w:id="0">
    <w:p w14:paraId="714F4A1B" w14:textId="77777777" w:rsidR="007C09E7" w:rsidRDefault="007C09E7" w:rsidP="00685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677A" w14:textId="77777777" w:rsidR="0068507D" w:rsidRDefault="0068507D" w:rsidP="00CB489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11D7AC5E" w14:textId="77777777" w:rsidR="0068507D" w:rsidRDefault="0068507D" w:rsidP="0068507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A68F" w14:textId="5F81A3B9" w:rsidR="0068507D" w:rsidRDefault="0068507D" w:rsidP="00CB489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07A809C" w14:textId="77777777" w:rsidR="0068507D" w:rsidRDefault="0068507D" w:rsidP="0068507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D262" w14:textId="77777777" w:rsidR="0068507D" w:rsidRDefault="006850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8499E"/>
    <w:multiLevelType w:val="multilevel"/>
    <w:tmpl w:val="EB46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83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7D"/>
    <w:rsid w:val="000E78DD"/>
    <w:rsid w:val="0068507D"/>
    <w:rsid w:val="007C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B6DA0"/>
  <w15:chartTrackingRefBased/>
  <w15:docId w15:val="{C5A06BC3-7A93-482C-B2AE-9856F6C0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100" w:afterAutospacing="1"/>
      <w:outlineLvl w:val="0"/>
    </w:pPr>
    <w:rPr>
      <w:b/>
      <w:bCs/>
      <w:caps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spacing w:before="330" w:after="100" w:afterAutospacing="1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240" w:after="100" w:afterAutospacing="1"/>
      <w:outlineLvl w:val="2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80"/>
      <w:ind w:firstLine="709"/>
    </w:pPr>
  </w:style>
  <w:style w:type="paragraph" w:styleId="NormalWeb">
    <w:name w:val="Normal (Web)"/>
    <w:basedOn w:val="Normal"/>
    <w:uiPriority w:val="99"/>
    <w:semiHidden/>
    <w:unhideWhenUsed/>
    <w:pPr>
      <w:spacing w:after="180"/>
      <w:ind w:firstLine="709"/>
    </w:pPr>
  </w:style>
  <w:style w:type="paragraph" w:customStyle="1" w:styleId="capa">
    <w:name w:val="capa"/>
    <w:basedOn w:val="Normal"/>
    <w:pPr>
      <w:spacing w:before="30" w:after="30"/>
      <w:jc w:val="center"/>
    </w:pPr>
  </w:style>
  <w:style w:type="paragraph" w:customStyle="1" w:styleId="sumario-item">
    <w:name w:val="sumario-item"/>
    <w:basedOn w:val="Normal"/>
    <w:pPr>
      <w:spacing w:before="60" w:after="60"/>
      <w:jc w:val="both"/>
    </w:pPr>
  </w:style>
  <w:style w:type="paragraph" w:customStyle="1" w:styleId="instituicao">
    <w:name w:val="instituicao"/>
    <w:basedOn w:val="Normal"/>
    <w:pPr>
      <w:spacing w:before="30" w:after="30"/>
      <w:jc w:val="both"/>
    </w:pPr>
  </w:style>
  <w:style w:type="paragraph" w:customStyle="1" w:styleId="titulo">
    <w:name w:val="titulo"/>
    <w:basedOn w:val="Normal"/>
    <w:pPr>
      <w:spacing w:before="30" w:after="30"/>
      <w:jc w:val="both"/>
    </w:pPr>
  </w:style>
  <w:style w:type="paragraph" w:customStyle="1" w:styleId="subtitulo">
    <w:name w:val="subtitulo"/>
    <w:basedOn w:val="Normal"/>
    <w:pPr>
      <w:spacing w:before="30" w:after="30"/>
      <w:jc w:val="both"/>
    </w:pPr>
  </w:style>
  <w:style w:type="paragraph" w:customStyle="1" w:styleId="natureza">
    <w:name w:val="natureza"/>
    <w:basedOn w:val="Normal"/>
    <w:pPr>
      <w:spacing w:before="30" w:after="30"/>
      <w:jc w:val="both"/>
    </w:pPr>
  </w:style>
  <w:style w:type="paragraph" w:customStyle="1" w:styleId="local">
    <w:name w:val="local"/>
    <w:basedOn w:val="Normal"/>
    <w:pPr>
      <w:spacing w:before="30" w:after="30"/>
      <w:jc w:val="both"/>
    </w:pPr>
  </w:style>
  <w:style w:type="paragraph" w:customStyle="1" w:styleId="instituicao1">
    <w:name w:val="instituicao1"/>
    <w:basedOn w:val="Normal"/>
    <w:pPr>
      <w:spacing w:before="1134" w:after="180"/>
    </w:pPr>
    <w:rPr>
      <w:caps/>
    </w:rPr>
  </w:style>
  <w:style w:type="paragraph" w:customStyle="1" w:styleId="titulo1">
    <w:name w:val="titulo1"/>
    <w:basedOn w:val="Normal"/>
    <w:pPr>
      <w:spacing w:before="3686" w:after="180"/>
    </w:pPr>
    <w:rPr>
      <w:b/>
      <w:bCs/>
      <w:caps/>
      <w:sz w:val="40"/>
      <w:szCs w:val="40"/>
    </w:rPr>
  </w:style>
  <w:style w:type="paragraph" w:customStyle="1" w:styleId="subtitulo1">
    <w:name w:val="subtitulo1"/>
    <w:basedOn w:val="Normal"/>
    <w:pPr>
      <w:spacing w:before="284" w:after="180"/>
    </w:pPr>
    <w:rPr>
      <w:sz w:val="28"/>
      <w:szCs w:val="28"/>
    </w:rPr>
  </w:style>
  <w:style w:type="paragraph" w:customStyle="1" w:styleId="natureza1">
    <w:name w:val="natureza1"/>
    <w:basedOn w:val="Normal"/>
    <w:pPr>
      <w:spacing w:before="2835"/>
    </w:pPr>
  </w:style>
  <w:style w:type="paragraph" w:customStyle="1" w:styleId="local1">
    <w:name w:val="local1"/>
    <w:basedOn w:val="Normal"/>
    <w:pPr>
      <w:spacing w:before="3402" w:after="180"/>
    </w:pPr>
    <w:rPr>
      <w:caps/>
    </w:rPr>
  </w:style>
  <w:style w:type="paragraph" w:styleId="Cabealho">
    <w:name w:val="header"/>
    <w:basedOn w:val="Normal"/>
    <w:link w:val="CabealhoChar"/>
    <w:uiPriority w:val="99"/>
    <w:unhideWhenUsed/>
    <w:rsid w:val="0068507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507D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8507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507D"/>
    <w:rPr>
      <w:rFonts w:eastAsiaTheme="minorEastAsia"/>
      <w:sz w:val="24"/>
      <w:szCs w:val="24"/>
    </w:rPr>
  </w:style>
  <w:style w:type="character" w:styleId="Nmerodepgina">
    <w:name w:val="page number"/>
    <w:basedOn w:val="Fontepargpadro"/>
    <w:uiPriority w:val="99"/>
    <w:semiHidden/>
    <w:unhideWhenUsed/>
    <w:rsid w:val="00685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4836</Words>
  <Characters>26119</Characters>
  <Application>Microsoft Office Word</Application>
  <DocSecurity>0</DocSecurity>
  <Lines>217</Lines>
  <Paragraphs>61</Paragraphs>
  <ScaleCrop>false</ScaleCrop>
  <Company/>
  <LinksUpToDate>false</LinksUpToDate>
  <CharactersWithSpaces>30894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Archangelo, Gustavo Lucas</dc:creator>
  <cp:keywords/>
  <dc:description/>
  <cp:lastModifiedBy>Archangelo, Gustavo Lucas</cp:lastModifiedBy>
  <cp:revision>2</cp:revision>
  <dcterms:created xsi:type="dcterms:W3CDTF">2026-07-14T13:30:00Z</dcterms:created>
  <dcterms:modified xsi:type="dcterms:W3CDTF">2026-07-14T13:30:00Z</dcterms:modified>
</cp:coreProperties>
</file>