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EDD0D" w14:textId="77777777" w:rsidR="005E0918" w:rsidRDefault="005E0918" w:rsidP="00377833">
      <w:pPr>
        <w:pStyle w:val="instituicao1"/>
        <w:jc w:val="center"/>
        <w:rPr>
          <w:color w:val="000000"/>
        </w:rPr>
      </w:pPr>
      <w:r>
        <w:rPr>
          <w:color w:val="000000"/>
        </w:rPr>
        <w:t>Saint-Gobain · GBS Brasil</w:t>
      </w:r>
      <w:r>
        <w:rPr>
          <w:color w:val="000000"/>
        </w:rPr>
        <w:br w:type="page"/>
      </w:r>
      <w:r>
        <w:rPr>
          <w:color w:val="000000"/>
        </w:rPr>
        <w:lastRenderedPageBreak/>
        <w:t>CoE Projetos e Automações</w:t>
      </w:r>
    </w:p>
    <w:p w14:paraId="5C92FE7B" w14:textId="77777777" w:rsidR="005E0918" w:rsidRDefault="005E0918" w:rsidP="00377833">
      <w:pPr>
        <w:pStyle w:val="titulo1"/>
        <w:jc w:val="center"/>
        <w:rPr>
          <w:color w:val="000000"/>
        </w:rPr>
      </w:pPr>
      <w:r>
        <w:rPr>
          <w:color w:val="000000"/>
        </w:rPr>
        <w:t>SYNAPSE</w:t>
      </w:r>
    </w:p>
    <w:p w14:paraId="0E39AED2" w14:textId="77777777" w:rsidR="005E0918" w:rsidRDefault="005E0918" w:rsidP="00377833">
      <w:pPr>
        <w:pStyle w:val="subtitulo1"/>
        <w:jc w:val="center"/>
        <w:rPr>
          <w:color w:val="000000"/>
        </w:rPr>
      </w:pPr>
      <w:r>
        <w:rPr>
          <w:color w:val="000000"/>
        </w:rPr>
        <w:t>Documentação Técnica do Painel de Governança</w:t>
      </w:r>
    </w:p>
    <w:p w14:paraId="55F4649C" w14:textId="77777777" w:rsidR="005E0918" w:rsidRDefault="005E0918" w:rsidP="00377833">
      <w:pPr>
        <w:pStyle w:val="natureza1"/>
        <w:rPr>
          <w:color w:val="000000"/>
        </w:rPr>
      </w:pPr>
      <w:r>
        <w:rPr>
          <w:color w:val="000000"/>
        </w:rPr>
        <w:t>Documentação técnica de referência do sistema SYNAPSE, elaborada para uso interno da equipe de Governança do GBS.</w:t>
      </w:r>
    </w:p>
    <w:p w14:paraId="1BC4A8F7" w14:textId="77777777" w:rsidR="005E0918" w:rsidRDefault="005E0918" w:rsidP="00377833">
      <w:pPr>
        <w:pStyle w:val="local1"/>
        <w:jc w:val="center"/>
        <w:rPr>
          <w:color w:val="000000"/>
        </w:rPr>
      </w:pPr>
      <w:r>
        <w:rPr>
          <w:color w:val="000000"/>
        </w:rPr>
        <w:t>Brasil</w:t>
      </w:r>
      <w:r>
        <w:rPr>
          <w:color w:val="000000"/>
        </w:rPr>
        <w:br w:type="page"/>
      </w:r>
      <w:r>
        <w:rPr>
          <w:color w:val="000000"/>
        </w:rPr>
        <w:lastRenderedPageBreak/>
        <w:t>2026</w:t>
      </w:r>
    </w:p>
    <w:p w14:paraId="6292BB9C" w14:textId="77777777" w:rsidR="005E0918" w:rsidRDefault="005E0918" w:rsidP="00377833">
      <w:pPr>
        <w:pStyle w:val="Ttulo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SYNAPSE — Documentação Técnica</w:t>
      </w:r>
    </w:p>
    <w:p w14:paraId="32342C22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Painel de Governança do CoE de Projetos e Automações — GBS Saint-Gobain Brasil</w:t>
      </w:r>
    </w:p>
    <w:p w14:paraId="168DF3BD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Este documento descreve o funcionamento interno do SYNAPSE: a estrutura de dados, o comportamento de cada tela e as regras usadas para ler e transformar as planilhas carregadas pelo usuário. O objetivo é permitir que qualquer pessoa da equipe entenda o sistema sem precisar ler o código-fonte diretamente.</w:t>
      </w:r>
    </w:p>
    <w:p w14:paraId="5ECC55E7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D146EDD">
          <v:rect id="_x0000_i1025" style="width:0;height:1.5pt" o:hralign="center" o:hrstd="t" o:hr="t" fillcolor="#a0a0a0" stroked="f"/>
        </w:pict>
      </w:r>
    </w:p>
    <w:p w14:paraId="60085A41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Sumário</w:t>
      </w:r>
    </w:p>
    <w:p w14:paraId="3B7B5990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Arquitetura geral</w:t>
      </w:r>
    </w:p>
    <w:p w14:paraId="0627BD03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Estado global (</w:t>
      </w:r>
      <w:r>
        <w:rPr>
          <w:rStyle w:val="CdigoHTML"/>
          <w:color w:val="000000"/>
        </w:rPr>
        <w:t>App</w:t>
      </w:r>
      <w:r>
        <w:rPr>
          <w:rFonts w:eastAsia="Times New Roman"/>
          <w:color w:val="000000"/>
        </w:rPr>
        <w:t>)</w:t>
      </w:r>
    </w:p>
    <w:p w14:paraId="3D8ACB72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Tela de upload</w:t>
      </w:r>
    </w:p>
    <w:p w14:paraId="10ABA677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Geração do dashboard</w:t>
      </w:r>
    </w:p>
    <w:p w14:paraId="241DD2BD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Leitura e transformação das planilhas</w:t>
      </w:r>
    </w:p>
    <w:p w14:paraId="272A5648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Normalização de status</w:t>
      </w:r>
    </w:p>
    <w:p w14:paraId="1E3CD5C9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Filtro global de período</w:t>
      </w:r>
    </w:p>
    <w:p w14:paraId="1EE23A64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Barra superior</w:t>
      </w:r>
    </w:p>
    <w:p w14:paraId="67E6D4E9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Navegação entre abas</w:t>
      </w:r>
    </w:p>
    <w:p w14:paraId="1D82CC88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Painel de Controle</w:t>
      </w:r>
    </w:p>
    <w:p w14:paraId="3DED47BC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Projetos</w:t>
      </w:r>
    </w:p>
    <w:p w14:paraId="52E5D854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Pipefy Melhorias</w:t>
      </w:r>
    </w:p>
    <w:p w14:paraId="56A8F0F8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Registro manual de atividades</w:t>
      </w:r>
    </w:p>
    <w:p w14:paraId="2A314DDC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Analytics</w:t>
      </w:r>
    </w:p>
    <w:p w14:paraId="4084BCC0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Aba RPA e Bots</w:t>
      </w:r>
    </w:p>
    <w:p w14:paraId="3F49E4B2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Análise automática</w:t>
      </w:r>
    </w:p>
    <w:p w14:paraId="10D75D6E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Gráficos</w:t>
      </w:r>
    </w:p>
    <w:p w14:paraId="3127F37E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Exportação para PDF</w:t>
      </w:r>
    </w:p>
    <w:p w14:paraId="64B4FAE5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Fundo animado</w:t>
      </w:r>
    </w:p>
    <w:p w14:paraId="0E0A0008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Privacidade e segurança</w:t>
      </w:r>
    </w:p>
    <w:p w14:paraId="30AFE868" w14:textId="77777777" w:rsidR="005E0918" w:rsidRDefault="005E0918" w:rsidP="00377833">
      <w:pPr>
        <w:numPr>
          <w:ilvl w:val="0"/>
          <w:numId w:val="1"/>
        </w:numPr>
        <w:spacing w:before="30" w:after="30"/>
        <w:jc w:val="both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Glossário de renomeações</w:t>
      </w:r>
    </w:p>
    <w:p w14:paraId="6773ABC8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33EDD387">
          <v:rect id="_x0000_i1026" style="width:0;height:1.5pt" o:hralign="center" o:hrstd="t" o:hr="t" fillcolor="#a0a0a0" stroked="f"/>
        </w:pict>
      </w:r>
    </w:p>
    <w:p w14:paraId="5B91F4DE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 Arquitetura geral</w:t>
      </w:r>
    </w:p>
    <w:p w14:paraId="096BC0FE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SYNAPSE roda inteiramente no navegador do usuário. Não há servidor, banco de dados ou API própria associada à aplicação — o processamento das planilhas, os cálculos e a montagem dos gráficos acontecem no cliente.</w:t>
      </w:r>
    </w:p>
    <w:p w14:paraId="05D789A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fluxo de uso segue esta sequência: o usuário carrega duas planilhas Excel; o </w:t>
      </w:r>
      <w:r>
        <w:rPr>
          <w:rStyle w:val="CdigoHTML"/>
          <w:color w:val="000000"/>
        </w:rPr>
        <w:t>FileReader</w:t>
      </w:r>
      <w:r>
        <w:rPr>
          <w:color w:val="000000"/>
        </w:rPr>
        <w:t xml:space="preserve">, API nativa do navegador, lê cada arquivo como </w:t>
      </w:r>
      <w:r>
        <w:rPr>
          <w:rStyle w:val="CdigoHTML"/>
          <w:color w:val="000000"/>
        </w:rPr>
        <w:t>ArrayBuffer</w:t>
      </w:r>
      <w:r>
        <w:rPr>
          <w:color w:val="000000"/>
        </w:rPr>
        <w:t xml:space="preserve">; a biblioteca SheetJS converte o binário em um objeto de planilha (*workbook*); os parsers percorrem as abas relevantes e produzem arrays de objetos normalizados, armazenados em </w:t>
      </w:r>
      <w:r>
        <w:rPr>
          <w:rStyle w:val="CdigoHTML"/>
          <w:color w:val="000000"/>
        </w:rPr>
        <w:t>App.P.*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App.R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App.B</w:t>
      </w:r>
      <w:r>
        <w:rPr>
          <w:color w:val="000000"/>
        </w:rPr>
        <w:t xml:space="preserve">; cada função de construção de aba lê esses arrays, aplica o filtro de período ativo e monta </w:t>
      </w:r>
      <w:r>
        <w:rPr>
          <w:color w:val="000000"/>
        </w:rPr>
        <w:lastRenderedPageBreak/>
        <w:t xml:space="preserve">o HTML correspondente; por fim, o Chart.js desenha os gráficos dentro dos elementos </w:t>
      </w:r>
      <w:r>
        <w:rPr>
          <w:rStyle w:val="CdigoHTML"/>
          <w:color w:val="000000"/>
        </w:rPr>
        <w:t>&lt;canvas&gt;</w:t>
      </w:r>
      <w:r>
        <w:rPr>
          <w:color w:val="000000"/>
        </w:rPr>
        <w:t xml:space="preserve"> inseridos na página.</w:t>
      </w:r>
    </w:p>
    <w:p w14:paraId="38C94435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Não há envio de dados para fora do navegador em nenhuma etapa desse fluxo — o código não contém chamadas de </w:t>
      </w:r>
      <w:r>
        <w:rPr>
          <w:rStyle w:val="CdigoHTML"/>
          <w:color w:val="000000"/>
        </w:rPr>
        <w:t>fetch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XMLHttpRequest</w:t>
      </w:r>
      <w:r>
        <w:rPr>
          <w:color w:val="000000"/>
        </w:rPr>
        <w:t xml:space="preserve"> ou </w:t>
      </w:r>
      <w:r>
        <w:rPr>
          <w:rStyle w:val="CdigoHTML"/>
          <w:color w:val="000000"/>
        </w:rPr>
        <w:t>WebSocket</w:t>
      </w:r>
      <w:r>
        <w:rPr>
          <w:color w:val="000000"/>
        </w:rPr>
        <w:t xml:space="preserve"> </w:t>
      </w:r>
      <w:r>
        <w:rPr>
          <w:color w:val="000000"/>
        </w:rPr>
        <w:t>para nenhum servidor próprio. As únicas conexões de rede da página servem para carregar bibliotecas, ícones e fontes hospedados em CDN, que não recebem o conteúdo das planilhas.</w:t>
      </w:r>
    </w:p>
    <w:p w14:paraId="1C4A6BFD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1 — Bibliotecas externas utilizadas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0"/>
        <w:gridCol w:w="5425"/>
      </w:tblGrid>
      <w:tr w:rsidR="00000000" w14:paraId="2EB093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E1D8E5E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Biblioteca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EB9498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Finalidade</w:t>
            </w:r>
          </w:p>
        </w:tc>
      </w:tr>
      <w:tr w:rsidR="00000000" w14:paraId="7908947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17F20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SheetJS (</w:t>
            </w:r>
            <w:r>
              <w:rPr>
                <w:rStyle w:val="CdigoHTML"/>
                <w:color w:val="000000"/>
              </w:rPr>
              <w:t>xlsx.full.min.js</w:t>
            </w:r>
            <w:r>
              <w:rPr>
                <w:rFonts w:eastAsia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AC4CB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Leitura de arquivos </w:t>
            </w:r>
            <w:r>
              <w:rPr>
                <w:rStyle w:val="CdigoHTML"/>
                <w:color w:val="000000"/>
              </w:rPr>
              <w:t>.xlsx</w:t>
            </w:r>
            <w:r>
              <w:rPr>
                <w:rFonts w:eastAsia="Times New Roman"/>
                <w:color w:val="000000"/>
                <w:sz w:val="20"/>
                <w:szCs w:val="20"/>
              </w:rPr>
              <w:t>/</w:t>
            </w:r>
            <w:r>
              <w:rPr>
                <w:rStyle w:val="CdigoHTML"/>
                <w:color w:val="000000"/>
              </w:rPr>
              <w:t>.xls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no navegador</w:t>
            </w:r>
          </w:p>
        </w:tc>
      </w:tr>
      <w:tr w:rsidR="00000000" w14:paraId="4EE503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35C1F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Chart.js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60493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Renderização dos gráficos de linha, barra e donut</w:t>
            </w:r>
          </w:p>
        </w:tc>
      </w:tr>
      <w:tr w:rsidR="00000000" w14:paraId="6FDCCBD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B65F3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Tabler Icons (webfont)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6F5A0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Ícones da interface</w:t>
            </w:r>
          </w:p>
        </w:tc>
      </w:tr>
      <w:tr w:rsidR="00000000" w14:paraId="29847B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845A5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Google Fonts (Inter, Syne)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8A524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Tipografia</w:t>
            </w:r>
          </w:p>
        </w:tc>
      </w:tr>
    </w:tbl>
    <w:p w14:paraId="5A946F59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1.1 Por que existem dois códigos-fonte: </w:t>
      </w:r>
      <w:r>
        <w:rPr>
          <w:rStyle w:val="CdigoHTML"/>
          <w:color w:val="000000"/>
        </w:rPr>
        <w:t>app.js</w:t>
      </w:r>
      <w:r>
        <w:rPr>
          <w:rFonts w:eastAsia="Times New Roman"/>
          <w:color w:val="000000"/>
        </w:rPr>
        <w:t xml:space="preserve"> e </w:t>
      </w:r>
      <w:r>
        <w:rPr>
          <w:rStyle w:val="CdigoHTML"/>
          <w:color w:val="000000"/>
        </w:rPr>
        <w:t>src/</w:t>
      </w:r>
    </w:p>
    <w:p w14:paraId="0B808127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</w:t>
      </w:r>
      <w:r>
        <w:rPr>
          <w:rStyle w:val="CdigoHTML"/>
          <w:color w:val="000000"/>
        </w:rPr>
        <w:t>index.html</w:t>
      </w:r>
      <w:r>
        <w:rPr>
          <w:color w:val="000000"/>
        </w:rPr>
        <w:t xml:space="preserve"> carrega um único arquivo de script — </w:t>
      </w:r>
      <w:r>
        <w:rPr>
          <w:rStyle w:val="CdigoHTML"/>
          <w:color w:val="000000"/>
        </w:rPr>
        <w:t>&lt;script src="app.js"&gt;</w:t>
      </w:r>
      <w:r>
        <w:rPr>
          <w:color w:val="000000"/>
        </w:rPr>
        <w:t xml:space="preserve">, sem </w:t>
      </w:r>
      <w:r>
        <w:rPr>
          <w:rStyle w:val="CdigoHTML"/>
          <w:color w:val="000000"/>
        </w:rPr>
        <w:t>type="module"</w:t>
      </w:r>
      <w:r>
        <w:rPr>
          <w:color w:val="000000"/>
        </w:rPr>
        <w:t xml:space="preserve"> e sem nenhum passo de build por trás. É esse arquivo, e só ele, que o navegador executa; qualquer alteração que não seja feita nele não tem efeito nenhum no site publicado.</w:t>
      </w:r>
    </w:p>
    <w:p w14:paraId="5BE76426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pasta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contém a mesma lógica reescrita em cerca de vinte módulos menores, cada um com suas próprias declarações </w:t>
      </w:r>
      <w:r>
        <w:rPr>
          <w:rStyle w:val="CdigoHTML"/>
          <w:color w:val="000000"/>
        </w:rPr>
        <w:t>import</w:t>
      </w:r>
      <w:r>
        <w:rPr>
          <w:color w:val="000000"/>
        </w:rPr>
        <w:t>/</w:t>
      </w:r>
      <w:r>
        <w:rPr>
          <w:rStyle w:val="CdigoHTML"/>
          <w:color w:val="000000"/>
        </w:rPr>
        <w:t>export</w:t>
      </w:r>
      <w:r>
        <w:rPr>
          <w:color w:val="000000"/>
        </w:rPr>
        <w:t>. Ela existe apenas como material de referência para leitura e manutenção futura — não é carregada pelo navegador e não é compilada em momento algum.</w:t>
      </w:r>
    </w:p>
    <w:p w14:paraId="56F9DB5F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razão de manter as duas versões é uma restrição do ambiente: transformar os módulos de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num único arquivo executável exigiria um empacotador (esbuild, webpack, vite ou similar), e todos eles dependem de Node.js — que não está instalado nesta máquina e cuja instalação não é permitida neste computador corporativo. Sem essa ferramenta, o conteúdo de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</w:t>
      </w:r>
      <w:r>
        <w:rPr>
          <w:color w:val="000000"/>
        </w:rPr>
        <w:t>não tem como se tornar, sozinho, o arquivo que o site carrega.</w:t>
      </w:r>
    </w:p>
    <w:p w14:paraId="4A61B5F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Consequência prática: toda alteração de comportamento precisa ser aplicada duas vezes — uma em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, que é o que realmente roda, e outra, espelhada, no módulo correspondente de </w:t>
      </w:r>
      <w:r>
        <w:rPr>
          <w:rStyle w:val="CdigoHTML"/>
          <w:color w:val="000000"/>
        </w:rPr>
        <w:t>src/</w:t>
      </w:r>
      <w:r>
        <w:rPr>
          <w:color w:val="000000"/>
        </w:rPr>
        <w:t>, para que a versão de referência não fique desatualizada. Essa duplicação é deliberada, não um descuido de manutenção.</w:t>
      </w:r>
    </w:p>
    <w:p w14:paraId="218F62A9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Existe uma alternativa que eliminaria a necessidade de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</w:t>
      </w:r>
      <w:r>
        <w:rPr>
          <w:color w:val="000000"/>
        </w:rPr>
        <w:t xml:space="preserve">sem depender de Node.js: módulos ES são executados nativamente por qualquer navegador moderno, sem empacotador, bastando declarar </w:t>
      </w:r>
      <w:r>
        <w:rPr>
          <w:rStyle w:val="CdigoHTML"/>
          <w:color w:val="000000"/>
        </w:rPr>
        <w:t>&lt;script type="module" src="src/main.js"&gt;</w:t>
      </w:r>
      <w:r>
        <w:rPr>
          <w:color w:val="000000"/>
        </w:rPr>
        <w:t xml:space="preserve"> no HTML. Essa mudança tornaria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o código real do site. A ressalva é o teste local: abrir o </w:t>
      </w:r>
      <w:r>
        <w:rPr>
          <w:rStyle w:val="CdigoHTML"/>
          <w:color w:val="000000"/>
        </w:rPr>
        <w:t>index.html</w:t>
      </w:r>
      <w:r>
        <w:rPr>
          <w:color w:val="000000"/>
        </w:rPr>
        <w:t xml:space="preserve"> diretamente do disco (protocolo </w:t>
      </w:r>
      <w:r>
        <w:rPr>
          <w:rStyle w:val="CdigoHTML"/>
          <w:color w:val="000000"/>
        </w:rPr>
        <w:t>file://</w:t>
      </w:r>
      <w:r>
        <w:rPr>
          <w:color w:val="000000"/>
        </w:rPr>
        <w:t xml:space="preserve">) bloqueia o carregamento de módulos por restrição de segurança do navegador, então seria necessário servir a pasta por algum servidor local simples durante o desenvolvimento — por exemplo, a extensão "Live Server" do VS Code, que não depende de </w:t>
      </w:r>
      <w:r>
        <w:rPr>
          <w:color w:val="000000"/>
        </w:rPr>
        <w:lastRenderedPageBreak/>
        <w:t xml:space="preserve">Node.js nem de Python. Essa migração ainda não foi realizada; até que seja,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continua sendo a fonte da verdade.</w:t>
      </w:r>
    </w:p>
    <w:p w14:paraId="14C8A645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5D8A135">
          <v:rect id="_x0000_i1027" style="width:0;height:1.5pt" o:hralign="center" o:hrstd="t" o:hr="t" fillcolor="#a0a0a0" stroked="f"/>
        </w:pict>
      </w:r>
    </w:p>
    <w:p w14:paraId="709F535F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 Estado global (</w:t>
      </w:r>
      <w:r>
        <w:rPr>
          <w:rStyle w:val="CdigoHTML"/>
          <w:color w:val="000000"/>
        </w:rPr>
        <w:t>App</w:t>
      </w:r>
      <w:r>
        <w:rPr>
          <w:rFonts w:eastAsia="Times New Roman"/>
          <w:color w:val="000000"/>
        </w:rPr>
        <w:t>)</w:t>
      </w:r>
    </w:p>
    <w:p w14:paraId="2B4E4718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Um único objeto, </w:t>
      </w:r>
      <w:r>
        <w:rPr>
          <w:rStyle w:val="CdigoHTML"/>
          <w:color w:val="000000"/>
        </w:rPr>
        <w:t>App</w:t>
      </w:r>
      <w:r>
        <w:rPr>
          <w:color w:val="000000"/>
        </w:rPr>
        <w:t>, concentra todo o estado da aplicação e é compartilhado por todas as funções:</w:t>
      </w:r>
    </w:p>
    <w:p w14:paraId="750A26A0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>App = {</w:t>
      </w:r>
    </w:p>
    <w:p w14:paraId="2178D032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gov: null,     </w:t>
      </w:r>
      <w:r>
        <w:rPr>
          <w:color w:val="000000"/>
        </w:rPr>
        <w:t xml:space="preserve">      // workbook da Base Governança, após o upload</w:t>
      </w:r>
    </w:p>
    <w:p w14:paraId="32D7E29C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rpa: null,            // workbook do relatório de Chamados RPA</w:t>
      </w:r>
    </w:p>
    <w:p w14:paraId="1F1D4959" w14:textId="77777777" w:rsidR="005E0918" w:rsidRDefault="005E0918" w:rsidP="00377833">
      <w:pPr>
        <w:pStyle w:val="Pr-formataoHTML"/>
        <w:jc w:val="both"/>
        <w:rPr>
          <w:color w:val="000000"/>
        </w:rPr>
      </w:pPr>
    </w:p>
    <w:p w14:paraId="4193AA88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P: {</w:t>
      </w:r>
    </w:p>
    <w:p w14:paraId="5901FD05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  improvements: [],  // Pipefy_Melhorias normalizado</w:t>
      </w:r>
    </w:p>
    <w:p w14:paraId="3C548BF2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  proj: [],          // Projetos normalizado</w:t>
      </w:r>
    </w:p>
    <w:p w14:paraId="1289A8AB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  ana: []            // Analytics normalizado</w:t>
      </w:r>
    </w:p>
    <w:p w14:paraId="46187539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},</w:t>
      </w:r>
    </w:p>
    <w:p w14:paraId="3355E207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R: [],               // Chamados RPA normalizados</w:t>
      </w:r>
    </w:p>
    <w:p w14:paraId="00CCE39D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B: [],               // Inventário de Bots normalizado</w:t>
      </w:r>
    </w:p>
    <w:p w14:paraId="4F44B2EF" w14:textId="77777777" w:rsidR="005E0918" w:rsidRDefault="005E0918" w:rsidP="00377833">
      <w:pPr>
        <w:pStyle w:val="Pr-formataoHTML"/>
        <w:jc w:val="both"/>
        <w:rPr>
          <w:color w:val="000000"/>
        </w:rPr>
      </w:pPr>
    </w:p>
    <w:p w14:paraId="19915DCF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loaded: { gov:false, rpa:false },</w:t>
      </w:r>
    </w:p>
    <w:p w14:paraId="78C88B1D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dateRange: { mode:'all', from:null, to:null },</w:t>
      </w:r>
    </w:p>
    <w:p w14:paraId="408DCB3A" w14:textId="77777777" w:rsidR="005E0918" w:rsidRDefault="005E0918" w:rsidP="00377833">
      <w:pPr>
        <w:pStyle w:val="Pr-formataoHTML"/>
        <w:jc w:val="both"/>
        <w:rPr>
          <w:color w:val="000000"/>
        </w:rPr>
      </w:pPr>
    </w:p>
    <w:p w14:paraId="1ABA34EF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projOpen: new Set(),</w:t>
      </w:r>
    </w:p>
    <w:p w14:paraId="748D6586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</w:t>
      </w:r>
      <w:r>
        <w:rPr>
          <w:color w:val="000000"/>
        </w:rPr>
        <w:t>projChips: { atraso:false, risco:false },</w:t>
      </w:r>
    </w:p>
    <w:p w14:paraId="6F7CC86D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govFrente: '',</w:t>
      </w:r>
    </w:p>
    <w:p w14:paraId="2121FC74" w14:textId="77777777" w:rsidR="005E0918" w:rsidRDefault="005E0918" w:rsidP="00377833">
      <w:pPr>
        <w:pStyle w:val="Pr-formataoHTML"/>
        <w:jc w:val="both"/>
        <w:rPr>
          <w:color w:val="000000"/>
        </w:rPr>
      </w:pPr>
    </w:p>
    <w:p w14:paraId="2FDEB58C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botsOpen: new Set(),</w:t>
      </w:r>
    </w:p>
    <w:p w14:paraId="0DE799AC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 xml:space="preserve">  rpaWarn: ''</w:t>
      </w:r>
    </w:p>
    <w:p w14:paraId="08FF1ED9" w14:textId="77777777" w:rsidR="005E0918" w:rsidRDefault="005E0918" w:rsidP="00377833">
      <w:pPr>
        <w:pStyle w:val="Pr-formataoHTML"/>
        <w:jc w:val="both"/>
        <w:rPr>
          <w:color w:val="000000"/>
        </w:rPr>
      </w:pPr>
      <w:r>
        <w:rPr>
          <w:color w:val="000000"/>
        </w:rPr>
        <w:t>}</w:t>
      </w:r>
    </w:p>
    <w:p w14:paraId="3E4F299F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Nada nesse objeto é persistido entre sessões. Ao recarregar a página, todo o estado volta ao valor inicial e é necessário carregar as planilhas novamente. A única exceção é o registro de atividades da aba Pipefy Melhorias, gravado em </w:t>
      </w:r>
      <w:r>
        <w:rPr>
          <w:rStyle w:val="CdigoHTML"/>
          <w:color w:val="000000"/>
        </w:rPr>
        <w:t>localStorage</w:t>
      </w:r>
      <w:r>
        <w:rPr>
          <w:color w:val="000000"/>
        </w:rPr>
        <w:t xml:space="preserve"> e descrito na seção 13.</w:t>
      </w:r>
    </w:p>
    <w:p w14:paraId="7DFC9AD7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2AD4CD1">
          <v:rect id="_x0000_i1028" style="width:0;height:1.5pt" o:hralign="center" o:hrstd="t" o:hr="t" fillcolor="#a0a0a0" stroked="f"/>
        </w:pict>
      </w:r>
    </w:p>
    <w:p w14:paraId="5ECD2164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 Tela de upload</w:t>
      </w:r>
    </w:p>
    <w:p w14:paraId="7E86D9C2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A tela inicial apresenta dois cartões de upload lado a lado — Base Governança e Chamados RPA. Cada cartão funciona como uma área de arraste e soltura (*dropzone*).</w:t>
      </w:r>
    </w:p>
    <w:p w14:paraId="165CDEEA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2 — Interações da área de upload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5950"/>
      </w:tblGrid>
      <w:tr w:rsidR="00000000" w14:paraId="5213DE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E07F2B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Ação do usuário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7B4506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Função acionada</w:t>
            </w:r>
          </w:p>
        </w:tc>
      </w:tr>
      <w:tr w:rsidR="00000000" w14:paraId="2CD9BB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3AA7F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Clique na área tracejada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4B53C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Aciona o </w:t>
            </w:r>
            <w:r>
              <w:rPr>
                <w:rStyle w:val="CdigoHTML"/>
                <w:color w:val="000000"/>
              </w:rPr>
              <w:t>&lt;input type="file"&gt;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oculto, abrindo o seletor de arquivos do sistema</w:t>
            </w:r>
          </w:p>
        </w:tc>
      </w:tr>
      <w:tr w:rsidR="00000000" w14:paraId="054A1C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0D58F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Arrastar um arquivo sobre a 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1B9C5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handleDropzoneDragOver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destaca a área com a classe </w:t>
            </w:r>
            <w:r>
              <w:rPr>
                <w:rStyle w:val="CdigoHTML"/>
                <w:color w:val="000000"/>
              </w:rPr>
              <w:t>.over</w:t>
            </w:r>
          </w:p>
        </w:tc>
      </w:tr>
      <w:tr w:rsidR="00000000" w14:paraId="2F88C0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38668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Arrastar para fora da 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C1814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handleDropzoneDragLeave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remove o destaque</w:t>
            </w:r>
          </w:p>
        </w:tc>
      </w:tr>
      <w:tr w:rsidR="00000000" w14:paraId="67E510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56942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Soltar o arquivo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7EB4A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handleDropzoneDrop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lê o arquivo solto e chama </w:t>
            </w:r>
            <w:r>
              <w:rPr>
                <w:rStyle w:val="CdigoHTML"/>
                <w:color w:val="000000"/>
              </w:rPr>
              <w:t>readFile</w:t>
            </w:r>
          </w:p>
        </w:tc>
      </w:tr>
      <w:tr w:rsidR="00000000" w14:paraId="0F8CC4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AE7B0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Selecionar o arquivo pelo seletor do sistema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B3032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handleFileInputChange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chama </w:t>
            </w:r>
            <w:r>
              <w:rPr>
                <w:rStyle w:val="CdigoHTML"/>
                <w:color w:val="000000"/>
              </w:rPr>
              <w:t>readFile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sobre o arquivo escolhido</w:t>
            </w:r>
          </w:p>
        </w:tc>
      </w:tr>
    </w:tbl>
    <w:p w14:paraId="26672AA4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readFile</w:t>
      </w:r>
      <w:r>
        <w:rPr>
          <w:color w:val="000000"/>
        </w:rPr>
        <w:t xml:space="preserve"> cria um </w:t>
      </w:r>
      <w:r>
        <w:rPr>
          <w:rStyle w:val="CdigoHTML"/>
          <w:color w:val="000000"/>
        </w:rPr>
        <w:t>FileReader</w:t>
      </w:r>
      <w:r>
        <w:rPr>
          <w:color w:val="000000"/>
        </w:rPr>
        <w:t xml:space="preserve"> e lê o conteúdo como </w:t>
      </w:r>
      <w:r>
        <w:rPr>
          <w:rStyle w:val="CdigoHTML"/>
          <w:color w:val="000000"/>
        </w:rPr>
        <w:t>ArrayBuffer</w:t>
      </w:r>
      <w:r>
        <w:rPr>
          <w:color w:val="000000"/>
        </w:rPr>
        <w:t xml:space="preserve">. Ao concluir a leitura, </w:t>
      </w:r>
      <w:r>
        <w:rPr>
          <w:rStyle w:val="CdigoHTML"/>
          <w:color w:val="000000"/>
        </w:rPr>
        <w:t>XLSX.read()</w:t>
      </w:r>
      <w:r>
        <w:rPr>
          <w:color w:val="000000"/>
        </w:rPr>
        <w:t xml:space="preserve"> converte os bytes em um workbook, com a opção </w:t>
      </w:r>
      <w:r>
        <w:rPr>
          <w:rStyle w:val="CdigoHTML"/>
          <w:color w:val="000000"/>
        </w:rPr>
        <w:t>cellDates:true</w:t>
      </w:r>
      <w:r>
        <w:rPr>
          <w:color w:val="000000"/>
        </w:rPr>
        <w:t xml:space="preserve">, que faz o SheetJS retornar objetos </w:t>
      </w:r>
      <w:r>
        <w:rPr>
          <w:rStyle w:val="CdigoHTML"/>
          <w:color w:val="000000"/>
        </w:rPr>
        <w:t>Date</w:t>
      </w:r>
      <w:r>
        <w:rPr>
          <w:color w:val="000000"/>
        </w:rPr>
        <w:t xml:space="preserve"> nativos em vez do número serial usado internamente pelo Excel. O workbook resultante é armazenado em </w:t>
      </w:r>
      <w:r>
        <w:rPr>
          <w:rStyle w:val="CdigoHTML"/>
          <w:color w:val="000000"/>
        </w:rPr>
        <w:t>App.gov</w:t>
      </w:r>
      <w:r>
        <w:rPr>
          <w:color w:val="000000"/>
        </w:rPr>
        <w:t xml:space="preserve"> ou </w:t>
      </w:r>
      <w:r>
        <w:rPr>
          <w:rStyle w:val="CdigoHTML"/>
          <w:color w:val="000000"/>
        </w:rPr>
        <w:t>App.rpa</w:t>
      </w:r>
      <w:r>
        <w:rPr>
          <w:color w:val="000000"/>
        </w:rPr>
        <w:t xml:space="preserve">, conforme o tipo de upload, e as funções </w:t>
      </w:r>
      <w:r>
        <w:rPr>
          <w:rStyle w:val="CdigoHTML"/>
          <w:color w:val="000000"/>
        </w:rPr>
        <w:t>showOk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updateBar</w:t>
      </w:r>
      <w:r>
        <w:rPr>
          <w:color w:val="000000"/>
        </w:rPr>
        <w:t xml:space="preserve"> atualizam a interface.</w:t>
      </w:r>
    </w:p>
    <w:p w14:paraId="5EDBAF91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showOk</w:t>
      </w:r>
      <w:r>
        <w:rPr>
          <w:color w:val="000000"/>
        </w:rPr>
        <w:t xml:space="preserve"> confirma visualmente o upload e, no caso da Base Governança, verifica quais das quatro abas esperadas (</w:t>
      </w:r>
      <w:r>
        <w:rPr>
          <w:rStyle w:val="CdigoHTML"/>
          <w:color w:val="000000"/>
        </w:rPr>
        <w:t>Pipefy_Melhorias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Projetos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Analytics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Inventario_RPA</w:t>
      </w:r>
      <w:r>
        <w:rPr>
          <w:color w:val="000000"/>
        </w:rPr>
        <w:t xml:space="preserve">) foram encontradas no arquivo, com comparação tolerante a maiúsculas, espaços e underscores. Um diagnóstico adicional varre as colunas da aba </w:t>
      </w:r>
      <w:r>
        <w:rPr>
          <w:rStyle w:val="CdigoHTML"/>
          <w:color w:val="000000"/>
        </w:rPr>
        <w:t>Pipefy_Melhorias</w:t>
      </w:r>
      <w:r>
        <w:rPr>
          <w:color w:val="000000"/>
        </w:rPr>
        <w:t xml:space="preserve"> </w:t>
      </w:r>
      <w:r>
        <w:rPr>
          <w:color w:val="000000"/>
        </w:rPr>
        <w:t>em busca de termos como "data", "criado", "início" ou "conclusão", útil para identificar rapidamente se o nome de uma coluna de data foi alterado na planilha de origem.</w:t>
      </w:r>
    </w:p>
    <w:p w14:paraId="2CEB2D49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updateBar</w:t>
      </w:r>
      <w:r>
        <w:rPr>
          <w:color w:val="000000"/>
        </w:rPr>
        <w:t xml:space="preserve"> conta quantos dos dois arquivos já foram carregados e habilita o botão "Gerar dashboard" assim que pelo menos um deles estiver presente — não é necessário carregar as duas bases simultaneamente. As abas que dependem da fonte ausente exibem apenas uma mensagem informando que não há dados carregados.</w:t>
      </w:r>
    </w:p>
    <w:p w14:paraId="55351AAA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6D68AA3E">
          <v:rect id="_x0000_i1029" style="width:0;height:1.5pt" o:hralign="center" o:hrstd="t" o:hr="t" fillcolor="#a0a0a0" stroked="f"/>
        </w:pict>
      </w:r>
    </w:p>
    <w:p w14:paraId="714CE118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4 Geração do dashboard</w:t>
      </w:r>
    </w:p>
    <w:p w14:paraId="2D6440C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generate</w:t>
      </w:r>
      <w:r>
        <w:rPr>
          <w:color w:val="000000"/>
        </w:rPr>
        <w:t xml:space="preserve"> orquestra a construção do dashboard a partir das planilhas carregadas, executando as seguintes etapas em sequência:</w:t>
      </w:r>
    </w:p>
    <w:p w14:paraId="7A1674F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Primeiro, todas as instâncias ativas do Chart.js são destruídas e o contador de identificadores é zerado, evitando o erro de canvas duplicado ao gerar o dashboard mais de uma vez na mesma sessão. Em seguida, os parsers correspondentes às fontes carregadas são executados — </w:t>
      </w:r>
      <w:r>
        <w:rPr>
          <w:rStyle w:val="CdigoHTML"/>
          <w:color w:val="000000"/>
        </w:rPr>
        <w:t>parseGov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parseInv</w:t>
      </w:r>
      <w:r>
        <w:rPr>
          <w:color w:val="000000"/>
        </w:rPr>
        <w:t xml:space="preserve"> para a Base Governança, </w:t>
      </w:r>
      <w:r>
        <w:rPr>
          <w:rStyle w:val="CdigoHTML"/>
          <w:color w:val="000000"/>
        </w:rPr>
        <w:t>parseRPA</w:t>
      </w:r>
      <w:r>
        <w:rPr>
          <w:color w:val="000000"/>
        </w:rPr>
        <w:t xml:space="preserve"> para o relatório de chamados — seguidos por </w:t>
      </w:r>
      <w:r>
        <w:rPr>
          <w:rStyle w:val="CdigoHTML"/>
          <w:color w:val="000000"/>
        </w:rPr>
        <w:t>enrichRPAWithArea</w:t>
      </w:r>
      <w:r>
        <w:rPr>
          <w:color w:val="000000"/>
        </w:rPr>
        <w:t>, que roda mesmo quando uma das fontes está ausente.</w:t>
      </w:r>
    </w:p>
    <w:p w14:paraId="4A9179E0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partir dos dados normalizados, o sistema calcula o intervalo de datas coberto pela planilha e define esse intervalo como limite dos campos de data do filtro de período, impedindo a seleção de datas fora do que a base realmente contém. Cada aba é então construída dentro de um bloco </w:t>
      </w:r>
      <w:r>
        <w:rPr>
          <w:rStyle w:val="CdigoHTML"/>
          <w:color w:val="000000"/>
        </w:rPr>
        <w:t>try/catch</w:t>
      </w:r>
      <w:r>
        <w:rPr>
          <w:color w:val="000000"/>
        </w:rPr>
        <w:t xml:space="preserve"> </w:t>
      </w:r>
      <w:r>
        <w:rPr>
          <w:color w:val="000000"/>
        </w:rPr>
        <w:t>independente, de modo que uma falha de renderização em uma aba não interrompa as demais — o erro, quando ocorre, é registrado apenas no console do navegador.</w:t>
      </w:r>
    </w:p>
    <w:p w14:paraId="49FD59E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Por fim, o texto de sincronização no topo da página é atualizado com o horário da geração e as fontes carregadas, a barra de filtro de período e o botão de exportação em PDF são exibidos, e a navegação é direcionada automaticamente para a aba Painel de Controle.</w:t>
      </w:r>
    </w:p>
    <w:p w14:paraId="176F7A85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6357EED4">
          <v:rect id="_x0000_i1030" style="width:0;height:1.5pt" o:hralign="center" o:hrstd="t" o:hr="t" fillcolor="#a0a0a0" stroked="f"/>
        </w:pict>
      </w:r>
    </w:p>
    <w:p w14:paraId="2ABBF43E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 Leitura e transformação das planilhas</w:t>
      </w:r>
    </w:p>
    <w:p w14:paraId="0795C3A5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5.1 Detecção de abas</w:t>
      </w:r>
    </w:p>
    <w:p w14:paraId="177F519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sistema não exige nomes exatos de aba. A comparação ignora maiúsculas, minúsculas, espaços e underscores, de modo que </w:t>
      </w:r>
      <w:r>
        <w:rPr>
          <w:rStyle w:val="CdigoHTML"/>
          <w:color w:val="000000"/>
        </w:rPr>
        <w:t>Pipefy_Melhorias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pipefymelhorias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PIPEFY MELHORIAS</w:t>
      </w:r>
      <w:r>
        <w:rPr>
          <w:color w:val="000000"/>
        </w:rPr>
        <w:t xml:space="preserve"> são reconhecidos como a mesma aba.</w:t>
      </w:r>
    </w:p>
    <w:p w14:paraId="0A6A77C9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Para o relatório de Chamados RPA, cujo nome de aba varia entre exportações do Pipefy, o sistema testa todas as abas do arquivo e atribui uma pontuação a cada uma, de acordo com a presença de colunas características de um relatório de chamados: </w:t>
      </w:r>
      <w:r>
        <w:rPr>
          <w:rStyle w:val="CdigoHTML"/>
          <w:color w:val="000000"/>
        </w:rPr>
        <w:t>Código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Fase atual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Processo</w:t>
      </w:r>
      <w:r>
        <w:rPr>
          <w:color w:val="000000"/>
        </w:rPr>
        <w:t xml:space="preserve">, uma coluna relacionada a "qual é o problema" e </w:t>
      </w:r>
      <w:r>
        <w:rPr>
          <w:rStyle w:val="CdigoHTML"/>
          <w:color w:val="000000"/>
        </w:rPr>
        <w:t>Criado em</w:t>
      </w:r>
      <w:r>
        <w:rPr>
          <w:color w:val="000000"/>
        </w:rPr>
        <w:t xml:space="preserve">. A aba com maior pontuação é selecionada. Quando nenhuma aba atinge ao menos duas dessas colunas, o sistema não tenta adivinhar: deixa </w:t>
      </w:r>
      <w:r>
        <w:rPr>
          <w:rStyle w:val="CdigoHTML"/>
          <w:color w:val="000000"/>
        </w:rPr>
        <w:t>App.R</w:t>
      </w:r>
      <w:r>
        <w:rPr>
          <w:color w:val="000000"/>
        </w:rPr>
        <w:t xml:space="preserve"> vazio e exibe um aviso informando que o arquivo carregado não corresponde a um relatório de chamados válido.</w:t>
      </w:r>
    </w:p>
    <w:p w14:paraId="318210A5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5.2 Pipefy_Melhorias → </w:t>
      </w:r>
      <w:r>
        <w:rPr>
          <w:rStyle w:val="CdigoHTML"/>
          <w:color w:val="000000"/>
        </w:rPr>
        <w:t>App.P.improvements</w:t>
      </w:r>
    </w:p>
    <w:p w14:paraId="65C54D60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3 — Campos normalizados de Pipefy_Melhorias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4187"/>
        <w:gridCol w:w="3540"/>
      </w:tblGrid>
      <w:tr w:rsidR="00000000" w14:paraId="00C4B1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3647FF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 interno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74DF9A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B2C1E1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71201B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E0102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D7D89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Numero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9D284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54A37E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DBC93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C2D0F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Gerencia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D878E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área de negócio (P2P, O2C etc.)</w:t>
            </w:r>
          </w:p>
        </w:tc>
      </w:tr>
      <w:tr w:rsidR="00000000" w14:paraId="0EC41F5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30386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fluxo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F042E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NomeFluxo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44357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 do fluxo de processo</w:t>
            </w:r>
          </w:p>
        </w:tc>
      </w:tr>
      <w:tr w:rsidR="00000000" w14:paraId="1C2E05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F382C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atividade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CEC15C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Atividade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0B7FA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descrição da melhoria</w:t>
            </w:r>
          </w:p>
        </w:tc>
      </w:tr>
      <w:tr w:rsidR="00000000" w14:paraId="512FB40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9B065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statusRaw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50414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E527A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texto original da planilha</w:t>
            </w:r>
          </w:p>
        </w:tc>
      </w:tr>
      <w:tr w:rsidR="00000000" w14:paraId="71A20E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1A090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D9D40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Status, via </w:t>
            </w:r>
            <w:r>
              <w:rPr>
                <w:rStyle w:val="CdigoHTML"/>
                <w:color w:val="000000"/>
              </w:rPr>
              <w:t>classeStatusMelhoria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A89D2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ver seção 6; "Planejamento" conta como </w:t>
            </w:r>
            <w:r>
              <w:rPr>
                <w:rStyle w:val="CdigoHTML"/>
                <w:color w:val="000000"/>
              </w:rPr>
              <w:t>doing</w:t>
            </w:r>
          </w:p>
        </w:tc>
      </w:tr>
      <w:tr w:rsidR="00000000" w14:paraId="62F0CA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1ADCF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9AE36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Responsavel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12451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remove um caractere de espaço de largura zero comum em colagens do Excel</w:t>
            </w:r>
          </w:p>
        </w:tc>
      </w:tr>
      <w:tr w:rsidR="00000000" w14:paraId="2D0EBFE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8C367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champion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117F8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Champion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56BFF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7B7F4C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E57E6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complex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2EFBB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Complexidade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7AEA6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2839A74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9C52F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27BE5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TipoMelhoriaAjuste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BE366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63A384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D2CF2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dtInicio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627AF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DataInicioDesenvolvimento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132C9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sem coluna alternativa</w:t>
            </w:r>
          </w:p>
        </w:tc>
      </w:tr>
      <w:tr w:rsidR="00000000" w14:paraId="05489AE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252A8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dtFim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DD3C6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DataRealEstimadaConclusaoValidacaoChampion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643B6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apenas quando </w:t>
            </w:r>
            <w:r>
              <w:rPr>
                <w:rStyle w:val="CdigoHTML"/>
                <w:color w:val="000000"/>
              </w:rPr>
              <w:t>sc==='done'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— ver observação abaixo</w:t>
            </w:r>
          </w:p>
        </w:tc>
      </w:tr>
      <w:tr w:rsidR="00000000" w14:paraId="76D52D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6BE67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F7431F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QtdHorasEstimadas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AD1A4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</w:tbl>
    <w:p w14:paraId="6B4A9A16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Linhas sem </w:t>
      </w:r>
      <w:r>
        <w:rPr>
          <w:rStyle w:val="CdigoHTML"/>
          <w:color w:val="000000"/>
        </w:rPr>
        <w:t>num</w:t>
      </w:r>
      <w:r>
        <w:rPr>
          <w:color w:val="000000"/>
        </w:rPr>
        <w:t xml:space="preserve"> e sem </w:t>
      </w:r>
      <w:r>
        <w:rPr>
          <w:rStyle w:val="CdigoHTML"/>
          <w:color w:val="000000"/>
        </w:rPr>
        <w:t>atividade</w:t>
      </w:r>
      <w:r>
        <w:rPr>
          <w:color w:val="000000"/>
        </w:rPr>
        <w:t xml:space="preserve"> são descartadas. Melhorias de backlog sem </w:t>
      </w:r>
      <w:r>
        <w:rPr>
          <w:rStyle w:val="CdigoHTML"/>
          <w:color w:val="000000"/>
        </w:rPr>
        <w:t>dtInicio</w:t>
      </w:r>
      <w:r>
        <w:rPr>
          <w:color w:val="000000"/>
        </w:rPr>
        <w:t xml:space="preserve"> nem </w:t>
      </w:r>
      <w:r>
        <w:rPr>
          <w:rStyle w:val="CdigoHTML"/>
          <w:color w:val="000000"/>
        </w:rPr>
        <w:t>dtFim</w:t>
      </w:r>
      <w:r>
        <w:rPr>
          <w:color w:val="000000"/>
        </w:rPr>
        <w:t xml:space="preserve"> são sempre incluídas quando o filtro de período está ativo, por representarem trabalho pendente e não histórico.</w:t>
      </w:r>
    </w:p>
    <w:p w14:paraId="28063A00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coluna </w:t>
      </w:r>
      <w:r>
        <w:rPr>
          <w:rStyle w:val="CdigoHTML"/>
          <w:color w:val="000000"/>
        </w:rPr>
        <w:t>DataRealEstimadaConclusaoValidacaoChampion</w:t>
      </w:r>
      <w:r>
        <w:rPr>
          <w:color w:val="000000"/>
        </w:rPr>
        <w:t xml:space="preserve"> </w:t>
      </w:r>
      <w:r>
        <w:rPr>
          <w:color w:val="000000"/>
        </w:rPr>
        <w:t xml:space="preserve">guarda uma data estimada enquanto a melhoria ainda está em desenvolvimento e só passa a representar a data real depois que o champion valida a conclusão. Por isso o parser só preenche </w:t>
      </w:r>
      <w:r>
        <w:rPr>
          <w:rStyle w:val="CdigoHTML"/>
          <w:color w:val="000000"/>
        </w:rPr>
        <w:t>dtFim</w:t>
      </w:r>
      <w:r>
        <w:rPr>
          <w:color w:val="000000"/>
        </w:rPr>
        <w:t xml:space="preserve"> quando o item já está com status concluído (</w:t>
      </w:r>
      <w:r>
        <w:rPr>
          <w:rStyle w:val="CdigoHTML"/>
          <w:color w:val="000000"/>
        </w:rPr>
        <w:t>sc==='done')</w:t>
      </w:r>
      <w:r>
        <w:rPr>
          <w:color w:val="000000"/>
        </w:rPr>
        <w:t xml:space="preserve">; para os demais status, </w:t>
      </w:r>
      <w:r>
        <w:rPr>
          <w:rStyle w:val="CdigoHTML"/>
          <w:color w:val="000000"/>
        </w:rPr>
        <w:t>dtFim</w:t>
      </w:r>
      <w:r>
        <w:rPr>
          <w:color w:val="000000"/>
        </w:rPr>
        <w:t xml:space="preserve"> fica </w:t>
      </w:r>
      <w:r>
        <w:rPr>
          <w:rStyle w:val="CdigoHTML"/>
          <w:color w:val="000000"/>
        </w:rPr>
        <w:t>null</w:t>
      </w:r>
      <w:r>
        <w:rPr>
          <w:color w:val="000000"/>
        </w:rPr>
        <w:t>, evitando que uma estimativa ainda não confirmada seja tratada como data de conclusão real pelo filtro de período (ver seção 7).</w:t>
      </w:r>
    </w:p>
    <w:p w14:paraId="11EBDD28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5.3 Projetos → </w:t>
      </w:r>
      <w:r>
        <w:rPr>
          <w:rStyle w:val="CdigoHTML"/>
          <w:color w:val="000000"/>
        </w:rPr>
        <w:t>App.P.proj</w:t>
      </w:r>
    </w:p>
    <w:p w14:paraId="20900221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parser reconhece automaticamente duas versões de layout da planilha. No layout atual, a coluna Status contém valores reconhecíveis pela função de classificação, e os campos são lidos pelo nome da coluna (</w:t>
      </w:r>
      <w:r>
        <w:rPr>
          <w:rStyle w:val="CdigoHTML"/>
          <w:color w:val="000000"/>
        </w:rPr>
        <w:t>Numero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Titulo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Responsavel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AreaCliente</w:t>
      </w:r>
      <w:r>
        <w:rPr>
          <w:color w:val="000000"/>
        </w:rPr>
        <w:t xml:space="preserve"> ou </w:t>
      </w:r>
      <w:r>
        <w:rPr>
          <w:rStyle w:val="CdigoHTML"/>
          <w:color w:val="000000"/>
        </w:rPr>
        <w:t>Frente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PontoFocal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Status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PrazoConclusão</w:t>
      </w:r>
      <w:r>
        <w:rPr>
          <w:color w:val="000000"/>
        </w:rPr>
        <w:t>, entre outros). Quando nenhum valor de Status é reconhecido, o sistema assume uma versão anterior da planilha, na qual os cabeçalhos estão deslocados uma coluna em relação ao conteúdo, e passa a ler por posição: coluna 0 corresponde ao número, 1 ao título, 2 ao responsável, e assim por diante. Em ambos os casos, linhas sem título são descartadas.</w:t>
      </w:r>
    </w:p>
    <w:p w14:paraId="4FAE611D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5.4 Analytics → </w:t>
      </w:r>
      <w:r>
        <w:rPr>
          <w:rStyle w:val="CdigoHTML"/>
          <w:color w:val="000000"/>
        </w:rPr>
        <w:t>App.P.ana</w:t>
      </w:r>
    </w:p>
    <w:p w14:paraId="6FD0670E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4 — Campos normalizados de Analytics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2045"/>
        <w:gridCol w:w="5150"/>
      </w:tblGrid>
      <w:tr w:rsidR="00000000" w14:paraId="70D7E40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0E75E7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CDF576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4E81D7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6146EC8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52DE7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num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2D6ED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Numero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0238B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1FDFBA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ED7A7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97F3B1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10B76F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linhas sem título são descartadas</w:t>
            </w:r>
          </w:p>
        </w:tc>
      </w:tr>
      <w:tr w:rsidR="00000000" w14:paraId="4CCAEDD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0C032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statusRaw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/ </w:t>
            </w:r>
            <w:r>
              <w:rPr>
                <w:rStyle w:val="CdigoHTML"/>
                <w:color w:val="000000"/>
              </w:rPr>
              <w:t>sc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E10FB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24833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classificação padrão, sem a regra especial do Pipefy</w:t>
            </w:r>
          </w:p>
        </w:tc>
      </w:tr>
      <w:tr w:rsidR="00000000" w14:paraId="17C70B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12F33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08B7C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80303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extrai apenas o número do texto</w:t>
            </w:r>
          </w:p>
        </w:tc>
      </w:tr>
      <w:tr w:rsidR="00000000" w14:paraId="7B34D27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0FD1B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EDFCA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Frente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0266F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2E5CF45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7B1D0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15BB3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Responsavel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BBD16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4B9DD3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F15C57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dtInicio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44E0E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DataAbertura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75287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  <w:tr w:rsidR="00000000" w14:paraId="580DB1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D5AA7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dtFim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F86CC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DataFechamento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71927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</w:p>
        </w:tc>
      </w:tr>
    </w:tbl>
    <w:p w14:paraId="20595CB1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5.5 Inventario_RPA → </w:t>
      </w:r>
      <w:r>
        <w:rPr>
          <w:rStyle w:val="CdigoHTML"/>
          <w:color w:val="000000"/>
        </w:rPr>
        <w:t>App.B</w:t>
      </w:r>
    </w:p>
    <w:p w14:paraId="1F45BAAF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5 — Campos normalizados do inventário de bots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1728"/>
        <w:gridCol w:w="5907"/>
      </w:tblGrid>
      <w:tr w:rsidR="00000000" w14:paraId="2B8E6F1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1790E2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1E089E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3D590E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2BBE009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497D4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58138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F1790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linhas sem nome são descartadas</w:t>
            </w:r>
          </w:p>
        </w:tc>
      </w:tr>
      <w:tr w:rsidR="00000000" w14:paraId="6F83CA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28F63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perimetro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7AB4F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Perimetro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7DFDF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Brasil, MEX, ARG etc.</w:t>
            </w:r>
          </w:p>
        </w:tc>
      </w:tr>
      <w:tr w:rsidR="00000000" w14:paraId="3E3855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DFFB3A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9B314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BE726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P2P, TAX, H2R etc.</w:t>
            </w:r>
          </w:p>
        </w:tc>
      </w:tr>
      <w:tr w:rsidR="00000000" w14:paraId="40DB1C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42641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067C4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DB8DC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convertido para maiúsculas: PRD, DEV, BACKLOG, CANCELADO, DESATIVADO</w:t>
            </w:r>
          </w:p>
        </w:tc>
      </w:tr>
      <w:tr w:rsidR="00000000" w14:paraId="2CC7C3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E15B7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anoPrd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7E3BC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AnoPRD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C7CB1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ano de entrada em produção, usado no filtro de período específico desta aba</w:t>
            </w:r>
          </w:p>
        </w:tc>
      </w:tr>
      <w:tr w:rsidR="00000000" w14:paraId="0406EB6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96315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criticidade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EFBAB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Criticidade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DAA55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1 (crítica) a 4 (baixa)</w:t>
            </w:r>
          </w:p>
        </w:tc>
      </w:tr>
      <w:tr w:rsidR="00000000" w14:paraId="1DECB88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81A99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547B5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0BD4B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FTEs economizados</w:t>
            </w:r>
          </w:p>
        </w:tc>
      </w:tr>
      <w:tr w:rsidR="00000000" w14:paraId="599981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705F3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01E66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VolumetriaMensal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F1997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transações por mês</w:t>
            </w:r>
          </w:p>
        </w:tc>
      </w:tr>
    </w:tbl>
    <w:p w14:paraId="710A4E29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5.6 Relatório de Chamados RPA → </w:t>
      </w:r>
      <w:r>
        <w:rPr>
          <w:rStyle w:val="CdigoHTML"/>
          <w:color w:val="000000"/>
        </w:rPr>
        <w:t>App.R</w:t>
      </w:r>
    </w:p>
    <w:p w14:paraId="3365775A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6 — Campos normalizados dos chamados RPA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2"/>
        <w:gridCol w:w="2250"/>
        <w:gridCol w:w="4953"/>
      </w:tblGrid>
      <w:tr w:rsidR="00000000" w14:paraId="6A371CD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A0864B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4CD9D7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Coluna de origem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4DEAD8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Observação</w:t>
            </w:r>
          </w:p>
        </w:tc>
      </w:tr>
      <w:tr w:rsidR="00000000" w14:paraId="3C56122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5B0D3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1618D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C4F77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linhas sem código são descartadas</w:t>
            </w:r>
          </w:p>
        </w:tc>
      </w:tr>
      <w:tr w:rsidR="00000000" w14:paraId="43D351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043DE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C7ED4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Fase atual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E5E01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fase corrente no fluxo do Pipefy</w:t>
            </w:r>
          </w:p>
        </w:tc>
      </w:tr>
      <w:tr w:rsidR="00000000" w14:paraId="367BB8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ECCE6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processo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B78ED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Processo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EF181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nome do bot; vazio vira </w:t>
            </w:r>
            <w:r>
              <w:rPr>
                <w:rStyle w:val="CdigoHTML"/>
                <w:color w:val="000000"/>
              </w:rPr>
              <w:t>(sem processo)</w:t>
            </w:r>
          </w:p>
        </w:tc>
      </w:tr>
      <w:tr w:rsidR="00000000" w14:paraId="51AEFC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70E5F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solicitante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32CDC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Nome do solicitante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0C589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quem abriu o chamado</w:t>
            </w:r>
          </w:p>
        </w:tc>
      </w:tr>
      <w:tr w:rsidR="00000000" w14:paraId="327818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09950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responsaveis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A8472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Responsáveis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BF644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quem atende o chamado, armazenado como lista</w:t>
            </w:r>
          </w:p>
        </w:tc>
      </w:tr>
      <w:tr w:rsidR="00000000" w14:paraId="304C44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4411F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criado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733E7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Criado 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A2FA15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 de abertura</w:t>
            </w:r>
          </w:p>
        </w:tc>
      </w:tr>
      <w:tr w:rsidR="00000000" w14:paraId="67FDF9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E2E89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dtFim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02FD6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Finalizado 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BFD93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data de conclusão</w:t>
            </w:r>
          </w:p>
        </w:tc>
      </w:tr>
      <w:tr w:rsidR="00000000" w14:paraId="481917B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5156B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mes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C7955B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derivado de </w:t>
            </w:r>
            <w:r>
              <w:rPr>
                <w:rStyle w:val="CdigoHTML"/>
                <w:color w:val="000000"/>
              </w:rPr>
              <w:t>criado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DB460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chave no formato AAAA-MM</w:t>
            </w:r>
          </w:p>
        </w:tc>
      </w:tr>
      <w:tr w:rsidR="00000000" w14:paraId="17E35B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B067C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vencido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8B21E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Vencido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9F78A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aceita booleano ou texto "true"/"sim"</w:t>
            </w:r>
          </w:p>
        </w:tc>
      </w:tr>
    </w:tbl>
    <w:p w14:paraId="0833911E" w14:textId="77777777" w:rsidR="005E0918" w:rsidRDefault="005E0918" w:rsidP="00377833">
      <w:pPr>
        <w:pStyle w:val="Ttulo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5.7 Identificação da área de cada chamado</w:t>
      </w:r>
    </w:p>
    <w:p w14:paraId="3D52D915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Os chamados RPA não têm coluna de área na planilha de origem. A função </w:t>
      </w:r>
      <w:r>
        <w:rPr>
          <w:rStyle w:val="CdigoHTML"/>
          <w:color w:val="000000"/>
        </w:rPr>
        <w:t>enrichRPAWithArea</w:t>
      </w:r>
      <w:r>
        <w:rPr>
          <w:color w:val="000000"/>
        </w:rPr>
        <w:t xml:space="preserve"> </w:t>
      </w:r>
      <w:r>
        <w:rPr>
          <w:color w:val="000000"/>
        </w:rPr>
        <w:t xml:space="preserve">resolve essa informação em duas etapas: primeiro tenta um cruzamento com o inventário de bots, comparando os nomes normalizados (sem prefixos entre colchetes, sem acentuação, sem espaços) e verificando se um nome contém o outro; quando esse cruzamento falha, aplica um conjunto de regras por palavra-chave — processos com termos como "bank statement" ou "payment run" são atribuídos a P2P, termos relacionados a impostos a TAX, e assim por diante. Chamados que não se encaixam em nenhuma das duas regras recebem </w:t>
      </w:r>
      <w:r>
        <w:rPr>
          <w:color w:val="000000"/>
        </w:rPr>
        <w:t>a marcação</w:t>
      </w:r>
      <w:r>
        <w:rPr>
          <w:color w:val="000000"/>
        </w:rPr>
        <w:t xml:space="preserve"> </w:t>
      </w:r>
      <w:r>
        <w:rPr>
          <w:rStyle w:val="CdigoHTML"/>
          <w:color w:val="000000"/>
        </w:rPr>
        <w:t>(não mapeada)</w:t>
      </w:r>
      <w:r>
        <w:rPr>
          <w:color w:val="000000"/>
        </w:rPr>
        <w:t>.</w:t>
      </w:r>
    </w:p>
    <w:p w14:paraId="2E5EC269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3F7220D8">
          <v:rect id="_x0000_i1031" style="width:0;height:1.5pt" o:hralign="center" o:hrstd="t" o:hr="t" fillcolor="#a0a0a0" stroked="f"/>
        </w:pict>
      </w:r>
    </w:p>
    <w:p w14:paraId="04551070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 Normalização de status</w:t>
      </w:r>
    </w:p>
    <w:p w14:paraId="4E644771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Internamente, o sistema nunca compara o texto bruto de status vindo da planilha — trabalha com um código normalizado (</w:t>
      </w:r>
      <w:r>
        <w:rPr>
          <w:rStyle w:val="CdigoHTML"/>
          <w:color w:val="000000"/>
        </w:rPr>
        <w:t>sc</w:t>
      </w:r>
      <w:r>
        <w:rPr>
          <w:color w:val="000000"/>
        </w:rPr>
        <w:t xml:space="preserve">), já que o texto de origem varia em grafia e acentuação. A função </w:t>
      </w:r>
      <w:r>
        <w:rPr>
          <w:rStyle w:val="CdigoHTML"/>
          <w:color w:val="000000"/>
        </w:rPr>
        <w:t>classeStatus</w:t>
      </w:r>
      <w:r>
        <w:rPr>
          <w:color w:val="000000"/>
        </w:rPr>
        <w:t xml:space="preserve"> faz essa conversão.</w:t>
      </w:r>
    </w:p>
    <w:p w14:paraId="7815A11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7 — Mapeamento de status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1"/>
        <w:gridCol w:w="1994"/>
      </w:tblGrid>
      <w:tr w:rsidR="00000000" w14:paraId="638C22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D14CBC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Texto na planilha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79CBCC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Código interno</w:t>
            </w:r>
          </w:p>
        </w:tc>
      </w:tr>
      <w:tr w:rsidR="00000000" w14:paraId="225DD3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168C7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Concluído, Finalizado(s)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1658E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done</w:t>
            </w:r>
          </w:p>
        </w:tc>
      </w:tr>
      <w:tr w:rsidR="00000000" w14:paraId="629398A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8CEAC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Suporte Pipefy, Encaminhado ao fornecedor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D16E67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vendor</w:t>
            </w:r>
          </w:p>
        </w:tc>
      </w:tr>
      <w:tr w:rsidR="00000000" w14:paraId="7C9720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5508F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Em andamento, Em execução, Desenvolvimento, Em validação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4545E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doing</w:t>
            </w:r>
          </w:p>
        </w:tc>
      </w:tr>
      <w:tr w:rsidR="00000000" w14:paraId="7A99932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B6A0D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Encerramento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445C6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closing</w:t>
            </w:r>
          </w:p>
        </w:tc>
      </w:tr>
      <w:tr w:rsidR="00000000" w14:paraId="718FA99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AF917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Monitoramento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A6D638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monitor</w:t>
            </w:r>
          </w:p>
        </w:tc>
      </w:tr>
      <w:tr w:rsidR="00000000" w14:paraId="1376BC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69587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Planejamento, Diagnóstico, Não iniciado, Backlog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730AE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todo</w:t>
            </w:r>
          </w:p>
        </w:tc>
      </w:tr>
      <w:tr w:rsidR="00000000" w14:paraId="306B893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33000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Bloqueado, Pausado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94682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blocked</w:t>
            </w:r>
          </w:p>
        </w:tc>
      </w:tr>
      <w:tr w:rsidR="00000000" w14:paraId="472C41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7AD00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Cancelado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8C65D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cancel</w:t>
            </w:r>
          </w:p>
        </w:tc>
      </w:tr>
      <w:tr w:rsidR="00000000" w14:paraId="461222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EAD46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qualquer outro valor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E2638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other</w:t>
            </w:r>
          </w:p>
        </w:tc>
      </w:tr>
    </w:tbl>
    <w:p w14:paraId="40AFCEB7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Um prefixo numérico de ordenação, quando presente, é ignorado antes da comparação — "3 - Planejamento" e "Planejamento" resultam no mesmo código.</w:t>
      </w:r>
    </w:p>
    <w:p w14:paraId="339A2576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Existe uma exceção para as Melhorias Pipefy, aplicada pela função </w:t>
      </w:r>
      <w:r>
        <w:rPr>
          <w:rStyle w:val="CdigoHTML"/>
          <w:color w:val="000000"/>
        </w:rPr>
        <w:t>classeStatusMelhoria</w:t>
      </w:r>
      <w:r>
        <w:rPr>
          <w:color w:val="000000"/>
        </w:rPr>
        <w:t xml:space="preserve">: nessa fonte, o status "Planejamento" é tratado como </w:t>
      </w:r>
      <w:r>
        <w:rPr>
          <w:rStyle w:val="CdigoHTML"/>
          <w:color w:val="000000"/>
        </w:rPr>
        <w:t>doing</w:t>
      </w:r>
      <w:r>
        <w:rPr>
          <w:color w:val="000000"/>
        </w:rPr>
        <w:t xml:space="preserve">, e não como </w:t>
      </w:r>
      <w:r>
        <w:rPr>
          <w:rStyle w:val="CdigoHTML"/>
          <w:color w:val="000000"/>
        </w:rPr>
        <w:t>todo</w:t>
      </w:r>
      <w:r>
        <w:rPr>
          <w:color w:val="000000"/>
        </w:rPr>
        <w:t xml:space="preserve">, por já representar trabalho retirado do backlog. Essa distinção é o que permite à coluna "Dev + Planej." do Overview somar os dois estados corretamente — a correção desse comportamento foi a motivação original deste projeto, já que a versão anterior do painel tratava "Backlog" e "Planejamento" como equivalentes. Em Projetos e Analytics essa exceção não se aplica: ali, "Planejamento" é a segunda fase do fluxo (Diagnóstico → Planejamento → Execução) e permanece classificada como </w:t>
      </w:r>
      <w:r>
        <w:rPr>
          <w:rStyle w:val="CdigoHTML"/>
          <w:color w:val="000000"/>
        </w:rPr>
        <w:t>todo</w:t>
      </w:r>
      <w:r>
        <w:rPr>
          <w:color w:val="000000"/>
        </w:rPr>
        <w:t>.</w:t>
      </w:r>
    </w:p>
    <w:p w14:paraId="3B9BF7AF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862D28B">
          <v:rect id="_x0000_i1032" style="width:0;height:1.5pt" o:hralign="center" o:hrstd="t" o:hr="t" fillcolor="#a0a0a0" stroked="f"/>
        </w:pict>
      </w:r>
    </w:p>
    <w:p w14:paraId="6979C9EA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7 Filtro global de período</w:t>
      </w:r>
    </w:p>
    <w:p w14:paraId="004411F2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filtro de período no topo da página afeta todas as abas simultaneamente. Ele pode ser acionado de três formas: pelos atalhos "Este mês", "Trimestre" e "Este ano" (função </w:t>
      </w:r>
      <w:r>
        <w:rPr>
          <w:rStyle w:val="CdigoHTML"/>
          <w:color w:val="000000"/>
        </w:rPr>
        <w:t>setQuickRange</w:t>
      </w:r>
      <w:r>
        <w:rPr>
          <w:color w:val="000000"/>
        </w:rPr>
        <w:t xml:space="preserve">, que calcula o intervalo a partir da data atual e marca o atalho como ativo); pela edição manual dos dois campos de data (função </w:t>
      </w:r>
      <w:r>
        <w:rPr>
          <w:rStyle w:val="CdigoHTML"/>
          <w:color w:val="000000"/>
        </w:rPr>
        <w:t>applyDateFilter</w:t>
      </w:r>
      <w:r>
        <w:rPr>
          <w:color w:val="000000"/>
        </w:rPr>
        <w:t xml:space="preserve">, que monta o intervalo no modo personalizado, cobrindo o dia inteiro em ambas as pontas); ou pelo botão de limpar (função </w:t>
      </w:r>
      <w:r>
        <w:rPr>
          <w:rStyle w:val="CdigoHTML"/>
          <w:color w:val="000000"/>
        </w:rPr>
        <w:t>clearDateFilter</w:t>
      </w:r>
      <w:r>
        <w:rPr>
          <w:color w:val="000000"/>
        </w:rPr>
        <w:t xml:space="preserve">, que retorna ao modo sem filtro). Clicar em um atalho já ativo funciona como alternância e remove o filtro. Qualquer uma dessas ações aciona </w:t>
      </w:r>
      <w:r>
        <w:rPr>
          <w:rStyle w:val="CdigoHTML"/>
          <w:color w:val="000000"/>
        </w:rPr>
        <w:t>renderAll</w:t>
      </w:r>
      <w:r>
        <w:rPr>
          <w:color w:val="000000"/>
        </w:rPr>
        <w:t>, que reconstrói todas as abas com dado carregado.</w:t>
      </w:r>
    </w:p>
    <w:p w14:paraId="4E710EA9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período não é interpretado da mesma forma em todas as fontes — cada uma usa a data que faz sentido para o seu contexto de negócio.</w:t>
      </w:r>
    </w:p>
    <w:p w14:paraId="624C4781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8 — Referência de data por fonte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7517"/>
      </w:tblGrid>
      <w:tr w:rsidR="00000000" w14:paraId="0172B2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600D7C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Fonte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F21DEC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Campo de referência</w:t>
            </w:r>
          </w:p>
        </w:tc>
      </w:tr>
      <w:tr w:rsidR="00000000" w14:paraId="2E635B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3071A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Pipefy Melhorias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84B01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intervalo </w:t>
            </w:r>
            <w:r>
              <w:rPr>
                <w:rStyle w:val="CdigoHTML"/>
                <w:color w:val="000000"/>
              </w:rPr>
              <w:t>dtInicio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a </w:t>
            </w:r>
            <w:r>
              <w:rPr>
                <w:rStyle w:val="CdigoHTML"/>
                <w:color w:val="000000"/>
              </w:rPr>
              <w:t>dtFim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(só enquanto em andamento; concluídas usam </w:t>
            </w:r>
            <w:r>
              <w:rPr>
                <w:rStyle w:val="CdigoHTML"/>
                <w:color w:val="000000"/>
              </w:rPr>
              <w:t>dtFim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</w:rPr>
              <w:t>como data única — ver abaixo)</w:t>
            </w:r>
          </w:p>
        </w:tc>
      </w:tr>
      <w:tr w:rsidR="00000000" w14:paraId="66968B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B80FB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Projetos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3F972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dtFim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(prazo de conclusão)</w:t>
            </w:r>
          </w:p>
        </w:tc>
      </w:tr>
      <w:tr w:rsidR="00000000" w14:paraId="00AAF86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6FFA1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DB0DB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intervalo </w:t>
            </w:r>
            <w:r>
              <w:rPr>
                <w:rStyle w:val="CdigoHTML"/>
                <w:color w:val="000000"/>
              </w:rPr>
              <w:t>dtInicio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a </w:t>
            </w:r>
            <w:r>
              <w:rPr>
                <w:rStyle w:val="CdigoHTML"/>
                <w:color w:val="000000"/>
              </w:rPr>
              <w:t>dtFim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(mesma regra de itens concluídos que Melhorias)</w:t>
            </w:r>
          </w:p>
        </w:tc>
      </w:tr>
      <w:tr w:rsidR="00000000" w14:paraId="446EB5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07909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Chamados 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427AD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criado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(data de abertura)</w:t>
            </w:r>
          </w:p>
        </w:tc>
      </w:tr>
      <w:tr w:rsidR="00000000" w14:paraId="738487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3BF96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Inventário de 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DB923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anoPrd</w:t>
            </w:r>
            <w:r>
              <w:rPr>
                <w:rFonts w:eastAsia="Times New Roman"/>
                <w:color w:val="000000"/>
                <w:sz w:val="20"/>
                <w:szCs w:val="20"/>
              </w:rPr>
              <w:t>, filtrado por ano — ver seção 15</w:t>
            </w:r>
          </w:p>
        </w:tc>
      </w:tr>
    </w:tbl>
    <w:p w14:paraId="3E5670F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lógica central está em três funções do módulo de datas. </w:t>
      </w:r>
      <w:r>
        <w:rPr>
          <w:rStyle w:val="CdigoHTML"/>
          <w:color w:val="000000"/>
        </w:rPr>
        <w:t>dataNoIntervalo</w:t>
      </w:r>
      <w:r>
        <w:rPr>
          <w:color w:val="000000"/>
        </w:rPr>
        <w:t xml:space="preserve"> avalia itens com uma única data de referência: sem filtro ativo, tudo passa; com filtro ativo, um item sem data nunca passa. </w:t>
      </w:r>
      <w:r>
        <w:rPr>
          <w:rStyle w:val="CdigoHTML"/>
          <w:color w:val="000000"/>
        </w:rPr>
        <w:t>ativoNoIntervalo</w:t>
      </w:r>
      <w:r>
        <w:rPr>
          <w:color w:val="000000"/>
        </w:rPr>
        <w:t xml:space="preserve"> </w:t>
      </w:r>
      <w:r>
        <w:rPr>
          <w:color w:val="000000"/>
        </w:rPr>
        <w:t xml:space="preserve">avalia itens com um intervalo próprio, como as Melhorias — um item com apenas a data de início é considerado ativo até a data atual; um item sem nenhuma das duas datas é classificado como "sem data" e contado à parte. </w:t>
      </w:r>
      <w:r>
        <w:rPr>
          <w:rStyle w:val="CdigoHTML"/>
          <w:color w:val="000000"/>
        </w:rPr>
        <w:t>filtrarPorPeriodo</w:t>
      </w:r>
      <w:r>
        <w:rPr>
          <w:color w:val="000000"/>
        </w:rPr>
        <w:t xml:space="preserve"> decide qual das duas regras aplicar a cada item de um array: itens ainda em andamento usam o intervalo completo (</w:t>
      </w:r>
      <w:r>
        <w:rPr>
          <w:rStyle w:val="CdigoHTML"/>
          <w:color w:val="000000"/>
        </w:rPr>
        <w:t>ativoNoIntervalo</w:t>
      </w:r>
      <w:r>
        <w:rPr>
          <w:color w:val="000000"/>
        </w:rPr>
        <w:t>), porque faz sentido considerá-los "ativos" durante todo o desenvolvimento; itens já concluídos (</w:t>
      </w:r>
      <w:r>
        <w:rPr>
          <w:rStyle w:val="CdigoHTML"/>
          <w:color w:val="000000"/>
        </w:rPr>
        <w:t>sc==='done'</w:t>
      </w:r>
      <w:r>
        <w:rPr>
          <w:color w:val="000000"/>
        </w:rPr>
        <w:t xml:space="preserve">) usam apenas </w:t>
      </w:r>
      <w:r>
        <w:rPr>
          <w:rStyle w:val="CdigoHTML"/>
          <w:color w:val="000000"/>
        </w:rPr>
        <w:t>dtFim</w:t>
      </w:r>
      <w:r>
        <w:rPr>
          <w:color w:val="000000"/>
        </w:rPr>
        <w:t xml:space="preserve"> </w:t>
      </w:r>
      <w:r>
        <w:rPr>
          <w:color w:val="000000"/>
        </w:rPr>
        <w:t xml:space="preserve">como data única, via </w:t>
      </w:r>
      <w:r>
        <w:rPr>
          <w:rStyle w:val="CdigoHTML"/>
          <w:color w:val="000000"/>
        </w:rPr>
        <w:t>dataNoIntervalo</w:t>
      </w:r>
      <w:r>
        <w:rPr>
          <w:color w:val="000000"/>
        </w:rPr>
        <w:t>, porque uma vez concluído o item tem uma data de conclusão real e fixa, e o que importa é se essa conclusão caiu dentro do período — não se o desenvolvimento, em algum momento, tocou o período. Essa distinção evita que um item concluído bem depois do período apareça como "concluído no período" só porque estava em desenvolvimento durante ele.</w:t>
      </w:r>
    </w:p>
    <w:p w14:paraId="15394BBE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rStyle w:val="CdigoHTML"/>
          <w:color w:val="000000"/>
        </w:rPr>
        <w:t>filtrarPorPeriodo</w:t>
      </w:r>
      <w:r>
        <w:rPr>
          <w:color w:val="000000"/>
        </w:rPr>
        <w:t xml:space="preserve"> </w:t>
      </w:r>
      <w:r>
        <w:rPr>
          <w:color w:val="000000"/>
        </w:rPr>
        <w:t>retorna dois valores: os itens que passaram no filtro e a quantidade dos que ficaram de fora por ausência de data — essa contagem é sempre exibida na interface, nunca ocultada. Em nenhuma circunstância um item sem data recebe uma data aproximada ou padrão: ele simplesmente fica fora do recorte enquanto o filtro estiver ativo.</w:t>
      </w:r>
    </w:p>
    <w:p w14:paraId="521B637B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233CA55">
          <v:rect id="_x0000_i1033" style="width:0;height:1.5pt" o:hralign="center" o:hrstd="t" o:hr="t" fillcolor="#a0a0a0" stroked="f"/>
        </w:pict>
      </w:r>
    </w:p>
    <w:p w14:paraId="7FC44D02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8 Barra superior</w:t>
      </w:r>
    </w:p>
    <w:p w14:paraId="28CB321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9 — Elementos da barra superior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6391"/>
      </w:tblGrid>
      <w:tr w:rsidR="00000000" w14:paraId="2E7F57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4CCF8F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C34D76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Comportamento</w:t>
            </w:r>
          </w:p>
        </w:tc>
      </w:tr>
      <w:tr w:rsidR="00000000" w14:paraId="7575D95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44D79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Logos Saint-Gobain e GBS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10E6D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decorativos</w:t>
            </w:r>
          </w:p>
        </w:tc>
      </w:tr>
      <w:tr w:rsidR="00000000" w14:paraId="2B619F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20DBC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Texto de sincronização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9BC85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exibe a hora da última geração, as fontes carregadas e o período ativo</w:t>
            </w:r>
          </w:p>
        </w:tc>
      </w:tr>
      <w:tr w:rsidR="00000000" w14:paraId="0E626A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23641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Atalhos de período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C2FC9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ver seção 7</w:t>
            </w:r>
          </w:p>
        </w:tc>
      </w:tr>
      <w:tr w:rsidR="00000000" w14:paraId="5478190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8F46E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Botão "Exportar PDF"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9F61C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 xml:space="preserve">visível somente após a primeira geração; aciona </w:t>
            </w:r>
            <w:r>
              <w:rPr>
                <w:rStyle w:val="CdigoHTML"/>
                <w:color w:val="000000"/>
              </w:rPr>
              <w:t>window.print()</w:t>
            </w:r>
          </w:p>
        </w:tc>
      </w:tr>
      <w:tr w:rsidR="00000000" w14:paraId="62BF0F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65827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Botão "Atualizar bases"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4B671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retorna à tela de upload sem descartar os dados já carregados</w:t>
            </w:r>
          </w:p>
        </w:tc>
      </w:tr>
    </w:tbl>
    <w:p w14:paraId="56C9921A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37E5DC52">
          <v:rect id="_x0000_i1034" style="width:0;height:1.5pt" o:hralign="center" o:hrstd="t" o:hr="t" fillcolor="#a0a0a0" stroked="f"/>
        </w:pict>
      </w:r>
    </w:p>
    <w:p w14:paraId="0DF6CE02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9 Navegação entre abas</w:t>
      </w:r>
    </w:p>
    <w:p w14:paraId="5049DF0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função </w:t>
      </w:r>
      <w:r>
        <w:rPr>
          <w:rStyle w:val="CdigoHTML"/>
          <w:color w:val="000000"/>
        </w:rPr>
        <w:t>setNav</w:t>
      </w:r>
      <w:r>
        <w:rPr>
          <w:color w:val="000000"/>
        </w:rPr>
        <w:t xml:space="preserve"> </w:t>
      </w:r>
      <w:r>
        <w:rPr>
          <w:color w:val="000000"/>
        </w:rPr>
        <w:t>alterna a classe ativa entre o item de menu selecionado e a seção de página correspondente, ocultando as demais. Ao entrar em uma aba, os números dos indicadores visíveis são reanimados do zero até o valor final — efeito puramente visual, sem novo cálculo.</w:t>
      </w:r>
    </w:p>
    <w:p w14:paraId="3CFE8B4D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aba RPA e Bots possui uma navegação secundária entre seis subabas, controlada pela função </w:t>
      </w:r>
      <w:r>
        <w:rPr>
          <w:rStyle w:val="CdigoHTML"/>
          <w:color w:val="000000"/>
        </w:rPr>
        <w:t>rpaPage</w:t>
      </w:r>
      <w:r>
        <w:rPr>
          <w:color w:val="000000"/>
        </w:rPr>
        <w:t xml:space="preserve">, restrita ao conteúdo dessa aba. Os contadores exibidos ao lado de cada item do menu principal são atualizados pela função </w:t>
      </w:r>
      <w:r>
        <w:rPr>
          <w:rStyle w:val="CdigoHTML"/>
          <w:color w:val="000000"/>
        </w:rPr>
        <w:t>setBadge</w:t>
      </w:r>
      <w:r>
        <w:rPr>
          <w:color w:val="000000"/>
        </w:rPr>
        <w:t xml:space="preserve"> </w:t>
      </w:r>
      <w:r>
        <w:rPr>
          <w:color w:val="000000"/>
        </w:rPr>
        <w:t>conforme cada aba é construída.</w:t>
      </w:r>
    </w:p>
    <w:p w14:paraId="0C32EECE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08420D89">
          <v:rect id="_x0000_i1035" style="width:0;height:1.5pt" o:hralign="center" o:hrstd="t" o:hr="t" fillcolor="#a0a0a0" stroked="f"/>
        </w:pict>
      </w:r>
    </w:p>
    <w:p w14:paraId="1900028B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10 Aba Painel de Controle</w:t>
      </w:r>
    </w:p>
    <w:p w14:paraId="306E60B2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Esta aba apresenta uma visão executiva que combina as quatro fontes de dados — Projetos, Melhorias, Analytics e Chamados RPA — em uma lista unificada de ações, produzida pela função </w:t>
      </w:r>
      <w:r>
        <w:rPr>
          <w:rStyle w:val="CdigoHTML"/>
          <w:color w:val="000000"/>
        </w:rPr>
        <w:t>todasAcoes</w:t>
      </w:r>
      <w:r>
        <w:rPr>
          <w:color w:val="000000"/>
        </w:rPr>
        <w:t xml:space="preserve">. Cada ação carrega a fonte de origem, o status normalizado, a frente de negócio, o responsável, as datas relevantes e, no caso de chamados RPA, o indicador de vencimento. Chamados RPA só recebem uma frente quando a área do bot corresponde a uma das cinco áreas de negócio principais; áreas secundárias do inventário não entram nos gráficos "por frente" desta aba. A função </w:t>
      </w:r>
      <w:r>
        <w:rPr>
          <w:rStyle w:val="CdigoHTML"/>
          <w:color w:val="000000"/>
        </w:rPr>
        <w:t>todasAcoesFiltradas</w:t>
      </w:r>
      <w:r>
        <w:rPr>
          <w:color w:val="000000"/>
        </w:rPr>
        <w:t xml:space="preserve"> aplica o filtro global de período sobre essa lista combinada.</w:t>
      </w:r>
    </w:p>
    <w:p w14:paraId="15804A1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Quando há mais de uma frente presente nos dados, chips de filtro permitem restringir a visão a uma área específica; essa seleção é guardada em </w:t>
      </w:r>
      <w:r>
        <w:rPr>
          <w:rStyle w:val="CdigoHTML"/>
          <w:color w:val="000000"/>
        </w:rPr>
        <w:t>App.govFrente</w:t>
      </w:r>
      <w:r>
        <w:rPr>
          <w:color w:val="000000"/>
        </w:rPr>
        <w:t>. O filtro de área afeta os indicadores, o donut de status e o gráfico "Por responsável", mas não o gráfico "Por frente", que sempre mostra o panorama completo como referência de comparação.</w:t>
      </w:r>
    </w:p>
    <w:p w14:paraId="75A7C58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aba exibe cinco indicadores — total de ações, percentual concluído, em andamento, em backlog e "outros" — seguidos de um donut de status que agrupa Encerramento e Monitoramento em uma única fatia e reúne bloqueados, cancelados e itens em suporte externo sob "Impedimentos". O gráfico "Por responsável" soma apenas os membros fixos da equipe CoE, definidos na constante </w:t>
      </w:r>
      <w:r>
        <w:rPr>
          <w:rStyle w:val="CdigoHTML"/>
          <w:color w:val="000000"/>
        </w:rPr>
        <w:t>COE_TEAM</w:t>
      </w:r>
      <w:r>
        <w:rPr>
          <w:color w:val="000000"/>
        </w:rPr>
        <w:t>; pessoas fora dessa lista não aparecem, ainda que constem como responsáveis na planilha. Um rodapé de diagnóstico mostra a contagem bruta de cada fonte, sem filtro de data, para auditoria rápida.</w:t>
      </w:r>
    </w:p>
    <w:p w14:paraId="40528099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690DE8C7">
          <v:rect id="_x0000_i1036" style="width:0;height:1.5pt" o:hralign="center" o:hrstd="t" o:hr="t" fillcolor="#a0a0a0" stroked="f"/>
        </w:pict>
      </w:r>
    </w:p>
    <w:p w14:paraId="381C476C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11 Aba Projetos</w:t>
      </w:r>
    </w:p>
    <w:p w14:paraId="2FECCBE8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A aba apresenta indicadores de total, execução, fase final, atrasos e risco alto, seguidos de um donut de status e barras por frente ou área cliente.</w:t>
      </w:r>
    </w:p>
    <w:p w14:paraId="2A575CA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score de risco de cada projeto, calculado pela função </w:t>
      </w:r>
      <w:r>
        <w:rPr>
          <w:rStyle w:val="CdigoHTML"/>
          <w:color w:val="000000"/>
        </w:rPr>
        <w:t>riscoProjeto</w:t>
      </w:r>
      <w:r>
        <w:rPr>
          <w:color w:val="000000"/>
        </w:rPr>
        <w:t xml:space="preserve">, combina três fatores sem exigir nenhum campo manual na planilha. O atraso é o fator de maior peso: quando o prazo já passou, a pontuação soma até 70 pontos, crescendo com o número de dias de atraso — cerca de 40 dias de atraso já é suficiente para classificar o projeto como risco alto isoladamente. Quando o prazo ainda não venceu, a proximidade da data soma pontos adicionais, e a ausência de qualquer prazo definido também é penalizada, por representar falta de controle. A fase do projeto contribui com um </w:t>
      </w:r>
      <w:r>
        <w:rPr>
          <w:color w:val="000000"/>
        </w:rPr>
        <w:t>peso decrescente conforme o projeto avança no fluxo — Diagnóstico e Planejamento pesam mais que Execução e Encerramento — e um projeto bloqueado recebe um acréscimo fixo. O resultado final é classificado como risco alto a partir de 55 pontos, médio a partir de 30, e baixo abaixo disso; projetos concluídos, cancelados ou em monitoramento sempre recebem risco zero. Cada cálculo mantém também uma lista de motivos legíveis, exibida como texto auxiliar no indicador de risco.</w:t>
      </w:r>
    </w:p>
    <w:p w14:paraId="748B00B5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lista de projetos aceita busca por texto, filtros combináveis de atraso e risco alto, e seletores de responsável, status e frente. A ordenação padrão é por score de risco, com progresso como critério de desempate. Clicar em um projeto expande um painel com os campos preenchidos na planilha — campos vazios simplesmente não aparecem. O estado de expansão de cada projeto é mantido em </w:t>
      </w:r>
      <w:r>
        <w:rPr>
          <w:rStyle w:val="CdigoHTML"/>
          <w:color w:val="000000"/>
        </w:rPr>
        <w:t>App.projOpen</w:t>
      </w:r>
      <w:r>
        <w:rPr>
          <w:color w:val="000000"/>
        </w:rPr>
        <w:t xml:space="preserve"> enquanto a página não é recarregada.</w:t>
      </w:r>
    </w:p>
    <w:p w14:paraId="13A711DF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55A81A58">
          <v:rect id="_x0000_i1037" style="width:0;height:1.5pt" o:hralign="center" o:hrstd="t" o:hr="t" fillcolor="#a0a0a0" stroked="f"/>
        </w:pict>
      </w:r>
    </w:p>
    <w:p w14:paraId="0B656411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12 Aba Pipefy Melhorias</w:t>
      </w:r>
    </w:p>
    <w:p w14:paraId="4BBCA1AA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Os indicadores desta aba mostram o total de melhorias sem filtro, seguido de conclusão percentual, backlog, bloqueadas e fluxos distintos. Quando existem melhorias marcadas como concluídas sem data de conclusão preenchida, um aviso identifica essa situação como erro de preenchimento da planilha, não como falha do sistema.</w:t>
      </w:r>
    </w:p>
    <w:p w14:paraId="1E92C729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gráfico "Melhorias Concluídas × Backlog" aparece somente quando há ao menos três melhorias concluídas com data e dois meses históricos distintos. Ele traz três séries: concluídas por mês, que é uma contagem histórica real; backlog reconstruído, calculado como o backlog atual somado às melhorias concluídas após cada mês do histórico — uma aproximação que assume que nenhum item novo entrou no backlog depois daquele ponto; e uma projeção linear para os meses futuros, calculada como o backlog atual dividido p</w:t>
      </w:r>
      <w:r>
        <w:rPr>
          <w:color w:val="000000"/>
        </w:rPr>
        <w:t>elo número de meses futuros exibidos. Uma linha vertical tracejada marca o mês corrente, separando histórico de projeção.</w:t>
      </w:r>
    </w:p>
    <w:p w14:paraId="7FEF1F8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A tabela "Overview por categoria" cruza frentes de negócio com as colunas Melhorias, Backlog, Dev + Planejamento, Validação, Pipefy, Bloqueado, Concluídos e Cancelados. As colunas Dev + Planejamento e Validação representam a mesma classificação interna (</w:t>
      </w:r>
      <w:r>
        <w:rPr>
          <w:rStyle w:val="CdigoHTML"/>
          <w:color w:val="000000"/>
        </w:rPr>
        <w:t>doing</w:t>
      </w:r>
      <w:r>
        <w:rPr>
          <w:color w:val="000000"/>
        </w:rPr>
        <w:t>), diferenciadas pelo texto original do status: registros cujo status contém "validação" ou "aguardando" vão para Validação; os demais, para Dev + Planejamento.</w:t>
      </w:r>
    </w:p>
    <w:p w14:paraId="139A2BC8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D078C12">
          <v:rect id="_x0000_i1038" style="width:0;height:1.5pt" o:hralign="center" o:hrstd="t" o:hr="t" fillcolor="#a0a0a0" stroked="f"/>
        </w:pict>
      </w:r>
    </w:p>
    <w:p w14:paraId="1C8E5D1E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13 Registro manual de atividades</w:t>
      </w:r>
    </w:p>
    <w:p w14:paraId="1C9709FD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No final da aba Pipefy Melhorias há um card de Atividades, a única parte do sistema cujos dados não vêm de planilha alguma. Ele reproduz uma tabela de acompanhamento manual — tema, atividade, observação e responsável — usada pela equipe em apresentações internas, cujos temas não correspondem diretamente a linhas da planilha Pipefy_Melhorias.</w:t>
      </w:r>
    </w:p>
    <w:p w14:paraId="6966EA5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Os registros são gravados em </w:t>
      </w:r>
      <w:r>
        <w:rPr>
          <w:rStyle w:val="CdigoHTML"/>
          <w:color w:val="000000"/>
        </w:rPr>
        <w:t>localStorage</w:t>
      </w:r>
      <w:r>
        <w:rPr>
          <w:color w:val="000000"/>
        </w:rPr>
        <w:t xml:space="preserve">, sob a chave </w:t>
      </w:r>
      <w:r>
        <w:rPr>
          <w:rStyle w:val="CdigoHTML"/>
          <w:color w:val="000000"/>
        </w:rPr>
        <w:t>synapse.melhorias.atividades</w:t>
      </w:r>
      <w:r>
        <w:rPr>
          <w:color w:val="000000"/>
        </w:rPr>
        <w:t xml:space="preserve">, como um array de objetos com os campos </w:t>
      </w:r>
      <w:r>
        <w:rPr>
          <w:rStyle w:val="CdigoHTML"/>
          <w:color w:val="000000"/>
        </w:rPr>
        <w:t>id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tema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atividade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observacao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responsavel</w:t>
      </w:r>
      <w:r>
        <w:rPr>
          <w:color w:val="000000"/>
        </w:rPr>
        <w:t>. Essa gravação sobrevive a recarregamentos de página e a novas gerações do dashboard com planilhas diferentes, mas fica restrita ao navegador e computador em que foi criada — não é sincronizada entre dispositivos e é removida se o usuário limpar os dados de navegação.</w:t>
      </w:r>
    </w:p>
    <w:p w14:paraId="2C3873EE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botão de adicionar abre o modal em branco; o ícone de lápis em uma linha o abre preenchido para edição. O envio do formulário decide entre criar ou atualizar com base no identificador oculto do registro. A exclusão pede confirmação nativa do navegador antes de remover o item, de forma definitiva. O texto digitado nos campos passa por um escape de HTML antes de ser inserido na tabela, prevenindo que marcações digitadas pelo usuário sejam interpretadas como código.</w:t>
      </w:r>
    </w:p>
    <w:p w14:paraId="0CC43C05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59549CF">
          <v:rect id="_x0000_i1039" style="width:0;height:1.5pt" o:hralign="center" o:hrstd="t" o:hr="t" fillcolor="#a0a0a0" stroked="f"/>
        </w:pict>
      </w:r>
    </w:p>
    <w:p w14:paraId="5F3F3507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14 Aba Analytics</w:t>
      </w:r>
    </w:p>
    <w:p w14:paraId="16E223A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Além dos indicadores de total, conclusão, andamento e não iniciadas, a aba apresenta um donut de status e barras por prioridade, frente e responsável. Quando não há filtro de período ativo, mas parte das atividades carece de data registrada, um aviso informa a proporção afetada.</w:t>
      </w:r>
    </w:p>
    <w:p w14:paraId="7C7DF2BD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heatmap de prioridade por frente, produzido pela função </w:t>
      </w:r>
      <w:r>
        <w:rPr>
          <w:rStyle w:val="CdigoHTML"/>
          <w:color w:val="000000"/>
        </w:rPr>
        <w:t>buildHeatmap</w:t>
      </w:r>
      <w:r>
        <w:rPr>
          <w:color w:val="000000"/>
        </w:rPr>
        <w:t xml:space="preserve"> </w:t>
      </w:r>
      <w:r>
        <w:rPr>
          <w:color w:val="000000"/>
        </w:rPr>
        <w:t>— fisicamente definida no módulo da Governança, mas usada apenas aqui —, cruza as prioridades de 1 a 4 com as frentes presentes em Analytics ou em Projetos, contando apenas atividades ainda em aberto. A intensidade da cor é proporcional ao valor máximo da matriz.</w:t>
      </w:r>
    </w:p>
    <w:p w14:paraId="06D6244A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B3D57AD">
          <v:rect id="_x0000_i1040" style="width:0;height:1.5pt" o:hralign="center" o:hrstd="t" o:hr="t" fillcolor="#a0a0a0" stroked="f"/>
        </w:pict>
      </w:r>
    </w:p>
    <w:p w14:paraId="603AE673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15 Aba RPA e Bots</w:t>
      </w:r>
    </w:p>
    <w:p w14:paraId="4EA7B320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filtro de período desta seção usa a data de abertura do chamado, campo obrigatório no Pipefy e por isso presente em todos os registros.</w:t>
      </w:r>
    </w:p>
    <w:p w14:paraId="128FBB4E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subaba Visão geral acrescenta um filtro local por fase do chamado, que atualiza apenas seus próprios indicadores e gráficos através da função </w:t>
      </w:r>
      <w:r>
        <w:rPr>
          <w:rStyle w:val="CdigoHTML"/>
          <w:color w:val="000000"/>
        </w:rPr>
        <w:t>renderRPAStatus</w:t>
      </w:r>
      <w:r>
        <w:rPr>
          <w:color w:val="000000"/>
        </w:rPr>
        <w:t>. Ela reúne cinco indicadores, um gráfico de volume mensal em barras empilhadas, um donut de status por fase e uma distribuição de chamados por área, na qual áreas secundárias do inventário são agregadas sob "Outros".</w:t>
      </w:r>
    </w:p>
    <w:p w14:paraId="2F11494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subaba Top bots lista, em barras horizontais, a contagem de chamados por processo. A subaba Tipos de problema cruza tipo de problema com fase e com área, usando o componente </w:t>
      </w:r>
      <w:r>
        <w:rPr>
          <w:rStyle w:val="CdigoHTML"/>
          <w:color w:val="000000"/>
        </w:rPr>
        <w:t>clusteredBars</w:t>
      </w:r>
      <w:r>
        <w:rPr>
          <w:color w:val="000000"/>
        </w:rPr>
        <w:t>, e apresenta dois donuts adicionais sobre reexecução e causa interna ou externa. A subaba Tempo de resolução calcula a média de dias por fase e o tempo médio por bot, considerando apenas bots com três ou mais chamados para evitar distorção estatística por amostra pequena. A subaba Chamados oferece busca textual sobre a lista completa, limitada a mil linhas exibidas por vez.</w:t>
      </w:r>
    </w:p>
    <w:p w14:paraId="4535B7A9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A subaba Inventário de bots reinterpreta o filtro de período: em vez de filtrar por data de ação, filtra por ano de entrada em produção (</w:t>
      </w:r>
      <w:r>
        <w:rPr>
          <w:rStyle w:val="CdigoHTML"/>
          <w:color w:val="000000"/>
        </w:rPr>
        <w:t>AnoPRD</w:t>
      </w:r>
      <w:r>
        <w:rPr>
          <w:color w:val="000000"/>
        </w:rPr>
        <w:t>). Ela apresenta indicadores de composição do inventário, distribuição por área e perímetro, classificação por criticidade e frequência de execução, e uma tabela de cruzamento que aponta os dez bots em produção com mais chamados de manutenção associados — candidatos naturais a refatoração.</w:t>
      </w:r>
    </w:p>
    <w:p w14:paraId="38D39A13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1B595AA5">
          <v:rect id="_x0000_i1041" style="width:0;height:1.5pt" o:hralign="center" o:hrstd="t" o:hr="t" fillcolor="#a0a0a0" stroked="f"/>
        </w:pict>
      </w:r>
    </w:p>
    <w:p w14:paraId="28CA8FEA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16 Análise automática</w:t>
      </w:r>
    </w:p>
    <w:p w14:paraId="7DFFC2A5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 botão "Gerar análise", presente em todas as abas, não envolve inteligência artificial ou modelo de linguagem: aciona um conjunto de regras determinísticas, escritas manualmente, que transformam os números do recorte atual em frases descritivas. Cada observação recebe uma classificação — positiva, negativa, alerta ou neutra — que define a cor e o ícone exibidos.</w:t>
      </w:r>
    </w:p>
    <w:p w14:paraId="57DB2E7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10 — Critérios de análise por aba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7621"/>
      </w:tblGrid>
      <w:tr w:rsidR="00000000" w14:paraId="784FC2C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91CB05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Aba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263F1C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Critérios avaliados</w:t>
            </w:r>
          </w:p>
        </w:tc>
      </w:tr>
      <w:tr w:rsidR="00000000" w14:paraId="2C0F67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F1241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Governança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0161B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taxa geral de conclusão; fonte com mais backlog aberto; concentração de carga por responsável da equipe CoE; percentual de ações canceladas</w:t>
            </w:r>
          </w:p>
        </w:tc>
      </w:tr>
      <w:tr w:rsidR="00000000" w14:paraId="448FF46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F0497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Projetos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3E3BF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contagem geral; lista nominal de atrasados por dias de atraso; projeto mais crítico por score de risco; frente com mais projetos; percentual não iniciado</w:t>
            </w:r>
          </w:p>
        </w:tc>
      </w:tr>
      <w:tr w:rsidR="00000000" w14:paraId="70DF90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A02D0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Pipefy Melhorias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EC009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taxa de conclusão; complexidade predominante; frente com mais demanda; contagem de bloqueadas</w:t>
            </w:r>
          </w:p>
        </w:tc>
      </w:tr>
      <w:tr w:rsidR="00000000" w14:paraId="61765C5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BD0A7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467EAC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taxa de conclusão; atividades de prioridade 1 em aberto; frente com mais demanda; atividades sem data</w:t>
            </w:r>
          </w:p>
        </w:tc>
      </w:tr>
      <w:tr w:rsidR="00000000" w14:paraId="413168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C2010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AE279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concentração nos três processos com mais manutenções; taxa de chamados vencidos; problema mais frequente; tendência de volume mês a mês; área com mais chamados</w:t>
            </w:r>
          </w:p>
        </w:tc>
      </w:tr>
      <w:tr w:rsidR="00000000" w14:paraId="2D240B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79597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Inventário de Bots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69C12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composição geral; área com mais bots em produção; bots críticos em produção; bot com mais chamados associados</w:t>
            </w:r>
          </w:p>
        </w:tc>
      </w:tr>
    </w:tbl>
    <w:p w14:paraId="5AE1A8A5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Os limiares numéricos usados nessas regras — por exemplo, 30% de concentração de carga ou 15% de variação mensal — foram definidos pela equipe para separar ruído estatístico normal de sinais que merecem atenção; não resultam de cálculo estatístico automático.</w:t>
      </w:r>
    </w:p>
    <w:p w14:paraId="1E0F9AE2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DF73AC4">
          <v:rect id="_x0000_i1042" style="width:0;height:1.5pt" o:hralign="center" o:hrstd="t" o:hr="t" fillcolor="#a0a0a0" stroked="f"/>
        </w:pict>
      </w:r>
    </w:p>
    <w:p w14:paraId="57B59AE1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17 Gráficos</w:t>
      </w:r>
    </w:p>
    <w:p w14:paraId="6D038E37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Os gráficos de linha, donut e barras empilhadas são produzidos pelo Chart.js. Cada função de gráfico devolve um trecho de HTML contendo um elemento </w:t>
      </w:r>
      <w:r>
        <w:rPr>
          <w:rStyle w:val="CdigoHTML"/>
          <w:color w:val="000000"/>
        </w:rPr>
        <w:t>&lt;canvas&gt;</w:t>
      </w:r>
      <w:r>
        <w:rPr>
          <w:color w:val="000000"/>
        </w:rPr>
        <w:t xml:space="preserve"> </w:t>
      </w:r>
      <w:r>
        <w:rPr>
          <w:color w:val="000000"/>
        </w:rPr>
        <w:t xml:space="preserve">com identificador único e registra a configuração correspondente em uma fila interna, já que o elemento ainda não existe no DOM no momento da chamada. Após a inserção do HTML na página, a função </w:t>
      </w:r>
      <w:r>
        <w:rPr>
          <w:rStyle w:val="CdigoHTML"/>
          <w:color w:val="000000"/>
        </w:rPr>
        <w:t>flushCharts</w:t>
      </w:r>
      <w:r>
        <w:rPr>
          <w:color w:val="000000"/>
        </w:rPr>
        <w:t xml:space="preserve"> </w:t>
      </w:r>
      <w:r>
        <w:rPr>
          <w:color w:val="000000"/>
        </w:rPr>
        <w:t>percorre essa fila e instancia cada gráfico. Instâncias anteriores com o mesmo identificador são destruídas antes da recriação, evitando o erro de canvas já em uso quando uma aba é reconstruída — por exemplo, ao alterar o filtro de período. No início de cada geração de dashboard, todas as instâncias ativas são destruídas de uma só vez.</w:t>
      </w:r>
    </w:p>
    <w:p w14:paraId="3C73C413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Dois componentes visuais não usam Chart.js: as barras agrupadas da subaba Tipos de problema e o heatmap da aba Analytics são montados diretamente em HTML e CSS, para permitir controle total do layout.</w:t>
      </w:r>
    </w:p>
    <w:p w14:paraId="4035DC8D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20964E57">
          <v:rect id="_x0000_i1043" style="width:0;height:1.5pt" o:hralign="center" o:hrstd="t" o:hr="t" fillcolor="#a0a0a0" stroked="f"/>
        </w:pict>
      </w:r>
    </w:p>
    <w:p w14:paraId="6D5AEA48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18 Exportação para PDF</w:t>
      </w:r>
    </w:p>
    <w:p w14:paraId="53DABCEC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botão "Exportar PDF" aciona </w:t>
      </w:r>
      <w:r>
        <w:rPr>
          <w:rStyle w:val="CdigoHTML"/>
          <w:color w:val="000000"/>
        </w:rPr>
        <w:t>window.print()</w:t>
      </w:r>
      <w:r>
        <w:rPr>
          <w:color w:val="000000"/>
        </w:rPr>
        <w:t>, abrindo o diálogo de impressão nativo do navegador — não há geração de PDF customizada nem envio de dados a um servidor. Uma seção de impressão na folha de estilos oculta a navegação, os botões de ação, o filtro de período e o fundo animado, mostrando apenas o conteúdo da aba ativa no momento. Para exportar outra aba, é necessário navegar até ela antes de acionar a exportação.</w:t>
      </w:r>
    </w:p>
    <w:p w14:paraId="098E91D0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414830FA">
          <v:rect id="_x0000_i1044" style="width:0;height:1.5pt" o:hralign="center" o:hrstd="t" o:hr="t" fillcolor="#a0a0a0" stroked="f"/>
        </w:pict>
      </w:r>
    </w:p>
    <w:p w14:paraId="3D7C9781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19 Fundo animado</w:t>
      </w:r>
    </w:p>
    <w:p w14:paraId="6FCCF984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O fundo de partículas atrás do conteúdo é puramente decorativo. Um elemento </w:t>
      </w:r>
      <w:r>
        <w:rPr>
          <w:rStyle w:val="CdigoHTML"/>
          <w:color w:val="000000"/>
        </w:rPr>
        <w:t>&lt;canvas&gt;</w:t>
      </w:r>
      <w:r>
        <w:rPr>
          <w:color w:val="000000"/>
        </w:rPr>
        <w:t xml:space="preserve"> </w:t>
      </w:r>
      <w:r>
        <w:rPr>
          <w:color w:val="000000"/>
        </w:rPr>
        <w:t xml:space="preserve">fixo desenha cerca de noventa e cinco pontos em movimento lento, conectados por linhas quando próximos o suficiente, com leve repulsão em relação ao cursor do mouse. A animação é recalculada a cada quadro via </w:t>
      </w:r>
      <w:r>
        <w:rPr>
          <w:rStyle w:val="CdigoHTML"/>
          <w:color w:val="000000"/>
        </w:rPr>
        <w:t>requestAnimationFrame</w:t>
      </w:r>
      <w:r>
        <w:rPr>
          <w:color w:val="000000"/>
        </w:rPr>
        <w:t xml:space="preserve"> e se ajusta automaticamente ao redimensionamento da janela.</w:t>
      </w:r>
    </w:p>
    <w:p w14:paraId="258D2C00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098BCAB4">
          <v:rect id="_x0000_i1045" style="width:0;height:1.5pt" o:hralign="center" o:hrstd="t" o:hr="t" fillcolor="#a0a0a0" stroked="f"/>
        </w:pict>
      </w:r>
    </w:p>
    <w:p w14:paraId="33DDB6F8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20 Privacidade e segurança</w:t>
      </w:r>
    </w:p>
    <w:p w14:paraId="5BC1200F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Nenhum dado das planilhas carregadas sai do navegador do usuário: não há backend, API própria ou envio de arquivos a qualquer servidor, e todo o processamento ocorre localmente, em JavaScript. As conexões de rede feitas pela página servem exclusivamente para carregar bibliotecas de terceiros, ícones e fontes tipográficas — nenhuma delas recebe o conteúdo das planilhas.</w:t>
      </w:r>
    </w:p>
    <w:p w14:paraId="1AF7C2B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A única informação que persiste entre sessões é o registro de atividades descrito na seção 13, mantido exclusivamente em </w:t>
      </w:r>
      <w:r>
        <w:rPr>
          <w:rStyle w:val="CdigoHTML"/>
          <w:color w:val="000000"/>
        </w:rPr>
        <w:t>localStorage</w:t>
      </w:r>
      <w:r>
        <w:rPr>
          <w:color w:val="000000"/>
        </w:rPr>
        <w:t xml:space="preserve"> </w:t>
      </w:r>
      <w:r>
        <w:rPr>
          <w:color w:val="000000"/>
        </w:rPr>
        <w:t>local. Recarregar a página descarta o restante do estado — workbooks, dados normalizados e filtros —, exigindo novo carregamento das planilhas.</w:t>
      </w:r>
    </w:p>
    <w:p w14:paraId="2DF64D43" w14:textId="77777777" w:rsidR="005E0918" w:rsidRDefault="005E0918" w:rsidP="00377833">
      <w:pPr>
        <w:jc w:val="both"/>
        <w:rPr>
          <w:rFonts w:eastAsia="Times New Roman"/>
          <w:vanish/>
          <w:color w:val="000000"/>
        </w:rPr>
      </w:pPr>
      <w:r>
        <w:rPr>
          <w:rFonts w:eastAsia="Times New Roman"/>
          <w:color w:val="000000"/>
        </w:rPr>
        <w:pict w14:anchorId="52EC13BC">
          <v:rect id="_x0000_i1046" style="width:0;height:1.5pt" o:hralign="center" o:hrstd="t" o:hr="t" fillcolor="#a0a0a0" stroked="f"/>
        </w:pict>
      </w:r>
    </w:p>
    <w:p w14:paraId="5CFEC833" w14:textId="77777777" w:rsidR="005E0918" w:rsidRDefault="005E0918" w:rsidP="00377833">
      <w:pPr>
        <w:pStyle w:val="Ttulo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21 Glossário de renomeações</w:t>
      </w:r>
    </w:p>
    <w:p w14:paraId="35532398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 xml:space="preserve">Durante uma revisão de nomenclatura, funções identificadas por siglas ou abreviações pouco claras foram renomeadas para identificadores completos e autoexplicativos, tanto no </w:t>
      </w:r>
      <w:r>
        <w:rPr>
          <w:rStyle w:val="CdigoHTML"/>
          <w:color w:val="000000"/>
        </w:rPr>
        <w:t>app.js</w:t>
      </w:r>
      <w:r>
        <w:rPr>
          <w:color w:val="000000"/>
        </w:rPr>
        <w:t xml:space="preserve"> quanto em </w:t>
      </w:r>
      <w:r>
        <w:rPr>
          <w:rStyle w:val="CdigoHTML"/>
          <w:color w:val="000000"/>
        </w:rPr>
        <w:t>src/</w:t>
      </w:r>
      <w:r>
        <w:rPr>
          <w:color w:val="000000"/>
        </w:rPr>
        <w:t xml:space="preserve"> e </w:t>
      </w:r>
      <w:r>
        <w:rPr>
          <w:rStyle w:val="CdigoHTML"/>
          <w:color w:val="000000"/>
        </w:rPr>
        <w:t>index.html</w:t>
      </w:r>
      <w:r>
        <w:rPr>
          <w:color w:val="000000"/>
        </w:rPr>
        <w:t>. Nenhum comportamento do sistema foi alterado nessa revisão.</w:t>
      </w:r>
    </w:p>
    <w:p w14:paraId="51895A9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11 — Funções renomeadas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2740"/>
        <w:gridCol w:w="4858"/>
      </w:tblGrid>
      <w:tr w:rsidR="00000000" w14:paraId="469FD6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65C4BA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anterior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38D3EF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atual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2752C9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Função</w:t>
            </w:r>
          </w:p>
        </w:tc>
      </w:tr>
      <w:tr w:rsidR="00000000" w14:paraId="4591A33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F461C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5836D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handleFileInputChange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3C68E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a seleção de arquivo pelo input de upload</w:t>
            </w:r>
          </w:p>
        </w:tc>
      </w:tr>
      <w:tr w:rsidR="00000000" w14:paraId="418CCC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2E3B8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AEBB1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handleDropzoneDragOver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4CC77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o arraste de um arquivo sobre a área de upload</w:t>
            </w:r>
          </w:p>
        </w:tc>
      </w:tr>
      <w:tr w:rsidR="00000000" w14:paraId="2E2CBB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974474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dzL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29EF2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handleDropzoneDragLeave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C8A34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a saída do arraste da área de upload</w:t>
            </w:r>
          </w:p>
        </w:tc>
      </w:tr>
      <w:tr w:rsidR="00000000" w14:paraId="2C02C67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14916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dzD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1BB64D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handleDropzoneDrop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2D683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trata a soltura do arquivo na área de upload</w:t>
            </w:r>
          </w:p>
        </w:tc>
      </w:tr>
      <w:tr w:rsidR="00000000" w14:paraId="32D6A33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849E1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_cid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B15B7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_generateChartId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0EBF8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gera um identificador único de canvas para cada gráfico</w:t>
            </w:r>
          </w:p>
        </w:tc>
      </w:tr>
      <w:tr w:rsidR="00000000" w14:paraId="00113F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3F600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_animateNum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539C1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_animateNumber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99384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anima a contagem visual dos indicadores numéricos</w:t>
            </w:r>
          </w:p>
        </w:tc>
      </w:tr>
      <w:tr w:rsidR="00000000" w14:paraId="3A75F3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BB42E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ym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02F0B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toYearMonthKey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D863B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converte uma data em chave de agrupamento mensal</w:t>
            </w:r>
          </w:p>
        </w:tc>
      </w:tr>
      <w:tr w:rsidR="00000000" w14:paraId="694ADA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0903F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ymLabel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EA641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toYearMonthLabel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0D964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converte a chave mensal em rótulo legível</w:t>
            </w:r>
          </w:p>
        </w:tc>
      </w:tr>
      <w:tr w:rsidR="00000000" w14:paraId="5FDC50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B9402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DF8CF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getColumnValue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2F7D0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lê o valor de uma coluna da planilha, com nomes alternativos</w:t>
            </w:r>
          </w:p>
        </w:tc>
      </w:tr>
      <w:tr w:rsidR="00000000" w14:paraId="1D4ACCC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FDD2D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8EC79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calculatePercentage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8CCAB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calcula uma porcentagem arredondada</w:t>
            </w:r>
          </w:p>
        </w:tc>
      </w:tr>
      <w:tr w:rsidR="00000000" w14:paraId="243BE13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9E4AD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hbars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AA6A4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horizontalBars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BB306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monta um gráfico de barras horizontais</w:t>
            </w:r>
          </w:p>
        </w:tc>
      </w:tr>
      <w:tr w:rsidR="00000000" w14:paraId="7857AEC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3CBF7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chartVBars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D8B38E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verticalBarsChart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13315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monta o gráfico de barras verticais empilhadas</w:t>
            </w:r>
          </w:p>
        </w:tc>
      </w:tr>
      <w:tr w:rsidR="00000000" w14:paraId="6A9375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D873D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E0C27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buildAnalytics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91346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constrói a aba Analytics</w:t>
            </w:r>
          </w:p>
        </w:tc>
      </w:tr>
      <w:tr w:rsidR="00000000" w14:paraId="4EC1F9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168B9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avgField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F5477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averageField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C2870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calcula a média de um campo numérico</w:t>
            </w:r>
          </w:p>
        </w:tc>
      </w:tr>
      <w:tr w:rsidR="00000000" w14:paraId="5DF612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96D9D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normBotName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301BE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normalizeBotName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ABE82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normaliza o nome de um bot para comparação aproximada</w:t>
            </w:r>
          </w:p>
        </w:tc>
      </w:tr>
    </w:tbl>
    <w:p w14:paraId="4433C5FB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Além dessa revisão de siglas, uma segunda etapa traduziu para português os identificadores e comentários originalmente escritos em inglês, mantida a convenção de preservar em inglês apenas os códigos internos de status (</w:t>
      </w:r>
      <w:r>
        <w:rPr>
          <w:rStyle w:val="CdigoHTML"/>
          <w:color w:val="000000"/>
        </w:rPr>
        <w:t>done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doing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todo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blocked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cancel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closing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monitor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vendor</w:t>
      </w:r>
      <w:r>
        <w:rPr>
          <w:color w:val="000000"/>
        </w:rPr>
        <w:t xml:space="preserve">, </w:t>
      </w:r>
      <w:r>
        <w:rPr>
          <w:rStyle w:val="CdigoHTML"/>
          <w:color w:val="000000"/>
        </w:rPr>
        <w:t>other</w:t>
      </w:r>
      <w:r>
        <w:rPr>
          <w:color w:val="000000"/>
        </w:rPr>
        <w:t>), por funcionarem como um conjunto fechado de constantes internas, sem relação direta com texto exibido ao usuário.</w:t>
      </w:r>
    </w:p>
    <w:p w14:paraId="113F0A0D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Quadro 12 — Principais funções traduzidas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1"/>
        <w:gridCol w:w="4644"/>
      </w:tblGrid>
      <w:tr w:rsidR="00000000" w14:paraId="28AB893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713C5C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em inglês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D9D9D9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2572A2" w14:textId="77777777" w:rsidR="005E0918" w:rsidRDefault="005E0918" w:rsidP="00377833">
            <w:pPr>
              <w:spacing w:before="150" w:after="150"/>
              <w:rPr>
                <w:rFonts w:eastAsia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Nome em português</w:t>
            </w:r>
          </w:p>
        </w:tc>
      </w:tr>
      <w:tr w:rsidR="00000000" w14:paraId="7FCDF5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BAFC8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statusClass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77D909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classeStatus</w:t>
            </w:r>
          </w:p>
        </w:tc>
      </w:tr>
      <w:tr w:rsidR="00000000" w14:paraId="019C40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3CECD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improvementStatusClass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561CD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classeStatusMelhoria</w:t>
            </w:r>
          </w:p>
        </w:tc>
      </w:tr>
      <w:tr w:rsidR="00000000" w14:paraId="010A0E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25C145A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getStandardCoeName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85B1F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nomePadraoCoe</w:t>
            </w:r>
          </w:p>
        </w:tc>
      </w:tr>
      <w:tr w:rsidR="00000000" w14:paraId="2230FE5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D84B6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getProjectPhase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D2AC82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faseProjeto</w:t>
            </w:r>
          </w:p>
        </w:tc>
      </w:tr>
      <w:tr w:rsidR="00000000" w14:paraId="77CD3D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997CC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isProjectOverdue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55F60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projetoAtrasado</w:t>
            </w:r>
          </w:p>
        </w:tc>
      </w:tr>
      <w:tr w:rsidR="00000000" w14:paraId="03A5E3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B547A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getProjectRisk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8AB09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riscoProjeto</w:t>
            </w:r>
          </w:p>
        </w:tc>
      </w:tr>
      <w:tr w:rsidR="00000000" w14:paraId="2084D6E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06508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allActions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4B72E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todasAcoes</w:t>
            </w:r>
          </w:p>
        </w:tc>
      </w:tr>
      <w:tr w:rsidR="00000000" w14:paraId="53674B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35F9F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allActionsFiltered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C4727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todasAcoesFiltradas</w:t>
            </w:r>
          </w:p>
        </w:tc>
      </w:tr>
      <w:tr w:rsidR="00000000" w14:paraId="0323AD9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D55B6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buildGovernance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21937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construirGovernanca</w:t>
            </w:r>
          </w:p>
        </w:tc>
      </w:tr>
      <w:tr w:rsidR="00000000" w14:paraId="64B24A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C6BCB8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buildHeatmap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(nome mantido)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4289E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construirMapaCalor</w:t>
            </w:r>
          </w:p>
        </w:tc>
      </w:tr>
      <w:tr w:rsidR="00000000" w14:paraId="158988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F1C1D1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buildImprovements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A53FB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construirMelhorias</w:t>
            </w:r>
          </w:p>
        </w:tc>
      </w:tr>
      <w:tr w:rsidR="00000000" w14:paraId="7305C7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4755FE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applyDate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BADEE5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filtrarPorPeriodo</w:t>
            </w:r>
          </w:p>
        </w:tc>
      </w:tr>
      <w:tr w:rsidR="00000000" w14:paraId="138DC5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FB2A2C7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inDateRange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1B90C6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dataNoIntervalo</w:t>
            </w:r>
          </w:p>
        </w:tc>
      </w:tr>
      <w:tr w:rsidR="00000000" w14:paraId="2F3BF4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E4B40B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activeInRange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DBE70F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ativoNoIntervalo</w:t>
            </w:r>
          </w:p>
        </w:tc>
      </w:tr>
      <w:tr w:rsidR="00000000" w14:paraId="7F4897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2D3733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analyzeGovernance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000000"/>
              </w:rPr>
              <w:t>analyzeProjects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etc.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AB5780" w14:textId="77777777" w:rsidR="005E0918" w:rsidRDefault="005E0918" w:rsidP="00377833">
            <w:pPr>
              <w:spacing w:before="150" w:after="150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Style w:val="CdigoHTML"/>
                <w:color w:val="000000"/>
              </w:rPr>
              <w:t>analisarGovernanca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000000"/>
              </w:rPr>
              <w:t>analisarProjetos</w:t>
            </w:r>
            <w:r>
              <w:rPr>
                <w:rFonts w:eastAsia="Times New Roman"/>
                <w:color w:val="000000"/>
                <w:sz w:val="20"/>
                <w:szCs w:val="20"/>
              </w:rPr>
              <w:t xml:space="preserve"> etc.</w:t>
            </w:r>
          </w:p>
        </w:tc>
      </w:tr>
    </w:tbl>
    <w:p w14:paraId="1EE0471A" w14:textId="77777777" w:rsidR="005E0918" w:rsidRDefault="005E0918" w:rsidP="00377833">
      <w:pPr>
        <w:pStyle w:val="NormalWeb"/>
        <w:jc w:val="both"/>
        <w:rPr>
          <w:color w:val="000000"/>
        </w:rPr>
      </w:pPr>
      <w:r>
        <w:rPr>
          <w:color w:val="000000"/>
        </w:rPr>
        <w:t>Esta segunda etapa, no momento da última atualização deste documento, cobre o núcleo de dados (Seção 1), a aba Governança, a aba Melhorias com o registro de atividades, e o módulo de análise automática. As funções relacionadas a upload, navegação, filtros, parsers e às abas Projetos, Analytics, RPA e Bots ainda mantêm identificadores em inglês e serão atualizadas em uma etapa posterior.</w:t>
      </w:r>
    </w:p>
    <w:sectPr w:rsidR="005E0918" w:rsidSect="0037783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DCA60" w14:textId="77777777" w:rsidR="005E0918" w:rsidRDefault="005E0918" w:rsidP="00377833">
      <w:r>
        <w:separator/>
      </w:r>
    </w:p>
  </w:endnote>
  <w:endnote w:type="continuationSeparator" w:id="0">
    <w:p w14:paraId="171762DD" w14:textId="77777777" w:rsidR="005E0918" w:rsidRDefault="005E0918" w:rsidP="003778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AD630" w14:textId="77777777" w:rsidR="00377833" w:rsidRDefault="0037783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CEDB8" w14:textId="77777777" w:rsidR="00377833" w:rsidRDefault="0037783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B8587" w14:textId="77777777" w:rsidR="00377833" w:rsidRDefault="0037783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C2C8A" w14:textId="77777777" w:rsidR="005E0918" w:rsidRDefault="005E0918" w:rsidP="00377833">
      <w:r>
        <w:separator/>
      </w:r>
    </w:p>
  </w:footnote>
  <w:footnote w:type="continuationSeparator" w:id="0">
    <w:p w14:paraId="1CFA3EB5" w14:textId="77777777" w:rsidR="005E0918" w:rsidRDefault="005E0918" w:rsidP="003778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55809" w14:textId="77777777" w:rsidR="00377833" w:rsidRDefault="00377833" w:rsidP="00CD3BE6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416C7A7F" w14:textId="77777777" w:rsidR="00377833" w:rsidRDefault="00377833" w:rsidP="00377833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0AD1" w14:textId="402EBA95" w:rsidR="00377833" w:rsidRDefault="00377833" w:rsidP="00CD3BE6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292349BF" w14:textId="77777777" w:rsidR="00377833" w:rsidRDefault="00377833" w:rsidP="00377833">
    <w:pPr>
      <w:pStyle w:val="Cabealho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12452" w14:textId="77777777" w:rsidR="00377833" w:rsidRDefault="0037783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B42F42"/>
    <w:multiLevelType w:val="multilevel"/>
    <w:tmpl w:val="402C2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63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833"/>
    <w:rsid w:val="00377833"/>
    <w:rsid w:val="005E0918"/>
    <w:rsid w:val="0070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9E72ED"/>
  <w15:chartTrackingRefBased/>
  <w15:docId w15:val="{F614B990-C363-4644-AD6B-916D0A80E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after="100" w:afterAutospacing="1"/>
      <w:outlineLvl w:val="0"/>
    </w:pPr>
    <w:rPr>
      <w:b/>
      <w:bCs/>
      <w:caps/>
      <w:kern w:val="36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pPr>
      <w:spacing w:before="330" w:after="100" w:afterAutospacing="1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spacing w:before="240" w:after="100" w:afterAutospacing="1"/>
      <w:outlineLvl w:val="2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0F0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pPr>
      <w:pBdr>
        <w:top w:val="single" w:sz="6" w:space="6" w:color="CCCCCC"/>
        <w:left w:val="single" w:sz="6" w:space="6" w:color="CCCCCC"/>
        <w:bottom w:val="single" w:sz="6" w:space="6" w:color="CCCCCC"/>
        <w:right w:val="single" w:sz="6" w:space="6" w:color="CCCCCC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80"/>
      <w:ind w:firstLine="709"/>
    </w:pPr>
  </w:style>
  <w:style w:type="paragraph" w:styleId="NormalWeb">
    <w:name w:val="Normal (Web)"/>
    <w:basedOn w:val="Normal"/>
    <w:uiPriority w:val="99"/>
    <w:semiHidden/>
    <w:unhideWhenUsed/>
    <w:pPr>
      <w:spacing w:after="180"/>
      <w:ind w:firstLine="709"/>
    </w:pPr>
  </w:style>
  <w:style w:type="paragraph" w:customStyle="1" w:styleId="capa">
    <w:name w:val="capa"/>
    <w:basedOn w:val="Normal"/>
    <w:pPr>
      <w:spacing w:before="30" w:after="30"/>
      <w:jc w:val="center"/>
    </w:pPr>
  </w:style>
  <w:style w:type="paragraph" w:customStyle="1" w:styleId="sumario-item">
    <w:name w:val="sumario-item"/>
    <w:basedOn w:val="Normal"/>
    <w:pPr>
      <w:spacing w:before="60" w:after="60"/>
      <w:jc w:val="both"/>
    </w:pPr>
  </w:style>
  <w:style w:type="paragraph" w:customStyle="1" w:styleId="instituicao">
    <w:name w:val="instituicao"/>
    <w:basedOn w:val="Normal"/>
    <w:pPr>
      <w:spacing w:before="30" w:after="30"/>
      <w:jc w:val="both"/>
    </w:pPr>
  </w:style>
  <w:style w:type="paragraph" w:customStyle="1" w:styleId="titulo">
    <w:name w:val="titulo"/>
    <w:basedOn w:val="Normal"/>
    <w:pPr>
      <w:spacing w:before="30" w:after="30"/>
      <w:jc w:val="both"/>
    </w:pPr>
  </w:style>
  <w:style w:type="paragraph" w:customStyle="1" w:styleId="subtitulo">
    <w:name w:val="subtitulo"/>
    <w:basedOn w:val="Normal"/>
    <w:pPr>
      <w:spacing w:before="30" w:after="30"/>
      <w:jc w:val="both"/>
    </w:pPr>
  </w:style>
  <w:style w:type="paragraph" w:customStyle="1" w:styleId="natureza">
    <w:name w:val="natureza"/>
    <w:basedOn w:val="Normal"/>
    <w:pPr>
      <w:spacing w:before="30" w:after="30"/>
      <w:jc w:val="both"/>
    </w:pPr>
  </w:style>
  <w:style w:type="paragraph" w:customStyle="1" w:styleId="local">
    <w:name w:val="local"/>
    <w:basedOn w:val="Normal"/>
    <w:pPr>
      <w:spacing w:before="30" w:after="30"/>
      <w:jc w:val="both"/>
    </w:pPr>
  </w:style>
  <w:style w:type="paragraph" w:customStyle="1" w:styleId="instituicao1">
    <w:name w:val="instituicao1"/>
    <w:basedOn w:val="Normal"/>
    <w:pPr>
      <w:spacing w:before="1134" w:after="180"/>
    </w:pPr>
    <w:rPr>
      <w:caps/>
    </w:rPr>
  </w:style>
  <w:style w:type="paragraph" w:customStyle="1" w:styleId="titulo1">
    <w:name w:val="titulo1"/>
    <w:basedOn w:val="Normal"/>
    <w:pPr>
      <w:spacing w:before="3686" w:after="180"/>
    </w:pPr>
    <w:rPr>
      <w:b/>
      <w:bCs/>
      <w:caps/>
      <w:sz w:val="40"/>
      <w:szCs w:val="40"/>
    </w:rPr>
  </w:style>
  <w:style w:type="paragraph" w:customStyle="1" w:styleId="subtitulo1">
    <w:name w:val="subtitulo1"/>
    <w:basedOn w:val="Normal"/>
    <w:pPr>
      <w:spacing w:before="284" w:after="180"/>
    </w:pPr>
    <w:rPr>
      <w:sz w:val="28"/>
      <w:szCs w:val="28"/>
    </w:rPr>
  </w:style>
  <w:style w:type="paragraph" w:customStyle="1" w:styleId="natureza1">
    <w:name w:val="natureza1"/>
    <w:basedOn w:val="Normal"/>
    <w:pPr>
      <w:spacing w:before="2835"/>
    </w:pPr>
  </w:style>
  <w:style w:type="paragraph" w:customStyle="1" w:styleId="local1">
    <w:name w:val="local1"/>
    <w:basedOn w:val="Normal"/>
    <w:pPr>
      <w:spacing w:before="3402" w:after="180"/>
    </w:pPr>
    <w:rPr>
      <w:caps/>
    </w:rPr>
  </w:style>
  <w:style w:type="paragraph" w:styleId="Cabealho">
    <w:name w:val="header"/>
    <w:basedOn w:val="Normal"/>
    <w:link w:val="CabealhoChar"/>
    <w:uiPriority w:val="99"/>
    <w:unhideWhenUsed/>
    <w:rsid w:val="0037783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7833"/>
    <w:rPr>
      <w:rFonts w:eastAsiaTheme="minorEastAsia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37783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7833"/>
    <w:rPr>
      <w:rFonts w:eastAsiaTheme="minorEastAsia"/>
      <w:sz w:val="24"/>
      <w:szCs w:val="24"/>
    </w:rPr>
  </w:style>
  <w:style w:type="character" w:styleId="Nmerodepgina">
    <w:name w:val="page number"/>
    <w:basedOn w:val="Fontepargpadro"/>
    <w:uiPriority w:val="99"/>
    <w:semiHidden/>
    <w:unhideWhenUsed/>
    <w:rsid w:val="003778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0754b47-c413-4aa1-bfc3-c33089241f4f}" enabled="1" method="Standard" siteId="{e339bd4b-2e3b-4035-a452-2112d502f2f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5308</Words>
  <Characters>28668</Characters>
  <Application>Microsoft Office Word</Application>
  <DocSecurity>0</DocSecurity>
  <Lines>238</Lines>
  <Paragraphs>67</Paragraphs>
  <ScaleCrop>false</ScaleCrop>
  <Company/>
  <LinksUpToDate>false</LinksUpToDate>
  <CharactersWithSpaces>33909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Archangelo, Gustavo Lucas</dc:creator>
  <cp:keywords/>
  <dc:description/>
  <cp:lastModifiedBy>Archangelo, Gustavo Lucas</cp:lastModifiedBy>
  <cp:revision>2</cp:revision>
  <dcterms:created xsi:type="dcterms:W3CDTF">2026-07-21T16:12:00Z</dcterms:created>
  <dcterms:modified xsi:type="dcterms:W3CDTF">2026-07-21T16:12:00Z</dcterms:modified>
</cp:coreProperties>
</file>