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 III  Q1 2026 Quarterly Portfolio Review</w:t>
      </w:r>
    </w:p>
    <w:p>
      <w:pPr>
        <w:pStyle w:val="Heading1"/>
      </w:pPr>
      <w:r>
        <w:t>Portfolio summary</w:t>
      </w:r>
    </w:p>
    <w:p>
      <w:r>
        <w:t>Fund III's two remaining companies traded in line with the prior quarter. Northwind grew revenue and held margin. Atlas continued to lose volume and leverage rose.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Revenue (USD 000s)</w:t>
            </w:r>
          </w:p>
        </w:tc>
        <w:tc>
          <w:tcPr>
            <w:tcW w:type="dxa" w:w="1728"/>
          </w:tcPr>
          <w:p>
            <w:r>
              <w:t>Adj. EBITDA (USD 000s)</w:t>
            </w:r>
          </w:p>
        </w:tc>
        <w:tc>
          <w:tcPr>
            <w:tcW w:type="dxa" w:w="1728"/>
          </w:tcPr>
          <w:p>
            <w:r>
              <w:t>Margin</w:t>
            </w:r>
          </w:p>
        </w:tc>
        <w:tc>
          <w:tcPr>
            <w:tcW w:type="dxa" w:w="1728"/>
          </w:tcPr>
          <w:p>
            <w:r>
              <w:t>Net debt (USD 000s)</w:t>
            </w:r>
          </w:p>
        </w:tc>
      </w:tr>
      <w:tr>
        <w:tc>
          <w:tcPr>
            <w:tcW w:type="dxa" w:w="1728"/>
          </w:tcPr>
          <w:p>
            <w:r>
              <w:t>Northwind Foods</w:t>
            </w:r>
          </w:p>
        </w:tc>
        <w:tc>
          <w:tcPr>
            <w:tcW w:type="dxa" w:w="1728"/>
          </w:tcPr>
          <w:p>
            <w:r>
              <w:t>44,850</w:t>
            </w:r>
          </w:p>
        </w:tc>
        <w:tc>
          <w:tcPr>
            <w:tcW w:type="dxa" w:w="1728"/>
          </w:tcPr>
          <w:p>
            <w:r>
              <w:t>7,176</w:t>
            </w:r>
          </w:p>
        </w:tc>
        <w:tc>
          <w:tcPr>
            <w:tcW w:type="dxa" w:w="1728"/>
          </w:tcPr>
          <w:p>
            <w:r>
              <w:t>16.0%</w:t>
            </w:r>
          </w:p>
        </w:tc>
        <w:tc>
          <w:tcPr>
            <w:tcW w:type="dxa" w:w="1728"/>
          </w:tcPr>
          <w:p>
            <w:r>
              <w:t>37,200</w:t>
            </w:r>
          </w:p>
        </w:tc>
      </w:tr>
      <w:tr>
        <w:tc>
          <w:tcPr>
            <w:tcW w:type="dxa" w:w="1728"/>
          </w:tcPr>
          <w:p>
            <w:r>
              <w:t>Atlas Logistics</w:t>
            </w:r>
          </w:p>
        </w:tc>
        <w:tc>
          <w:tcPr>
            <w:tcW w:type="dxa" w:w="1728"/>
          </w:tcPr>
          <w:p>
            <w:r>
              <w:t>27,100</w:t>
            </w:r>
          </w:p>
        </w:tc>
        <w:tc>
          <w:tcPr>
            <w:tcW w:type="dxa" w:w="1728"/>
          </w:tcPr>
          <w:p>
            <w:r>
              <w:t>2,981</w:t>
            </w:r>
          </w:p>
        </w:tc>
        <w:tc>
          <w:tcPr>
            <w:tcW w:type="dxa" w:w="1728"/>
          </w:tcPr>
          <w:p>
            <w:r>
              <w:t>11.0%</w:t>
            </w:r>
          </w:p>
        </w:tc>
        <w:tc>
          <w:tcPr>
            <w:tcW w:type="dxa" w:w="1728"/>
          </w:tcPr>
          <w:p>
            <w:r>
              <w:t>21,800</w:t>
            </w:r>
          </w:p>
        </w:tc>
      </w:tr>
    </w:tbl>
    <w:p>
      <w:pPr>
        <w:pStyle w:val="Heading1"/>
      </w:pPr>
      <w:r>
        <w:t>Northwind Foods</w:t>
      </w:r>
    </w:p>
    <w:p>
      <w:r>
        <w:t>Revenue of USD 44.9m was up on Q1 2025 on volume. Adjusted EBITDA of USD 7.2m held margin at 16.0%. Net debt reduced to USD 37.2m.</w:t>
      </w:r>
    </w:p>
    <w:p>
      <w:pPr>
        <w:pStyle w:val="Heading1"/>
      </w:pPr>
      <w:r>
        <w:t>Atlas Logistics</w:t>
      </w:r>
    </w:p>
    <w:p>
      <w:r>
        <w:t>Revenue of USD 27.1m was down on the prior year. Adjusted EBITDA of USD 3.0m, margin 11.0%. Net debt rose to USD 21.8m. Leverage is approaching covenant.</w:t>
      </w:r>
    </w:p>
    <w:p>
      <w:pPr>
        <w:pStyle w:val="Heading1"/>
      </w:pPr>
      <w:r>
        <w:t>Watch list</w:t>
      </w:r>
    </w:p>
    <w:p>
      <w:r>
        <w:t>Atlas Logistics: leverage, customer concentration.</w:t>
      </w:r>
    </w:p>
    <w:p>
      <w:pPr>
        <w:pStyle w:val="Heading1"/>
      </w:pPr>
      <w:r>
        <w:t>Open items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