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00"/>
      </w:pPr>
      <w:r>
        <w:rPr>
          <w:rFonts w:ascii="Noto Sans CJK SC" w:hAnsi="Noto Sans CJK SC" w:eastAsia="Noto Sans CJK SC"/>
          <w:b/>
          <w:color w:val="216892"/>
          <w:sz w:val="24"/>
        </w:rPr>
        <w:t>PROJECT REPORT / 01</w:t>
      </w:r>
    </w:p>
    <w:p>
      <w:pPr>
        <w:pStyle w:val="7"/>
        <w:spacing w:before="360"/>
      </w:pPr>
      <w:r>
        <w:t>零售客户信用风险</w:t>
      </w:r>
      <w:r>
        <w:br w:type="textWrapping"/>
      </w:r>
      <w:r>
        <w:t>数据分析与评分模型构建</w:t>
      </w:r>
      <w:r>
        <w:br w:type="textWrapping"/>
      </w:r>
      <w:r>
        <w:t>第一阶段成果报告 · V2</w:t>
      </w:r>
    </w:p>
    <w:p>
      <w:pPr>
        <w:spacing w:before="560"/>
      </w:pPr>
      <w:r>
        <w:rPr>
          <w:rFonts w:ascii="Noto Sans CJK SC" w:hAnsi="Noto Sans CJK SC" w:eastAsia="Noto Sans CJK SC"/>
          <w:color w:val="216892"/>
          <w:sz w:val="24"/>
        </w:rPr>
        <w:t>行业调研   /   数据质量评估   /   探索性数据分析（EDA）</w:t>
      </w:r>
    </w:p>
    <w:p>
      <w:pPr>
        <w:spacing w:before="1000"/>
      </w:pPr>
      <w:r>
        <w:rPr>
          <w:rFonts w:ascii="Noto Sans CJK SC" w:hAnsi="Noto Sans CJK SC" w:eastAsia="Noto Sans CJK SC"/>
          <w:sz w:val="20"/>
        </w:rPr>
        <w:t>数据来源：Home Credit Default Risk 公开竞赛数据</w:t>
      </w:r>
    </w:p>
    <w:p>
      <w:pPr>
        <w:spacing w:after="100"/>
      </w:pPr>
      <w:r>
        <w:rPr>
          <w:rFonts w:ascii="Noto Sans CJK SC" w:hAnsi="Noto Sans CJK SC" w:eastAsia="Noto Sans CJK SC"/>
        </w:rPr>
        <w:t>分析输入：application_train.csv（主表）+ HomeCredit_columns_description.csv（字段释义）</w:t>
      </w:r>
    </w:p>
    <w:p>
      <w:pPr>
        <w:spacing w:after="100"/>
      </w:pPr>
      <w:r>
        <w:t>交付状态：公开主表全量质量评估、EDA、数值变量WOE/IV及三维交叉分析已完成；六张历史明细表关联待补。</w:t>
      </w:r>
    </w:p>
    <w:p>
      <w:r>
        <w:br w:type="page"/>
      </w:r>
    </w:p>
    <w:p>
      <w:pPr>
        <w:pStyle w:val="2"/>
      </w:pPr>
      <w:r>
        <w:t>执行摘要  |  本轮完成范围</w:t>
      </w:r>
    </w:p>
    <w:p>
      <w:pPr>
        <w:spacing w:after="100"/>
      </w:pPr>
      <w:r>
        <w:rPr>
          <w:rFonts w:ascii="Noto Sans CJK SC" w:hAnsi="Noto Sans CJK SC" w:eastAsia="Noto Sans CJK SC"/>
        </w:rPr>
        <w:t>本报告依据原项目大纲第一阶段的三类交付物组织：①证券零售信用业务调研；②数据质量评估与字段字典；③主表探索性分析与业务洞察。实际数据处理覆盖提供的 application_train.csv 全部 307,511 条记录、122 个字段，描述文件全部对应字段已匹配。</w:t>
      </w:r>
      <w:r>
        <w:rPr>
          <w:b/>
        </w:rPr>
        <w:t xml:space="preserve"> 本次V2新增全量数值字段分箱、WOE/IV及三变量交叉验证，详见附录A。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核心指标</w:t>
            </w:r>
          </w:p>
        </w:tc>
        <w:tc>
          <w:tcPr>
            <w:tcW w:w="3213" w:type="dxa"/>
            <w:shd w:val="clear" w:color="auto" w:fill="17365D"/>
          </w:tcPr>
          <w:p>
            <w:pPr>
              <w:spacing w:after="0"/>
            </w:pPr>
            <w:r>
              <w:rPr>
                <w:rFonts w:ascii="Noto Sans CJK SC" w:hAnsi="Noto Sans CJK SC" w:eastAsia="Noto Sans CJK SC"/>
                <w:b/>
                <w:color w:val="FFFFFF"/>
                <w:sz w:val="16"/>
              </w:rPr>
              <w:t>实测数值</w:t>
            </w:r>
          </w:p>
        </w:tc>
        <w:tc>
          <w:tcPr>
            <w:tcW w:w="3213" w:type="dxa"/>
            <w:shd w:val="clear" w:color="auto" w:fill="17365D"/>
          </w:tcPr>
          <w:p>
            <w:pPr>
              <w:spacing w:after="0"/>
            </w:pPr>
            <w:r>
              <w:rPr>
                <w:rFonts w:ascii="Noto Sans CJK SC" w:hAnsi="Noto Sans CJK SC" w:eastAsia="Noto Sans CJK SC"/>
                <w:b/>
                <w:color w:val="FFFFFF"/>
                <w:sz w:val="16"/>
              </w:rPr>
              <w:t>解释</w:t>
            </w:r>
          </w:p>
        </w:tc>
      </w:tr>
      <w:tr>
        <w:tc>
          <w:tcPr>
            <w:tcW w:w="3213" w:type="dxa"/>
            <w:vAlign w:val="center"/>
          </w:tcPr>
          <w:p>
            <w:pPr>
              <w:spacing w:after="20"/>
            </w:pPr>
            <w:r>
              <w:rPr>
                <w:rFonts w:ascii="Noto Sans CJK SC" w:hAnsi="Noto Sans CJK SC" w:eastAsia="Noto Sans CJK SC"/>
                <w:sz w:val="15"/>
              </w:rPr>
              <w:t>主表规模</w:t>
            </w:r>
          </w:p>
        </w:tc>
        <w:tc>
          <w:tcPr>
            <w:tcW w:w="3213" w:type="dxa"/>
            <w:vAlign w:val="center"/>
          </w:tcPr>
          <w:p>
            <w:pPr>
              <w:spacing w:after="20"/>
            </w:pPr>
            <w:r>
              <w:rPr>
                <w:rFonts w:ascii="Noto Sans CJK SC" w:hAnsi="Noto Sans CJK SC" w:eastAsia="Noto Sans CJK SC"/>
                <w:sz w:val="15"/>
              </w:rPr>
              <w:t>307,511 行 × 122 列</w:t>
            </w:r>
          </w:p>
        </w:tc>
        <w:tc>
          <w:tcPr>
            <w:tcW w:w="3213" w:type="dxa"/>
            <w:vAlign w:val="center"/>
          </w:tcPr>
          <w:p>
            <w:pPr>
              <w:spacing w:after="20"/>
            </w:pPr>
            <w:r>
              <w:rPr>
                <w:rFonts w:ascii="Noto Sans CJK SC" w:hAnsi="Noto Sans CJK SC" w:eastAsia="Noto Sans CJK SC"/>
                <w:sz w:val="15"/>
              </w:rPr>
              <w:t>单条记录为贷款申请</w:t>
            </w:r>
          </w:p>
        </w:tc>
      </w:tr>
      <w:tr>
        <w:tc>
          <w:tcPr>
            <w:tcW w:w="3213" w:type="dxa"/>
            <w:vAlign w:val="center"/>
          </w:tcPr>
          <w:p>
            <w:pPr>
              <w:spacing w:after="20"/>
            </w:pPr>
            <w:r>
              <w:rPr>
                <w:rFonts w:ascii="Noto Sans CJK SC" w:hAnsi="Noto Sans CJK SC" w:eastAsia="Noto Sans CJK SC"/>
                <w:sz w:val="15"/>
              </w:rPr>
              <w:t>TARGET=1</w:t>
            </w:r>
          </w:p>
        </w:tc>
        <w:tc>
          <w:tcPr>
            <w:tcW w:w="3213" w:type="dxa"/>
            <w:vAlign w:val="center"/>
          </w:tcPr>
          <w:p>
            <w:pPr>
              <w:spacing w:after="20"/>
            </w:pPr>
            <w:r>
              <w:rPr>
                <w:rFonts w:ascii="Noto Sans CJK SC" w:hAnsi="Noto Sans CJK SC" w:eastAsia="Noto Sans CJK SC"/>
                <w:sz w:val="15"/>
              </w:rPr>
              <w:t>24,825 / 8.07%</w:t>
            </w:r>
          </w:p>
        </w:tc>
        <w:tc>
          <w:tcPr>
            <w:tcW w:w="3213" w:type="dxa"/>
            <w:vAlign w:val="center"/>
          </w:tcPr>
          <w:p>
            <w:pPr>
              <w:spacing w:after="20"/>
            </w:pPr>
            <w:r>
              <w:rPr>
                <w:rFonts w:ascii="Noto Sans CJK SC" w:hAnsi="Noto Sans CJK SC" w:eastAsia="Noto Sans CJK SC"/>
                <w:sz w:val="15"/>
              </w:rPr>
              <w:t>给定还款困难标签，不等同核销坏账</w:t>
            </w:r>
          </w:p>
        </w:tc>
      </w:tr>
      <w:tr>
        <w:tc>
          <w:tcPr>
            <w:tcW w:w="3213" w:type="dxa"/>
            <w:vAlign w:val="center"/>
          </w:tcPr>
          <w:p>
            <w:pPr>
              <w:spacing w:after="20"/>
            </w:pPr>
            <w:r>
              <w:rPr>
                <w:rFonts w:ascii="Noto Sans CJK SC" w:hAnsi="Noto Sans CJK SC" w:eastAsia="Noto Sans CJK SC"/>
                <w:sz w:val="15"/>
              </w:rPr>
              <w:t>重复申请ID</w:t>
            </w:r>
          </w:p>
        </w:tc>
        <w:tc>
          <w:tcPr>
            <w:tcW w:w="3213" w:type="dxa"/>
            <w:vAlign w:val="center"/>
          </w:tcPr>
          <w:p>
            <w:pPr>
              <w:spacing w:after="20"/>
            </w:pPr>
            <w:r>
              <w:rPr>
                <w:rFonts w:ascii="Noto Sans CJK SC" w:hAnsi="Noto Sans CJK SC" w:eastAsia="Noto Sans CJK SC"/>
                <w:sz w:val="15"/>
              </w:rPr>
              <w:t>0</w:t>
            </w:r>
          </w:p>
        </w:tc>
        <w:tc>
          <w:tcPr>
            <w:tcW w:w="3213" w:type="dxa"/>
            <w:vAlign w:val="center"/>
          </w:tcPr>
          <w:p>
            <w:pPr>
              <w:spacing w:after="20"/>
            </w:pPr>
            <w:r>
              <w:rPr>
                <w:rFonts w:ascii="Noto Sans CJK SC" w:hAnsi="Noto Sans CJK SC" w:eastAsia="Noto Sans CJK SC"/>
                <w:sz w:val="15"/>
              </w:rPr>
              <w:t>SK_ID_CURR 在本表唯一</w:t>
            </w:r>
          </w:p>
        </w:tc>
      </w:tr>
      <w:tr>
        <w:tc>
          <w:tcPr>
            <w:tcW w:w="3213" w:type="dxa"/>
            <w:vAlign w:val="center"/>
          </w:tcPr>
          <w:p>
            <w:pPr>
              <w:spacing w:after="20"/>
            </w:pPr>
            <w:r>
              <w:rPr>
                <w:rFonts w:ascii="Noto Sans CJK SC" w:hAnsi="Noto Sans CJK SC" w:eastAsia="Noto Sans CJK SC"/>
                <w:sz w:val="15"/>
              </w:rPr>
              <w:t>全表缺失单元格比例</w:t>
            </w:r>
          </w:p>
        </w:tc>
        <w:tc>
          <w:tcPr>
            <w:tcW w:w="3213" w:type="dxa"/>
            <w:vAlign w:val="center"/>
          </w:tcPr>
          <w:p>
            <w:pPr>
              <w:spacing w:after="20"/>
            </w:pPr>
            <w:r>
              <w:rPr>
                <w:rFonts w:ascii="Noto Sans CJK SC" w:hAnsi="Noto Sans CJK SC" w:eastAsia="Noto Sans CJK SC"/>
                <w:sz w:val="15"/>
              </w:rPr>
              <w:t>24.40%</w:t>
            </w:r>
          </w:p>
        </w:tc>
        <w:tc>
          <w:tcPr>
            <w:tcW w:w="3213" w:type="dxa"/>
            <w:vAlign w:val="center"/>
          </w:tcPr>
          <w:p>
            <w:pPr>
              <w:spacing w:after="20"/>
            </w:pPr>
            <w:r>
              <w:rPr>
                <w:rFonts w:ascii="Noto Sans CJK SC" w:hAnsi="Noto Sans CJK SC" w:eastAsia="Noto Sans CJK SC"/>
                <w:sz w:val="15"/>
              </w:rPr>
              <w:t>跨所有单元格计算，非记录缺失率</w:t>
            </w:r>
          </w:p>
        </w:tc>
      </w:tr>
      <w:tr>
        <w:tc>
          <w:tcPr>
            <w:tcW w:w="3213" w:type="dxa"/>
            <w:vAlign w:val="center"/>
          </w:tcPr>
          <w:p>
            <w:pPr>
              <w:spacing w:after="20"/>
            </w:pPr>
            <w:r>
              <w:rPr>
                <w:rFonts w:ascii="Noto Sans CJK SC" w:hAnsi="Noto Sans CJK SC" w:eastAsia="Noto Sans CJK SC"/>
                <w:sz w:val="15"/>
              </w:rPr>
              <w:t>高缺失字段 (&gt;30%)</w:t>
            </w:r>
          </w:p>
        </w:tc>
        <w:tc>
          <w:tcPr>
            <w:tcW w:w="3213" w:type="dxa"/>
            <w:vAlign w:val="center"/>
          </w:tcPr>
          <w:p>
            <w:pPr>
              <w:spacing w:after="20"/>
            </w:pPr>
            <w:r>
              <w:rPr>
                <w:rFonts w:ascii="Noto Sans CJK SC" w:hAnsi="Noto Sans CJK SC" w:eastAsia="Noto Sans CJK SC"/>
                <w:sz w:val="15"/>
              </w:rPr>
              <w:t>50</w:t>
            </w:r>
          </w:p>
        </w:tc>
        <w:tc>
          <w:tcPr>
            <w:tcW w:w="3213" w:type="dxa"/>
            <w:vAlign w:val="center"/>
          </w:tcPr>
          <w:p>
            <w:pPr>
              <w:spacing w:after="20"/>
            </w:pPr>
            <w:r>
              <w:rPr>
                <w:rFonts w:ascii="Noto Sans CJK SC" w:hAnsi="Noto Sans CJK SC" w:eastAsia="Noto Sans CJK SC"/>
                <w:sz w:val="15"/>
              </w:rPr>
              <w:t>多集中于住宅相关信息</w:t>
            </w:r>
          </w:p>
        </w:tc>
      </w:tr>
      <w:tr>
        <w:tc>
          <w:tcPr>
            <w:tcW w:w="3213" w:type="dxa"/>
            <w:vAlign w:val="center"/>
          </w:tcPr>
          <w:p>
            <w:pPr>
              <w:spacing w:after="20"/>
            </w:pPr>
            <w:r>
              <w:rPr>
                <w:rFonts w:ascii="Noto Sans CJK SC" w:hAnsi="Noto Sans CJK SC" w:eastAsia="Noto Sans CJK SC"/>
                <w:sz w:val="15"/>
              </w:rPr>
              <w:t>就业天数特殊值</w:t>
            </w:r>
          </w:p>
        </w:tc>
        <w:tc>
          <w:tcPr>
            <w:tcW w:w="3213" w:type="dxa"/>
            <w:vAlign w:val="center"/>
          </w:tcPr>
          <w:p>
            <w:pPr>
              <w:spacing w:after="20"/>
            </w:pPr>
            <w:r>
              <w:rPr>
                <w:rFonts w:ascii="Noto Sans CJK SC" w:hAnsi="Noto Sans CJK SC" w:eastAsia="Noto Sans CJK SC"/>
                <w:sz w:val="15"/>
              </w:rPr>
              <w:t>55,374</w:t>
            </w:r>
          </w:p>
        </w:tc>
        <w:tc>
          <w:tcPr>
            <w:tcW w:w="3213" w:type="dxa"/>
            <w:vAlign w:val="center"/>
          </w:tcPr>
          <w:p>
            <w:pPr>
              <w:spacing w:after="20"/>
            </w:pPr>
            <w:r>
              <w:rPr>
                <w:rFonts w:ascii="Noto Sans CJK SC" w:hAnsi="Noto Sans CJK SC" w:eastAsia="Noto Sans CJK SC"/>
                <w:sz w:val="15"/>
              </w:rPr>
              <w:t>DAYS_EMPLOYED=365243，需标记</w:t>
            </w:r>
          </w:p>
        </w:tc>
      </w:tr>
    </w:tbl>
    <w:p>
      <w:pPr>
        <w:spacing w:after="0"/>
      </w:pPr>
    </w:p>
    <w:p>
      <w:pPr>
        <w:pStyle w:val="3"/>
      </w:pPr>
      <w:r>
        <w:t>三项交付完成度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原大纲任务</w:t>
            </w:r>
          </w:p>
        </w:tc>
        <w:tc>
          <w:tcPr>
            <w:tcW w:w="3213" w:type="dxa"/>
            <w:shd w:val="clear" w:color="auto" w:fill="17365D"/>
          </w:tcPr>
          <w:p>
            <w:pPr>
              <w:spacing w:after="0"/>
            </w:pPr>
            <w:r>
              <w:rPr>
                <w:rFonts w:ascii="Noto Sans CJK SC" w:hAnsi="Noto Sans CJK SC" w:eastAsia="Noto Sans CJK SC"/>
                <w:b/>
                <w:color w:val="FFFFFF"/>
                <w:sz w:val="16"/>
              </w:rPr>
              <w:t>本轮状态</w:t>
            </w:r>
          </w:p>
        </w:tc>
        <w:tc>
          <w:tcPr>
            <w:tcW w:w="3213" w:type="dxa"/>
            <w:shd w:val="clear" w:color="auto" w:fill="17365D"/>
          </w:tcPr>
          <w:p>
            <w:pPr>
              <w:spacing w:after="0"/>
            </w:pPr>
            <w:r>
              <w:rPr>
                <w:rFonts w:ascii="Noto Sans CJK SC" w:hAnsi="Noto Sans CJK SC" w:eastAsia="Noto Sans CJK SC"/>
                <w:b/>
                <w:color w:val="FFFFFF"/>
                <w:sz w:val="16"/>
              </w:rPr>
              <w:t>交付证据 / 仍缺什么</w:t>
            </w:r>
          </w:p>
        </w:tc>
      </w:tr>
      <w:tr>
        <w:tc>
          <w:tcPr>
            <w:tcW w:w="3213" w:type="dxa"/>
            <w:vAlign w:val="center"/>
          </w:tcPr>
          <w:p>
            <w:pPr>
              <w:spacing w:after="20"/>
            </w:pPr>
            <w:r>
              <w:rPr>
                <w:rFonts w:ascii="Noto Sans CJK SC" w:hAnsi="Noto Sans CJK SC" w:eastAsia="Noto Sans CJK SC"/>
                <w:sz w:val="15"/>
              </w:rPr>
              <w:t>1. 行业与业务调研</w:t>
            </w:r>
          </w:p>
        </w:tc>
        <w:tc>
          <w:tcPr>
            <w:tcW w:w="3213" w:type="dxa"/>
            <w:vAlign w:val="center"/>
          </w:tcPr>
          <w:p>
            <w:pPr>
              <w:spacing w:after="20"/>
            </w:pPr>
            <w:r>
              <w:rPr>
                <w:rFonts w:ascii="Noto Sans CJK SC" w:hAnsi="Noto Sans CJK SC" w:eastAsia="Noto Sans CJK SC"/>
                <w:sz w:val="15"/>
              </w:rPr>
              <w:t>已形成</w:t>
            </w:r>
          </w:p>
        </w:tc>
        <w:tc>
          <w:tcPr>
            <w:tcW w:w="3213" w:type="dxa"/>
            <w:vAlign w:val="center"/>
          </w:tcPr>
          <w:p>
            <w:pPr>
              <w:spacing w:after="20"/>
            </w:pPr>
            <w:r>
              <w:rPr>
                <w:rFonts w:ascii="Noto Sans CJK SC" w:hAnsi="Noto Sans CJK SC" w:eastAsia="Noto Sans CJK SC"/>
                <w:sz w:val="15"/>
              </w:rPr>
              <w:t>业务框架、技术对比、监管重点、数据适配评估</w:t>
            </w:r>
          </w:p>
        </w:tc>
      </w:tr>
      <w:tr>
        <w:tc>
          <w:tcPr>
            <w:tcW w:w="3213" w:type="dxa"/>
            <w:vAlign w:val="center"/>
          </w:tcPr>
          <w:p>
            <w:pPr>
              <w:spacing w:after="20"/>
            </w:pPr>
            <w:r>
              <w:rPr>
                <w:rFonts w:ascii="Noto Sans CJK SC" w:hAnsi="Noto Sans CJK SC" w:eastAsia="Noto Sans CJK SC"/>
                <w:sz w:val="15"/>
              </w:rPr>
              <w:t>2. 数据整合与质量校验</w:t>
            </w:r>
          </w:p>
        </w:tc>
        <w:tc>
          <w:tcPr>
            <w:tcW w:w="3213" w:type="dxa"/>
            <w:vAlign w:val="center"/>
          </w:tcPr>
          <w:p>
            <w:pPr>
              <w:spacing w:after="20"/>
            </w:pPr>
            <w:r>
              <w:rPr>
                <w:rFonts w:ascii="Noto Sans CJK SC" w:hAnsi="Noto Sans CJK SC" w:eastAsia="Noto Sans CJK SC"/>
                <w:sz w:val="15"/>
              </w:rPr>
              <w:t>主表已完成；多表未完成</w:t>
            </w:r>
          </w:p>
        </w:tc>
        <w:tc>
          <w:tcPr>
            <w:tcW w:w="3213" w:type="dxa"/>
            <w:vAlign w:val="center"/>
          </w:tcPr>
          <w:p>
            <w:pPr>
              <w:spacing w:after="20"/>
            </w:pPr>
            <w:r>
              <w:rPr>
                <w:rFonts w:ascii="Noto Sans CJK SC" w:hAnsi="Noto Sans CJK SC" w:eastAsia="Noto Sans CJK SC"/>
                <w:sz w:val="15"/>
              </w:rPr>
              <w:t>122字段字典、缺失和异常标记；缺六张附表</w:t>
            </w:r>
          </w:p>
        </w:tc>
      </w:tr>
      <w:tr>
        <w:tc>
          <w:tcPr>
            <w:tcW w:w="3213" w:type="dxa"/>
            <w:vAlign w:val="center"/>
          </w:tcPr>
          <w:p>
            <w:pPr>
              <w:spacing w:after="20"/>
            </w:pPr>
            <w:r>
              <w:rPr>
                <w:rFonts w:ascii="Noto Sans CJK SC" w:hAnsi="Noto Sans CJK SC" w:eastAsia="Noto Sans CJK SC"/>
                <w:sz w:val="15"/>
              </w:rPr>
              <w:t>3. 多维EDA与洞察</w:t>
            </w:r>
          </w:p>
        </w:tc>
        <w:tc>
          <w:tcPr>
            <w:tcW w:w="3213" w:type="dxa"/>
            <w:vAlign w:val="center"/>
          </w:tcPr>
          <w:p>
            <w:pPr>
              <w:spacing w:after="20"/>
            </w:pPr>
            <w:r>
              <w:rPr>
                <w:rFonts w:ascii="Noto Sans CJK SC" w:hAnsi="Noto Sans CJK SC" w:eastAsia="Noto Sans CJK SC"/>
                <w:sz w:val="15"/>
              </w:rPr>
              <w:t>主表已完成；扩展待补</w:t>
            </w:r>
          </w:p>
        </w:tc>
        <w:tc>
          <w:tcPr>
            <w:tcW w:w="3213" w:type="dxa"/>
            <w:vAlign w:val="center"/>
          </w:tcPr>
          <w:p>
            <w:pPr>
              <w:spacing w:after="20"/>
            </w:pPr>
            <w:r>
              <w:rPr>
                <w:rFonts w:ascii="Noto Sans CJK SC" w:hAnsi="Noto Sans CJK SC" w:eastAsia="Noto Sans CJK SC"/>
                <w:sz w:val="15"/>
              </w:rPr>
              <w:t>目标比例、分组风险、相关性、交叉热力图</w:t>
            </w:r>
          </w:p>
        </w:tc>
      </w:tr>
    </w:tbl>
    <w:p>
      <w:pPr>
        <w:spacing w:after="0"/>
      </w:pPr>
    </w:p>
    <w:p>
      <w:pPr>
        <w:spacing w:after="100"/>
      </w:pPr>
      <w:r>
        <w:rPr>
          <w:rFonts w:ascii="Noto Sans CJK SC" w:hAnsi="Noto Sans CJK SC" w:eastAsia="Noto Sans CJK SC"/>
        </w:rPr>
        <w:t>结果呈现原则：按数据可验证程度明确使用“观察到的标签比例”“相关性”“候选风险信号”等表述；不将探索性关联解释为因果关系或模型预测指标。本阶段没有训练或调优模型，也没有测算AUC、KS、审批率和坏账下降幅度。</w:t>
      </w:r>
    </w:p>
    <w:p>
      <w:r>
        <w:br w:type="page"/>
      </w:r>
    </w:p>
    <w:p>
      <w:pPr>
        <w:pStyle w:val="2"/>
      </w:pPr>
      <w:r>
        <w:t>一、证券零售信用风控行业调研简报</w:t>
      </w:r>
    </w:p>
    <w:p>
      <w:pPr>
        <w:pStyle w:val="3"/>
      </w:pPr>
      <w:r>
        <w:t>1.1 原大纲业务场景与核心目标</w:t>
      </w:r>
    </w:p>
    <w:p>
      <w:pPr>
        <w:spacing w:after="100"/>
      </w:pPr>
      <w:r>
        <w:rPr>
          <w:rFonts w:ascii="Noto Sans CJK SC" w:hAnsi="Noto Sans CJK SC" w:eastAsia="Noto Sans CJK SC"/>
        </w:rPr>
        <w:t>原项目设定为证券公司的融资融券与小额股票质押等零售信用业务贷前评估。核心矛盾在于审慎风险识别、合理客群覆盖以及审批效率之间的权衡：既需要识别潜在履约困难，也需要基于授信条件、担保物与客户适当性实施差异化决策。</w:t>
      </w:r>
    </w:p>
    <w:p>
      <w:pPr>
        <w:pStyle w:val="4"/>
        <w:spacing w:after="60"/>
      </w:pPr>
      <w:r>
        <w:rPr>
          <w:rFonts w:ascii="Noto Sans CJK SC" w:hAnsi="Noto Sans CJK SC" w:eastAsia="Noto Sans CJK SC"/>
        </w:rPr>
        <w:t>风险识别：结合客户资信、历史违约、负债与资产情况，避免高风险授信。</w:t>
      </w:r>
    </w:p>
    <w:p>
      <w:pPr>
        <w:pStyle w:val="4"/>
        <w:spacing w:after="60"/>
      </w:pPr>
      <w:r>
        <w:rPr>
          <w:rFonts w:ascii="Noto Sans CJK SC" w:hAnsi="Noto Sans CJK SC" w:eastAsia="Noto Sans CJK SC"/>
        </w:rPr>
        <w:t>审批效率：对证据充分且满足规则的申请实现标准化处理，复杂个案保留人工复核。</w:t>
      </w:r>
    </w:p>
    <w:p>
      <w:pPr>
        <w:pStyle w:val="4"/>
        <w:spacing w:after="60"/>
      </w:pPr>
      <w:r>
        <w:rPr>
          <w:rFonts w:ascii="Noto Sans CJK SC" w:hAnsi="Noto Sans CJK SC" w:eastAsia="Noto Sans CJK SC"/>
        </w:rPr>
        <w:t>风险收益匹配：根据客群与担保情况实施额度、保证金或交易集中度约束。</w:t>
      </w:r>
    </w:p>
    <w:p>
      <w:pPr>
        <w:pStyle w:val="4"/>
        <w:spacing w:after="60"/>
      </w:pPr>
      <w:r>
        <w:rPr>
          <w:rFonts w:ascii="Noto Sans CJK SC" w:hAnsi="Noto Sans CJK SC" w:eastAsia="Noto Sans CJK SC"/>
        </w:rPr>
        <w:t>合规与解释：留存原始数据口径、决策逻辑、审查记录和异常处理依据。</w:t>
      </w:r>
    </w:p>
    <w:p>
      <w:pPr>
        <w:pStyle w:val="3"/>
      </w:pPr>
      <w:r>
        <w:t>1.2 业务流程与数据路径</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环节</w:t>
            </w:r>
          </w:p>
        </w:tc>
        <w:tc>
          <w:tcPr>
            <w:tcW w:w="3213" w:type="dxa"/>
            <w:shd w:val="clear" w:color="auto" w:fill="17365D"/>
          </w:tcPr>
          <w:p>
            <w:pPr>
              <w:spacing w:after="0"/>
            </w:pPr>
            <w:r>
              <w:rPr>
                <w:rFonts w:ascii="Noto Sans CJK SC" w:hAnsi="Noto Sans CJK SC" w:eastAsia="Noto Sans CJK SC"/>
                <w:b/>
                <w:color w:val="FFFFFF"/>
                <w:sz w:val="16"/>
              </w:rPr>
              <w:t>业务核查重点</w:t>
            </w:r>
          </w:p>
        </w:tc>
        <w:tc>
          <w:tcPr>
            <w:tcW w:w="3213" w:type="dxa"/>
            <w:shd w:val="clear" w:color="auto" w:fill="17365D"/>
          </w:tcPr>
          <w:p>
            <w:pPr>
              <w:spacing w:after="0"/>
            </w:pPr>
            <w:r>
              <w:rPr>
                <w:rFonts w:ascii="Noto Sans CJK SC" w:hAnsi="Noto Sans CJK SC" w:eastAsia="Noto Sans CJK SC"/>
                <w:b/>
                <w:color w:val="FFFFFF"/>
                <w:sz w:val="16"/>
              </w:rPr>
              <w:t>本数据能否验证</w:t>
            </w:r>
          </w:p>
        </w:tc>
      </w:tr>
      <w:tr>
        <w:tc>
          <w:tcPr>
            <w:tcW w:w="3213" w:type="dxa"/>
            <w:vAlign w:val="center"/>
          </w:tcPr>
          <w:p>
            <w:pPr>
              <w:spacing w:after="20"/>
            </w:pPr>
            <w:r>
              <w:rPr>
                <w:rFonts w:ascii="Noto Sans CJK SC" w:hAnsi="Noto Sans CJK SC" w:eastAsia="Noto Sans CJK SC"/>
                <w:sz w:val="15"/>
              </w:rPr>
              <w:t>贷前申请</w:t>
            </w:r>
          </w:p>
        </w:tc>
        <w:tc>
          <w:tcPr>
            <w:tcW w:w="3213" w:type="dxa"/>
            <w:vAlign w:val="center"/>
          </w:tcPr>
          <w:p>
            <w:pPr>
              <w:spacing w:after="20"/>
            </w:pPr>
            <w:r>
              <w:rPr>
                <w:rFonts w:ascii="Noto Sans CJK SC" w:hAnsi="Noto Sans CJK SC" w:eastAsia="Noto Sans CJK SC"/>
                <w:sz w:val="15"/>
              </w:rPr>
              <w:t>申请金额、收入、职业、外部信用指标</w:t>
            </w:r>
          </w:p>
        </w:tc>
        <w:tc>
          <w:tcPr>
            <w:tcW w:w="3213" w:type="dxa"/>
            <w:vAlign w:val="center"/>
          </w:tcPr>
          <w:p>
            <w:pPr>
              <w:spacing w:after="20"/>
            </w:pPr>
            <w:r>
              <w:rPr>
                <w:rFonts w:ascii="Noto Sans CJK SC" w:hAnsi="Noto Sans CJK SC" w:eastAsia="Noto Sans CJK SC"/>
                <w:sz w:val="15"/>
              </w:rPr>
              <w:t>可，主表含部分代理指标</w:t>
            </w:r>
          </w:p>
        </w:tc>
      </w:tr>
      <w:tr>
        <w:tc>
          <w:tcPr>
            <w:tcW w:w="3213" w:type="dxa"/>
            <w:vAlign w:val="center"/>
          </w:tcPr>
          <w:p>
            <w:pPr>
              <w:spacing w:after="20"/>
            </w:pPr>
            <w:r>
              <w:rPr>
                <w:rFonts w:ascii="Noto Sans CJK SC" w:hAnsi="Noto Sans CJK SC" w:eastAsia="Noto Sans CJK SC"/>
                <w:sz w:val="15"/>
              </w:rPr>
              <w:t>适当性与准入</w:t>
            </w:r>
          </w:p>
        </w:tc>
        <w:tc>
          <w:tcPr>
            <w:tcW w:w="3213" w:type="dxa"/>
            <w:vAlign w:val="center"/>
          </w:tcPr>
          <w:p>
            <w:pPr>
              <w:spacing w:after="20"/>
            </w:pPr>
            <w:r>
              <w:rPr>
                <w:rFonts w:ascii="Noto Sans CJK SC" w:hAnsi="Noto Sans CJK SC" w:eastAsia="Noto Sans CJK SC"/>
                <w:sz w:val="15"/>
              </w:rPr>
              <w:t>经验、风险承受能力、资格限制</w:t>
            </w:r>
          </w:p>
        </w:tc>
        <w:tc>
          <w:tcPr>
            <w:tcW w:w="3213" w:type="dxa"/>
            <w:vAlign w:val="center"/>
          </w:tcPr>
          <w:p>
            <w:pPr>
              <w:spacing w:after="20"/>
            </w:pPr>
            <w:r>
              <w:rPr>
                <w:rFonts w:ascii="Noto Sans CJK SC" w:hAnsi="Noto Sans CJK SC" w:eastAsia="Noto Sans CJK SC"/>
                <w:sz w:val="15"/>
              </w:rPr>
              <w:t>不能完整验证</w:t>
            </w:r>
          </w:p>
        </w:tc>
      </w:tr>
      <w:tr>
        <w:tc>
          <w:tcPr>
            <w:tcW w:w="3213" w:type="dxa"/>
            <w:vAlign w:val="center"/>
          </w:tcPr>
          <w:p>
            <w:pPr>
              <w:spacing w:after="20"/>
            </w:pPr>
            <w:r>
              <w:rPr>
                <w:rFonts w:ascii="Noto Sans CJK SC" w:hAnsi="Noto Sans CJK SC" w:eastAsia="Noto Sans CJK SC"/>
                <w:sz w:val="15"/>
              </w:rPr>
              <w:t>证券信用授信</w:t>
            </w:r>
          </w:p>
        </w:tc>
        <w:tc>
          <w:tcPr>
            <w:tcW w:w="3213" w:type="dxa"/>
            <w:vAlign w:val="center"/>
          </w:tcPr>
          <w:p>
            <w:pPr>
              <w:spacing w:after="20"/>
            </w:pPr>
            <w:r>
              <w:rPr>
                <w:rFonts w:ascii="Noto Sans CJK SC" w:hAnsi="Noto Sans CJK SC" w:eastAsia="Noto Sans CJK SC"/>
                <w:sz w:val="15"/>
              </w:rPr>
              <w:t>保证金、维持担保比例、持仓集中度</w:t>
            </w:r>
          </w:p>
        </w:tc>
        <w:tc>
          <w:tcPr>
            <w:tcW w:w="3213" w:type="dxa"/>
            <w:vAlign w:val="center"/>
          </w:tcPr>
          <w:p>
            <w:pPr>
              <w:spacing w:after="20"/>
            </w:pPr>
            <w:r>
              <w:rPr>
                <w:rFonts w:ascii="Noto Sans CJK SC" w:hAnsi="Noto Sans CJK SC" w:eastAsia="Noto Sans CJK SC"/>
                <w:sz w:val="15"/>
              </w:rPr>
              <w:t>不能，缺证券专项字段</w:t>
            </w:r>
          </w:p>
        </w:tc>
      </w:tr>
      <w:tr>
        <w:tc>
          <w:tcPr>
            <w:tcW w:w="3213" w:type="dxa"/>
            <w:vAlign w:val="center"/>
          </w:tcPr>
          <w:p>
            <w:pPr>
              <w:spacing w:after="20"/>
            </w:pPr>
            <w:r>
              <w:rPr>
                <w:rFonts w:ascii="Noto Sans CJK SC" w:hAnsi="Noto Sans CJK SC" w:eastAsia="Noto Sans CJK SC"/>
                <w:sz w:val="15"/>
              </w:rPr>
              <w:t>历史履约</w:t>
            </w:r>
          </w:p>
        </w:tc>
        <w:tc>
          <w:tcPr>
            <w:tcW w:w="3213" w:type="dxa"/>
            <w:vAlign w:val="center"/>
          </w:tcPr>
          <w:p>
            <w:pPr>
              <w:spacing w:after="20"/>
            </w:pPr>
            <w:r>
              <w:rPr>
                <w:rFonts w:ascii="Noto Sans CJK SC" w:hAnsi="Noto Sans CJK SC" w:eastAsia="Noto Sans CJK SC"/>
                <w:sz w:val="15"/>
              </w:rPr>
              <w:t>账户违约、逾期时序、历史申请</w:t>
            </w:r>
          </w:p>
        </w:tc>
        <w:tc>
          <w:tcPr>
            <w:tcW w:w="3213" w:type="dxa"/>
            <w:vAlign w:val="center"/>
          </w:tcPr>
          <w:p>
            <w:pPr>
              <w:spacing w:after="20"/>
            </w:pPr>
            <w:r>
              <w:rPr>
                <w:rFonts w:ascii="Noto Sans CJK SC" w:hAnsi="Noto Sans CJK SC" w:eastAsia="Noto Sans CJK SC"/>
                <w:sz w:val="15"/>
              </w:rPr>
              <w:t>待附属表关联后验证</w:t>
            </w:r>
          </w:p>
        </w:tc>
      </w:tr>
      <w:tr>
        <w:tc>
          <w:tcPr>
            <w:tcW w:w="3213" w:type="dxa"/>
            <w:vAlign w:val="center"/>
          </w:tcPr>
          <w:p>
            <w:pPr>
              <w:spacing w:after="20"/>
            </w:pPr>
            <w:r>
              <w:rPr>
                <w:rFonts w:ascii="Noto Sans CJK SC" w:hAnsi="Noto Sans CJK SC" w:eastAsia="Noto Sans CJK SC"/>
                <w:sz w:val="15"/>
              </w:rPr>
              <w:t>风险处置与监控</w:t>
            </w:r>
          </w:p>
        </w:tc>
        <w:tc>
          <w:tcPr>
            <w:tcW w:w="3213" w:type="dxa"/>
            <w:vAlign w:val="center"/>
          </w:tcPr>
          <w:p>
            <w:pPr>
              <w:spacing w:after="20"/>
            </w:pPr>
            <w:r>
              <w:rPr>
                <w:rFonts w:ascii="Noto Sans CJK SC" w:hAnsi="Noto Sans CJK SC" w:eastAsia="Noto Sans CJK SC"/>
                <w:sz w:val="15"/>
              </w:rPr>
              <w:t>阈值监测、追保、强平与异常复核</w:t>
            </w:r>
          </w:p>
        </w:tc>
        <w:tc>
          <w:tcPr>
            <w:tcW w:w="3213" w:type="dxa"/>
            <w:vAlign w:val="center"/>
          </w:tcPr>
          <w:p>
            <w:pPr>
              <w:spacing w:after="20"/>
            </w:pPr>
            <w:r>
              <w:rPr>
                <w:rFonts w:ascii="Noto Sans CJK SC" w:hAnsi="Noto Sans CJK SC" w:eastAsia="Noto Sans CJK SC"/>
                <w:sz w:val="15"/>
              </w:rPr>
              <w:t>不能，以业务设计为主</w:t>
            </w:r>
          </w:p>
        </w:tc>
      </w:tr>
    </w:tbl>
    <w:p>
      <w:pPr>
        <w:spacing w:after="0"/>
      </w:pPr>
    </w:p>
    <w:p>
      <w:pPr>
        <w:pStyle w:val="3"/>
      </w:pPr>
      <w:r>
        <w:t>1.3 监管与合规梳理</w:t>
      </w:r>
    </w:p>
    <w:p>
      <w:pPr>
        <w:spacing w:after="100"/>
      </w:pPr>
      <w:r>
        <w:rPr>
          <w:rFonts w:ascii="Noto Sans CJK SC" w:hAnsi="Noto Sans CJK SC" w:eastAsia="Noto Sans CJK SC"/>
        </w:rPr>
        <w:t>证监会《证券公司融资融券业务管理办法》涉及保证金、担保物、最低维持担保比例、授信管理与风险控制要求；《证券期货投资者适当性管理办法》规定投资者分类、产品与服务分级、适当性匹配等基本原则。2025年证券业协会发布的《证券公司合规管理有效性评估指引》亦包含融资融券业务审查、风险监控及客户服务检查项。上述内容构成行业背景，并非本数据集的法律合规验证结论。</w:t>
      </w:r>
    </w:p>
    <w:p>
      <w:r>
        <w:br w:type="page"/>
      </w:r>
    </w:p>
    <w:p>
      <w:pPr>
        <w:pStyle w:val="2"/>
      </w:pPr>
      <w:r>
        <w:t>1.4 三类风控技术路线对比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tc>
          <w:tcPr>
            <w:tcW w:w="2409" w:type="dxa"/>
            <w:shd w:val="clear" w:color="auto" w:fill="17365D"/>
          </w:tcPr>
          <w:p>
            <w:pPr>
              <w:spacing w:after="0"/>
            </w:pPr>
            <w:r>
              <w:rPr>
                <w:rFonts w:ascii="Noto Sans CJK SC" w:hAnsi="Noto Sans CJK SC" w:eastAsia="Noto Sans CJK SC"/>
                <w:b/>
                <w:color w:val="FFFFFF"/>
                <w:sz w:val="16"/>
              </w:rPr>
              <w:t>技术路线</w:t>
            </w:r>
          </w:p>
        </w:tc>
        <w:tc>
          <w:tcPr>
            <w:tcW w:w="2409" w:type="dxa"/>
            <w:shd w:val="clear" w:color="auto" w:fill="17365D"/>
          </w:tcPr>
          <w:p>
            <w:pPr>
              <w:spacing w:after="0"/>
            </w:pPr>
            <w:r>
              <w:rPr>
                <w:rFonts w:ascii="Noto Sans CJK SC" w:hAnsi="Noto Sans CJK SC" w:eastAsia="Noto Sans CJK SC"/>
                <w:b/>
                <w:color w:val="FFFFFF"/>
                <w:sz w:val="16"/>
              </w:rPr>
              <w:t>优势</w:t>
            </w:r>
          </w:p>
        </w:tc>
        <w:tc>
          <w:tcPr>
            <w:tcW w:w="2409" w:type="dxa"/>
            <w:shd w:val="clear" w:color="auto" w:fill="17365D"/>
          </w:tcPr>
          <w:p>
            <w:pPr>
              <w:spacing w:after="0"/>
            </w:pPr>
            <w:r>
              <w:rPr>
                <w:rFonts w:ascii="Noto Sans CJK SC" w:hAnsi="Noto Sans CJK SC" w:eastAsia="Noto Sans CJK SC"/>
                <w:b/>
                <w:color w:val="FFFFFF"/>
                <w:sz w:val="16"/>
              </w:rPr>
              <w:t>局限</w:t>
            </w:r>
          </w:p>
        </w:tc>
        <w:tc>
          <w:tcPr>
            <w:tcW w:w="2409" w:type="dxa"/>
            <w:shd w:val="clear" w:color="auto" w:fill="17365D"/>
          </w:tcPr>
          <w:p>
            <w:pPr>
              <w:spacing w:after="0"/>
            </w:pPr>
            <w:r>
              <w:rPr>
                <w:rFonts w:ascii="Noto Sans CJK SC" w:hAnsi="Noto Sans CJK SC" w:eastAsia="Noto Sans CJK SC"/>
                <w:b/>
                <w:color w:val="FFFFFF"/>
                <w:sz w:val="16"/>
              </w:rPr>
              <w:t>适用位置</w:t>
            </w:r>
          </w:p>
        </w:tc>
      </w:tr>
      <w:tr>
        <w:tc>
          <w:tcPr>
            <w:tcW w:w="2409" w:type="dxa"/>
            <w:vAlign w:val="center"/>
          </w:tcPr>
          <w:p>
            <w:pPr>
              <w:spacing w:after="20"/>
            </w:pPr>
            <w:r>
              <w:rPr>
                <w:rFonts w:ascii="Noto Sans CJK SC" w:hAnsi="Noto Sans CJK SC" w:eastAsia="Noto Sans CJK SC"/>
                <w:sz w:val="15"/>
              </w:rPr>
              <w:t>规则引擎</w:t>
            </w:r>
          </w:p>
        </w:tc>
        <w:tc>
          <w:tcPr>
            <w:tcW w:w="2409" w:type="dxa"/>
            <w:vAlign w:val="center"/>
          </w:tcPr>
          <w:p>
            <w:pPr>
              <w:spacing w:after="20"/>
            </w:pPr>
            <w:r>
              <w:rPr>
                <w:rFonts w:ascii="Noto Sans CJK SC" w:hAnsi="Noto Sans CJK SC" w:eastAsia="Noto Sans CJK SC"/>
                <w:sz w:val="15"/>
              </w:rPr>
              <w:t>清晰可审计；硬性政策易执行</w:t>
            </w:r>
          </w:p>
        </w:tc>
        <w:tc>
          <w:tcPr>
            <w:tcW w:w="2409" w:type="dxa"/>
            <w:vAlign w:val="center"/>
          </w:tcPr>
          <w:p>
            <w:pPr>
              <w:spacing w:after="20"/>
            </w:pPr>
            <w:r>
              <w:rPr>
                <w:rFonts w:ascii="Noto Sans CJK SC" w:hAnsi="Noto Sans CJK SC" w:eastAsia="Noto Sans CJK SC"/>
                <w:sz w:val="15"/>
              </w:rPr>
              <w:t>粒度有限，交互关系覆盖弱</w:t>
            </w:r>
          </w:p>
        </w:tc>
        <w:tc>
          <w:tcPr>
            <w:tcW w:w="2409" w:type="dxa"/>
            <w:vAlign w:val="center"/>
          </w:tcPr>
          <w:p>
            <w:pPr>
              <w:spacing w:after="20"/>
            </w:pPr>
            <w:r>
              <w:rPr>
                <w:rFonts w:ascii="Noto Sans CJK SC" w:hAnsi="Noto Sans CJK SC" w:eastAsia="Noto Sans CJK SC"/>
                <w:sz w:val="15"/>
              </w:rPr>
              <w:t>准入门槛/硬约束</w:t>
            </w:r>
          </w:p>
        </w:tc>
      </w:tr>
      <w:tr>
        <w:tc>
          <w:tcPr>
            <w:tcW w:w="2409" w:type="dxa"/>
            <w:vAlign w:val="center"/>
          </w:tcPr>
          <w:p>
            <w:pPr>
              <w:spacing w:after="20"/>
            </w:pPr>
            <w:r>
              <w:rPr>
                <w:rFonts w:ascii="Noto Sans CJK SC" w:hAnsi="Noto Sans CJK SC" w:eastAsia="Noto Sans CJK SC"/>
                <w:sz w:val="15"/>
              </w:rPr>
              <w:t>逻辑回归/评分卡</w:t>
            </w:r>
          </w:p>
        </w:tc>
        <w:tc>
          <w:tcPr>
            <w:tcW w:w="2409" w:type="dxa"/>
            <w:vAlign w:val="center"/>
          </w:tcPr>
          <w:p>
            <w:pPr>
              <w:spacing w:after="20"/>
            </w:pPr>
            <w:r>
              <w:rPr>
                <w:rFonts w:ascii="Noto Sans CJK SC" w:hAnsi="Noto Sans CJK SC" w:eastAsia="Noto Sans CJK SC"/>
                <w:sz w:val="15"/>
              </w:rPr>
              <w:t>稳定、便于解释、实现成本较低</w:t>
            </w:r>
          </w:p>
        </w:tc>
        <w:tc>
          <w:tcPr>
            <w:tcW w:w="2409" w:type="dxa"/>
            <w:vAlign w:val="center"/>
          </w:tcPr>
          <w:p>
            <w:pPr>
              <w:spacing w:after="20"/>
            </w:pPr>
            <w:r>
              <w:rPr>
                <w:rFonts w:ascii="Noto Sans CJK SC" w:hAnsi="Noto Sans CJK SC" w:eastAsia="Noto Sans CJK SC"/>
                <w:sz w:val="15"/>
              </w:rPr>
              <w:t>复杂非线性关系需手工特征</w:t>
            </w:r>
          </w:p>
        </w:tc>
        <w:tc>
          <w:tcPr>
            <w:tcW w:w="2409" w:type="dxa"/>
            <w:vAlign w:val="center"/>
          </w:tcPr>
          <w:p>
            <w:pPr>
              <w:spacing w:after="20"/>
            </w:pPr>
            <w:r>
              <w:rPr>
                <w:rFonts w:ascii="Noto Sans CJK SC" w:hAnsi="Noto Sans CJK SC" w:eastAsia="Noto Sans CJK SC"/>
                <w:sz w:val="15"/>
              </w:rPr>
              <w:t>可解释基线与风险排序</w:t>
            </w:r>
          </w:p>
        </w:tc>
      </w:tr>
      <w:tr>
        <w:tc>
          <w:tcPr>
            <w:tcW w:w="2409" w:type="dxa"/>
            <w:vAlign w:val="center"/>
          </w:tcPr>
          <w:p>
            <w:pPr>
              <w:spacing w:after="20"/>
            </w:pPr>
            <w:r>
              <w:rPr>
                <w:rFonts w:ascii="Noto Sans CJK SC" w:hAnsi="Noto Sans CJK SC" w:eastAsia="Noto Sans CJK SC"/>
                <w:sz w:val="15"/>
              </w:rPr>
              <w:t>LightGBM等集成树</w:t>
            </w:r>
          </w:p>
        </w:tc>
        <w:tc>
          <w:tcPr>
            <w:tcW w:w="2409" w:type="dxa"/>
            <w:vAlign w:val="center"/>
          </w:tcPr>
          <w:p>
            <w:pPr>
              <w:spacing w:after="20"/>
            </w:pPr>
            <w:r>
              <w:rPr>
                <w:rFonts w:ascii="Noto Sans CJK SC" w:hAnsi="Noto Sans CJK SC" w:eastAsia="Noto Sans CJK SC"/>
                <w:sz w:val="15"/>
              </w:rPr>
              <w:t>可利用非线性与交叉信号</w:t>
            </w:r>
          </w:p>
        </w:tc>
        <w:tc>
          <w:tcPr>
            <w:tcW w:w="2409" w:type="dxa"/>
            <w:vAlign w:val="center"/>
          </w:tcPr>
          <w:p>
            <w:pPr>
              <w:spacing w:after="20"/>
            </w:pPr>
            <w:r>
              <w:rPr>
                <w:rFonts w:ascii="Noto Sans CJK SC" w:hAnsi="Noto Sans CJK SC" w:eastAsia="Noto Sans CJK SC"/>
                <w:sz w:val="15"/>
              </w:rPr>
              <w:t>需要严格验证漂移、稳定与公平性</w:t>
            </w:r>
          </w:p>
        </w:tc>
        <w:tc>
          <w:tcPr>
            <w:tcW w:w="2409" w:type="dxa"/>
            <w:vAlign w:val="center"/>
          </w:tcPr>
          <w:p>
            <w:pPr>
              <w:spacing w:after="20"/>
            </w:pPr>
            <w:r>
              <w:rPr>
                <w:rFonts w:ascii="Noto Sans CJK SC" w:hAnsi="Noto Sans CJK SC" w:eastAsia="Noto Sans CJK SC"/>
                <w:sz w:val="15"/>
              </w:rPr>
              <w:t>离线候选模型和对比</w:t>
            </w:r>
          </w:p>
        </w:tc>
      </w:tr>
    </w:tbl>
    <w:p>
      <w:pPr>
        <w:spacing w:after="0"/>
      </w:pPr>
    </w:p>
    <w:p>
      <w:pPr>
        <w:spacing w:after="100"/>
      </w:pPr>
      <w:r>
        <w:rPr>
          <w:rFonts w:ascii="Noto Sans CJK SC" w:hAnsi="Noto Sans CJK SC" w:eastAsia="Noto Sans CJK SC"/>
        </w:rPr>
        <w:t>建议采用“规则优先 + 统计评分辅助 + 人工复核兜底”的分层治理路径：监管/业务硬性约束不可被模型概率替代；模型分数不能自动证明有权授信。</w:t>
      </w:r>
    </w:p>
    <w:p>
      <w:pPr>
        <w:pStyle w:val="3"/>
      </w:pPr>
      <w:r>
        <w:t>1.5 与公开数据的匹配关系</w:t>
      </w:r>
    </w:p>
    <w:p>
      <w:pPr>
        <w:spacing w:after="100"/>
      </w:pPr>
      <w:r>
        <w:rPr>
          <w:rFonts w:ascii="Noto Sans CJK SC" w:hAnsi="Noto Sans CJK SC" w:eastAsia="Noto Sans CJK SC"/>
        </w:rPr>
        <w:t>Home Credit Default Risk 为公开消费信贷风险竞赛。其核心主表包含申请金额、收入、申请人社会经济特征与匿名外部来源评分，但不包含证券保证金、维持担保比例、证券账户持仓和小额股票质押抵押物质量。这些缺口意味着本轮只能对通用“还款困难标签风险识别”进行实证分析，不能据此声明已验证证券授信规则。</w:t>
      </w:r>
    </w:p>
    <w:p>
      <w:pPr>
        <w:pStyle w:val="3"/>
      </w:pPr>
      <w:r>
        <w:t>1.6 技术落地路线与控制点</w:t>
      </w:r>
    </w:p>
    <w:p>
      <w:pPr>
        <w:pStyle w:val="4"/>
        <w:spacing w:after="60"/>
      </w:pPr>
      <w:r>
        <w:rPr>
          <w:rFonts w:ascii="Noto Sans CJK SC" w:hAnsi="Noto Sans CJK SC" w:eastAsia="Noto Sans CJK SC"/>
        </w:rPr>
        <w:t>阶段一：全量数据字典、缺失分级、异常标记、描述性关联分析。</w:t>
      </w:r>
    </w:p>
    <w:p>
      <w:pPr>
        <w:pStyle w:val="4"/>
        <w:spacing w:after="60"/>
      </w:pPr>
      <w:r>
        <w:rPr>
          <w:rFonts w:ascii="Noto Sans CJK SC" w:hAnsi="Noto Sans CJK SC" w:eastAsia="Noto Sans CJK SC"/>
        </w:rPr>
        <w:t>阶段二：附属历史表按申请ID聚合；按申请时点截断，防止未来信息泄漏。</w:t>
      </w:r>
    </w:p>
    <w:p>
      <w:pPr>
        <w:pStyle w:val="4"/>
        <w:spacing w:after="60"/>
      </w:pPr>
      <w:r>
        <w:rPr>
          <w:rFonts w:ascii="Noto Sans CJK SC" w:hAnsi="Noto Sans CJK SC" w:eastAsia="Noto Sans CJK SC"/>
        </w:rPr>
        <w:t>阶段二：训练逻辑回归与LightGBM，对比AUC、KS、召回率与校准表现。</w:t>
      </w:r>
    </w:p>
    <w:p>
      <w:pPr>
        <w:pStyle w:val="4"/>
        <w:spacing w:after="60"/>
      </w:pPr>
      <w:r>
        <w:rPr>
          <w:rFonts w:ascii="Noto Sans CJK SC" w:hAnsi="Noto Sans CJK SC" w:eastAsia="Noto Sans CJK SC"/>
        </w:rPr>
        <w:t>阶段三：基于外部验证和解释性分析进行策略阈值设计，人工复核敏感/不确定场景。</w:t>
      </w:r>
    </w:p>
    <w:p>
      <w:pPr>
        <w:pStyle w:val="4"/>
        <w:spacing w:after="60"/>
      </w:pPr>
      <w:r>
        <w:rPr>
          <w:rFonts w:ascii="Noto Sans CJK SC" w:hAnsi="Noto Sans CJK SC" w:eastAsia="Noto Sans CJK SC"/>
        </w:rPr>
        <w:t>阶段四：通过基准规则模拟比较审批效率和风险代理指标；不将模拟写成真实业务成效。</w:t>
      </w:r>
    </w:p>
    <w:p>
      <w:pPr>
        <w:spacing w:after="100"/>
      </w:pPr>
      <w:r>
        <w:rPr>
          <w:rFonts w:ascii="Noto Sans CJK SC" w:hAnsi="Noto Sans CJK SC" w:eastAsia="Noto Sans CJK SC"/>
        </w:rPr>
        <w:t>业内做法的具体适用性应与目标金融机构的合规、模型风险管理、数据治理和内部审批制度共同确定。</w:t>
      </w:r>
    </w:p>
    <w:p>
      <w:r>
        <w:br w:type="page"/>
      </w:r>
    </w:p>
    <w:p>
      <w:pPr>
        <w:pStyle w:val="2"/>
      </w:pPr>
      <w:r>
        <w:t>二、数据资产与质量评估报告</w:t>
      </w:r>
    </w:p>
    <w:p>
      <w:pPr>
        <w:pStyle w:val="3"/>
      </w:pPr>
      <w:r>
        <w:t>2.1 输入数据及关联关系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当前输入</w:t>
            </w:r>
          </w:p>
        </w:tc>
        <w:tc>
          <w:tcPr>
            <w:tcW w:w="3213" w:type="dxa"/>
            <w:shd w:val="clear" w:color="auto" w:fill="17365D"/>
          </w:tcPr>
          <w:p>
            <w:pPr>
              <w:spacing w:after="0"/>
            </w:pPr>
            <w:r>
              <w:rPr>
                <w:rFonts w:ascii="Noto Sans CJK SC" w:hAnsi="Noto Sans CJK SC" w:eastAsia="Noto Sans CJK SC"/>
                <w:b/>
                <w:color w:val="FFFFFF"/>
                <w:sz w:val="16"/>
              </w:rPr>
              <w:t>作用</w:t>
            </w:r>
          </w:p>
        </w:tc>
        <w:tc>
          <w:tcPr>
            <w:tcW w:w="3213" w:type="dxa"/>
            <w:shd w:val="clear" w:color="auto" w:fill="17365D"/>
          </w:tcPr>
          <w:p>
            <w:pPr>
              <w:spacing w:after="0"/>
            </w:pPr>
            <w:r>
              <w:rPr>
                <w:rFonts w:ascii="Noto Sans CJK SC" w:hAnsi="Noto Sans CJK SC" w:eastAsia="Noto Sans CJK SC"/>
                <w:b/>
                <w:color w:val="FFFFFF"/>
                <w:sz w:val="16"/>
              </w:rPr>
              <w:t>核验结果</w:t>
            </w:r>
          </w:p>
        </w:tc>
      </w:tr>
      <w:tr>
        <w:tc>
          <w:tcPr>
            <w:tcW w:w="3213" w:type="dxa"/>
            <w:vAlign w:val="center"/>
          </w:tcPr>
          <w:p>
            <w:pPr>
              <w:spacing w:after="20"/>
            </w:pPr>
            <w:r>
              <w:rPr>
                <w:rFonts w:ascii="Noto Sans CJK SC" w:hAnsi="Noto Sans CJK SC" w:eastAsia="Noto Sans CJK SC"/>
                <w:sz w:val="15"/>
              </w:rPr>
              <w:t>application_train.csv</w:t>
            </w:r>
          </w:p>
        </w:tc>
        <w:tc>
          <w:tcPr>
            <w:tcW w:w="3213" w:type="dxa"/>
            <w:vAlign w:val="center"/>
          </w:tcPr>
          <w:p>
            <w:pPr>
              <w:spacing w:after="20"/>
            </w:pPr>
            <w:r>
              <w:rPr>
                <w:rFonts w:ascii="Noto Sans CJK SC" w:hAnsi="Noto Sans CJK SC" w:eastAsia="Noto Sans CJK SC"/>
                <w:sz w:val="15"/>
              </w:rPr>
              <w:t>当前申请主表/目标标签</w:t>
            </w:r>
          </w:p>
        </w:tc>
        <w:tc>
          <w:tcPr>
            <w:tcW w:w="3213" w:type="dxa"/>
            <w:vAlign w:val="center"/>
          </w:tcPr>
          <w:p>
            <w:pPr>
              <w:spacing w:after="20"/>
            </w:pPr>
            <w:r>
              <w:rPr>
                <w:rFonts w:ascii="Noto Sans CJK SC" w:hAnsi="Noto Sans CJK SC" w:eastAsia="Noto Sans CJK SC"/>
                <w:sz w:val="15"/>
              </w:rPr>
              <w:t>307,511×122；主键无重复</w:t>
            </w:r>
          </w:p>
        </w:tc>
      </w:tr>
      <w:tr>
        <w:tc>
          <w:tcPr>
            <w:tcW w:w="3213" w:type="dxa"/>
            <w:vAlign w:val="center"/>
          </w:tcPr>
          <w:p>
            <w:pPr>
              <w:spacing w:after="20"/>
            </w:pPr>
            <w:r>
              <w:rPr>
                <w:rFonts w:ascii="Noto Sans CJK SC" w:hAnsi="Noto Sans CJK SC" w:eastAsia="Noto Sans CJK SC"/>
                <w:sz w:val="15"/>
              </w:rPr>
              <w:t>HomeCredit_columns_description.csv</w:t>
            </w:r>
          </w:p>
        </w:tc>
        <w:tc>
          <w:tcPr>
            <w:tcW w:w="3213" w:type="dxa"/>
            <w:vAlign w:val="center"/>
          </w:tcPr>
          <w:p>
            <w:pPr>
              <w:spacing w:after="20"/>
            </w:pPr>
            <w:r>
              <w:rPr>
                <w:rFonts w:ascii="Noto Sans CJK SC" w:hAnsi="Noto Sans CJK SC" w:eastAsia="Noto Sans CJK SC"/>
                <w:sz w:val="15"/>
              </w:rPr>
              <w:t>跨数据表英文原始释义</w:t>
            </w:r>
          </w:p>
        </w:tc>
        <w:tc>
          <w:tcPr>
            <w:tcW w:w="3213" w:type="dxa"/>
            <w:vAlign w:val="center"/>
          </w:tcPr>
          <w:p>
            <w:pPr>
              <w:spacing w:after="20"/>
            </w:pPr>
            <w:r>
              <w:rPr>
                <w:rFonts w:ascii="Noto Sans CJK SC" w:hAnsi="Noto Sans CJK SC" w:eastAsia="Noto Sans CJK SC"/>
                <w:sz w:val="15"/>
              </w:rPr>
              <w:t>219条说明记录；主表122字段匹配完整</w:t>
            </w:r>
          </w:p>
        </w:tc>
      </w:tr>
    </w:tbl>
    <w:p>
      <w:pPr>
        <w:spacing w:after="100"/>
      </w:pPr>
      <w:r>
        <w:rPr>
          <w:rFonts w:ascii="Noto Sans CJK SC" w:hAnsi="Noto Sans CJK SC" w:eastAsia="Noto Sans CJK SC"/>
        </w:rPr>
        <w:t>关联规则：现阶段没有输入 bureau、bureau_balance、previous_application、POS_CASH_balance、credit_card_balance、installments_payments 六张历史数据表，因此未生成多表分析宽表，也未计算历史逾期占比、授信使用率等聚合特征。后续应先识别一对多关系，再按 SK_ID_CURR 进行汇总关联；bureau_balance 需经 SK_ID_BUREAU 链接 bureau。</w:t>
      </w:r>
    </w:p>
    <w:p>
      <w:pPr>
        <w:pStyle w:val="3"/>
      </w:pPr>
      <w:r>
        <w:t>2.2 全量字段缺失分级</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tc>
          <w:tcPr>
            <w:tcW w:w="2409" w:type="dxa"/>
            <w:shd w:val="clear" w:color="auto" w:fill="17365D"/>
          </w:tcPr>
          <w:p>
            <w:pPr>
              <w:spacing w:after="0"/>
            </w:pPr>
            <w:r>
              <w:rPr>
                <w:rFonts w:ascii="Noto Sans CJK SC" w:hAnsi="Noto Sans CJK SC" w:eastAsia="Noto Sans CJK SC"/>
                <w:b/>
                <w:color w:val="FFFFFF"/>
                <w:sz w:val="16"/>
              </w:rPr>
              <w:t>分级口径</w:t>
            </w:r>
          </w:p>
        </w:tc>
        <w:tc>
          <w:tcPr>
            <w:tcW w:w="2409" w:type="dxa"/>
            <w:shd w:val="clear" w:color="auto" w:fill="17365D"/>
          </w:tcPr>
          <w:p>
            <w:pPr>
              <w:spacing w:after="0"/>
            </w:pPr>
            <w:r>
              <w:rPr>
                <w:rFonts w:ascii="Noto Sans CJK SC" w:hAnsi="Noto Sans CJK SC" w:eastAsia="Noto Sans CJK SC"/>
                <w:b/>
                <w:color w:val="FFFFFF"/>
                <w:sz w:val="16"/>
              </w:rPr>
              <w:t>字段数</w:t>
            </w:r>
          </w:p>
        </w:tc>
        <w:tc>
          <w:tcPr>
            <w:tcW w:w="2409" w:type="dxa"/>
            <w:shd w:val="clear" w:color="auto" w:fill="17365D"/>
          </w:tcPr>
          <w:p>
            <w:pPr>
              <w:spacing w:after="0"/>
            </w:pPr>
            <w:r>
              <w:rPr>
                <w:rFonts w:ascii="Noto Sans CJK SC" w:hAnsi="Noto Sans CJK SC" w:eastAsia="Noto Sans CJK SC"/>
                <w:b/>
                <w:color w:val="FFFFFF"/>
                <w:sz w:val="16"/>
              </w:rPr>
              <w:t>字段占比</w:t>
            </w:r>
          </w:p>
        </w:tc>
        <w:tc>
          <w:tcPr>
            <w:tcW w:w="2409" w:type="dxa"/>
            <w:shd w:val="clear" w:color="auto" w:fill="17365D"/>
          </w:tcPr>
          <w:p>
            <w:pPr>
              <w:spacing w:after="0"/>
            </w:pPr>
            <w:r>
              <w:rPr>
                <w:rFonts w:ascii="Noto Sans CJK SC" w:hAnsi="Noto Sans CJK SC" w:eastAsia="Noto Sans CJK SC"/>
                <w:b/>
                <w:color w:val="FFFFFF"/>
                <w:sz w:val="16"/>
              </w:rPr>
              <w:t>阶段一处理动作</w:t>
            </w:r>
          </w:p>
        </w:tc>
      </w:tr>
      <w:tr>
        <w:tc>
          <w:tcPr>
            <w:tcW w:w="2409" w:type="dxa"/>
            <w:vAlign w:val="center"/>
          </w:tcPr>
          <w:p>
            <w:pPr>
              <w:spacing w:after="20"/>
            </w:pPr>
            <w:r>
              <w:rPr>
                <w:rFonts w:ascii="Noto Sans CJK SC" w:hAnsi="Noto Sans CJK SC" w:eastAsia="Noto Sans CJK SC"/>
                <w:sz w:val="15"/>
              </w:rPr>
              <w:t>低缺失 &lt;10%</w:t>
            </w:r>
          </w:p>
        </w:tc>
        <w:tc>
          <w:tcPr>
            <w:tcW w:w="2409" w:type="dxa"/>
            <w:vAlign w:val="center"/>
          </w:tcPr>
          <w:p>
            <w:pPr>
              <w:spacing w:after="20"/>
            </w:pPr>
            <w:r>
              <w:rPr>
                <w:rFonts w:ascii="Noto Sans CJK SC" w:hAnsi="Noto Sans CJK SC" w:eastAsia="Noto Sans CJK SC"/>
                <w:sz w:val="15"/>
              </w:rPr>
              <w:t>65</w:t>
            </w:r>
          </w:p>
        </w:tc>
        <w:tc>
          <w:tcPr>
            <w:tcW w:w="2409" w:type="dxa"/>
            <w:vAlign w:val="center"/>
          </w:tcPr>
          <w:p>
            <w:pPr>
              <w:spacing w:after="20"/>
            </w:pPr>
            <w:r>
              <w:rPr>
                <w:rFonts w:ascii="Noto Sans CJK SC" w:hAnsi="Noto Sans CJK SC" w:eastAsia="Noto Sans CJK SC"/>
                <w:sz w:val="15"/>
              </w:rPr>
              <w:t>53.28%</w:t>
            </w:r>
          </w:p>
        </w:tc>
        <w:tc>
          <w:tcPr>
            <w:tcW w:w="2409" w:type="dxa"/>
            <w:vAlign w:val="center"/>
          </w:tcPr>
          <w:p>
            <w:pPr>
              <w:spacing w:after="20"/>
            </w:pPr>
            <w:r>
              <w:rPr>
                <w:rFonts w:ascii="Noto Sans CJK SC" w:hAnsi="Noto Sans CJK SC" w:eastAsia="Noto Sans CJK SC"/>
                <w:sz w:val="15"/>
              </w:rPr>
              <w:t>确认缺失模式与取值合法性</w:t>
            </w:r>
          </w:p>
        </w:tc>
      </w:tr>
      <w:tr>
        <w:tc>
          <w:tcPr>
            <w:tcW w:w="2409" w:type="dxa"/>
            <w:vAlign w:val="center"/>
          </w:tcPr>
          <w:p>
            <w:pPr>
              <w:spacing w:after="20"/>
            </w:pPr>
            <w:r>
              <w:rPr>
                <w:rFonts w:ascii="Noto Sans CJK SC" w:hAnsi="Noto Sans CJK SC" w:eastAsia="Noto Sans CJK SC"/>
                <w:sz w:val="15"/>
              </w:rPr>
              <w:t>中缺失 10%-30%</w:t>
            </w:r>
          </w:p>
        </w:tc>
        <w:tc>
          <w:tcPr>
            <w:tcW w:w="2409" w:type="dxa"/>
            <w:vAlign w:val="center"/>
          </w:tcPr>
          <w:p>
            <w:pPr>
              <w:spacing w:after="20"/>
            </w:pPr>
            <w:r>
              <w:rPr>
                <w:rFonts w:ascii="Noto Sans CJK SC" w:hAnsi="Noto Sans CJK SC" w:eastAsia="Noto Sans CJK SC"/>
                <w:sz w:val="15"/>
              </w:rPr>
              <w:t>7</w:t>
            </w:r>
          </w:p>
        </w:tc>
        <w:tc>
          <w:tcPr>
            <w:tcW w:w="2409" w:type="dxa"/>
            <w:vAlign w:val="center"/>
          </w:tcPr>
          <w:p>
            <w:pPr>
              <w:spacing w:after="20"/>
            </w:pPr>
            <w:r>
              <w:rPr>
                <w:rFonts w:ascii="Noto Sans CJK SC" w:hAnsi="Noto Sans CJK SC" w:eastAsia="Noto Sans CJK SC"/>
                <w:sz w:val="15"/>
              </w:rPr>
              <w:t>5.74%</w:t>
            </w:r>
          </w:p>
        </w:tc>
        <w:tc>
          <w:tcPr>
            <w:tcW w:w="2409" w:type="dxa"/>
            <w:vAlign w:val="center"/>
          </w:tcPr>
          <w:p>
            <w:pPr>
              <w:spacing w:after="20"/>
            </w:pPr>
            <w:r>
              <w:rPr>
                <w:rFonts w:ascii="Noto Sans CJK SC" w:hAnsi="Noto Sans CJK SC" w:eastAsia="Noto Sans CJK SC"/>
                <w:sz w:val="15"/>
              </w:rPr>
              <w:t>按变量检查缺失机制，拟添加标记</w:t>
            </w:r>
          </w:p>
        </w:tc>
      </w:tr>
      <w:tr>
        <w:tc>
          <w:tcPr>
            <w:tcW w:w="2409" w:type="dxa"/>
            <w:vAlign w:val="center"/>
          </w:tcPr>
          <w:p>
            <w:pPr>
              <w:spacing w:after="20"/>
            </w:pPr>
            <w:r>
              <w:rPr>
                <w:rFonts w:ascii="Noto Sans CJK SC" w:hAnsi="Noto Sans CJK SC" w:eastAsia="Noto Sans CJK SC"/>
                <w:sz w:val="15"/>
              </w:rPr>
              <w:t>高缺失 &gt;30%</w:t>
            </w:r>
          </w:p>
        </w:tc>
        <w:tc>
          <w:tcPr>
            <w:tcW w:w="2409" w:type="dxa"/>
            <w:vAlign w:val="center"/>
          </w:tcPr>
          <w:p>
            <w:pPr>
              <w:spacing w:after="20"/>
            </w:pPr>
            <w:r>
              <w:rPr>
                <w:rFonts w:ascii="Noto Sans CJK SC" w:hAnsi="Noto Sans CJK SC" w:eastAsia="Noto Sans CJK SC"/>
                <w:sz w:val="15"/>
              </w:rPr>
              <w:t>50</w:t>
            </w:r>
          </w:p>
        </w:tc>
        <w:tc>
          <w:tcPr>
            <w:tcW w:w="2409" w:type="dxa"/>
            <w:vAlign w:val="center"/>
          </w:tcPr>
          <w:p>
            <w:pPr>
              <w:spacing w:after="20"/>
            </w:pPr>
            <w:r>
              <w:rPr>
                <w:rFonts w:ascii="Noto Sans CJK SC" w:hAnsi="Noto Sans CJK SC" w:eastAsia="Noto Sans CJK SC"/>
                <w:sz w:val="15"/>
              </w:rPr>
              <w:t>40.98%</w:t>
            </w:r>
          </w:p>
        </w:tc>
        <w:tc>
          <w:tcPr>
            <w:tcW w:w="2409" w:type="dxa"/>
            <w:vAlign w:val="center"/>
          </w:tcPr>
          <w:p>
            <w:pPr>
              <w:spacing w:after="20"/>
            </w:pPr>
            <w:r>
              <w:rPr>
                <w:rFonts w:ascii="Noto Sans CJK SC" w:hAnsi="Noto Sans CJK SC" w:eastAsia="Noto Sans CJK SC"/>
                <w:sz w:val="15"/>
              </w:rPr>
              <w:t>业务价值评估 + 缺失指示 + 后续稳健性检验</w:t>
            </w:r>
          </w:p>
        </w:tc>
      </w:tr>
    </w:tbl>
    <w:p>
      <w:pPr>
        <w:spacing w:after="0"/>
      </w:pPr>
    </w:p>
    <w:p>
      <w:pPr>
        <w:spacing w:after="100"/>
      </w:pPr>
      <w:r>
        <w:rPr>
          <w:rFonts w:ascii="Noto Sans CJK SC" w:hAnsi="Noto Sans CJK SC" w:eastAsia="Noto Sans CJK SC"/>
        </w:rPr>
        <w:t>数据矩阵共 37,516,342 个单元格，观测缺失 9,152,465 个，缺失单元格比例为 24.40%。注意不应按单一全局缺失率决定是否删除全部高缺失字段。</w:t>
      </w:r>
    </w:p>
    <w:p>
      <w:pPr>
        <w:spacing w:after="0"/>
        <w:jc w:val="center"/>
      </w:pPr>
      <w:r>
        <w:drawing>
          <wp:inline distT="0" distB="0" distL="114300" distR="114300">
            <wp:extent cx="5399405" cy="3435350"/>
            <wp:effectExtent l="0" t="0" r="1079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00000" cy="3435750"/>
                    </a:xfrm>
                    <a:prstGeom prst="rect">
                      <a:avLst/>
                    </a:prstGeom>
                  </pic:spPr>
                </pic:pic>
              </a:graphicData>
            </a:graphic>
          </wp:inline>
        </w:drawing>
      </w:r>
    </w:p>
    <w:p>
      <w:pPr>
        <w:spacing w:after="140"/>
        <w:jc w:val="center"/>
      </w:pPr>
      <w:r>
        <w:rPr>
          <w:rFonts w:ascii="Noto Sans CJK SC" w:hAnsi="Noto Sans CJK SC" w:eastAsia="Noto Sans CJK SC"/>
          <w:color w:val="5A6774"/>
          <w:sz w:val="16"/>
        </w:rPr>
        <w:t>图1 | 缺失率最高的15个字段；多数为住宅相关属性</w:t>
      </w:r>
    </w:p>
    <w:p>
      <w:r>
        <w:br w:type="page"/>
      </w:r>
    </w:p>
    <w:p>
      <w:pPr>
        <w:pStyle w:val="3"/>
      </w:pPr>
      <w:r>
        <w:t>2.3 异常值、特殊编码与数据质量登记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tc>
          <w:tcPr>
            <w:tcW w:w="2409" w:type="dxa"/>
            <w:shd w:val="clear" w:color="auto" w:fill="17365D"/>
          </w:tcPr>
          <w:p>
            <w:pPr>
              <w:spacing w:after="0"/>
            </w:pPr>
            <w:r>
              <w:rPr>
                <w:rFonts w:ascii="Noto Sans CJK SC" w:hAnsi="Noto Sans CJK SC" w:eastAsia="Noto Sans CJK SC"/>
                <w:b/>
                <w:color w:val="FFFFFF"/>
                <w:sz w:val="16"/>
              </w:rPr>
              <w:t>检查项</w:t>
            </w:r>
          </w:p>
        </w:tc>
        <w:tc>
          <w:tcPr>
            <w:tcW w:w="2409" w:type="dxa"/>
            <w:shd w:val="clear" w:color="auto" w:fill="17365D"/>
          </w:tcPr>
          <w:p>
            <w:pPr>
              <w:spacing w:after="0"/>
            </w:pPr>
            <w:r>
              <w:rPr>
                <w:rFonts w:ascii="Noto Sans CJK SC" w:hAnsi="Noto Sans CJK SC" w:eastAsia="Noto Sans CJK SC"/>
                <w:b/>
                <w:color w:val="FFFFFF"/>
                <w:sz w:val="16"/>
              </w:rPr>
              <w:t>涉及记录</w:t>
            </w:r>
          </w:p>
        </w:tc>
        <w:tc>
          <w:tcPr>
            <w:tcW w:w="2409" w:type="dxa"/>
            <w:shd w:val="clear" w:color="auto" w:fill="17365D"/>
          </w:tcPr>
          <w:p>
            <w:pPr>
              <w:spacing w:after="0"/>
            </w:pPr>
            <w:r>
              <w:rPr>
                <w:rFonts w:ascii="Noto Sans CJK SC" w:hAnsi="Noto Sans CJK SC" w:eastAsia="Noto Sans CJK SC"/>
                <w:b/>
                <w:color w:val="FFFFFF"/>
                <w:sz w:val="16"/>
              </w:rPr>
              <w:t>本轮动作</w:t>
            </w:r>
          </w:p>
        </w:tc>
        <w:tc>
          <w:tcPr>
            <w:tcW w:w="2409" w:type="dxa"/>
            <w:shd w:val="clear" w:color="auto" w:fill="17365D"/>
          </w:tcPr>
          <w:p>
            <w:pPr>
              <w:spacing w:after="0"/>
            </w:pPr>
            <w:r>
              <w:rPr>
                <w:rFonts w:ascii="Noto Sans CJK SC" w:hAnsi="Noto Sans CJK SC" w:eastAsia="Noto Sans CJK SC"/>
                <w:b/>
                <w:color w:val="FFFFFF"/>
                <w:sz w:val="16"/>
              </w:rPr>
              <w:t>后续决策</w:t>
            </w:r>
          </w:p>
        </w:tc>
      </w:tr>
      <w:tr>
        <w:tc>
          <w:tcPr>
            <w:tcW w:w="2409" w:type="dxa"/>
            <w:vAlign w:val="center"/>
          </w:tcPr>
          <w:p>
            <w:pPr>
              <w:spacing w:after="20"/>
            </w:pPr>
            <w:r>
              <w:rPr>
                <w:rFonts w:ascii="Noto Sans CJK SC" w:hAnsi="Noto Sans CJK SC" w:eastAsia="Noto Sans CJK SC"/>
                <w:sz w:val="15"/>
              </w:rPr>
              <w:t>DAYS_EMPLOYED=365243</w:t>
            </w:r>
          </w:p>
        </w:tc>
        <w:tc>
          <w:tcPr>
            <w:tcW w:w="2409" w:type="dxa"/>
            <w:vAlign w:val="center"/>
          </w:tcPr>
          <w:p>
            <w:pPr>
              <w:spacing w:after="20"/>
            </w:pPr>
            <w:r>
              <w:rPr>
                <w:rFonts w:ascii="Noto Sans CJK SC" w:hAnsi="Noto Sans CJK SC" w:eastAsia="Noto Sans CJK SC"/>
                <w:sz w:val="15"/>
              </w:rPr>
              <w:t>55,374 (18.01%)</w:t>
            </w:r>
          </w:p>
        </w:tc>
        <w:tc>
          <w:tcPr>
            <w:tcW w:w="2409" w:type="dxa"/>
            <w:vAlign w:val="center"/>
          </w:tcPr>
          <w:p>
            <w:pPr>
              <w:spacing w:after="20"/>
            </w:pPr>
            <w:r>
              <w:rPr>
                <w:rFonts w:ascii="Noto Sans CJK SC" w:hAnsi="Noto Sans CJK SC" w:eastAsia="Noto Sans CJK SC"/>
                <w:sz w:val="15"/>
              </w:rPr>
              <w:t>独立标记</w:t>
            </w:r>
          </w:p>
        </w:tc>
        <w:tc>
          <w:tcPr>
            <w:tcW w:w="2409" w:type="dxa"/>
            <w:vAlign w:val="center"/>
          </w:tcPr>
          <w:p>
            <w:pPr>
              <w:spacing w:after="20"/>
            </w:pPr>
            <w:r>
              <w:rPr>
                <w:rFonts w:ascii="Noto Sans CJK SC" w:hAnsi="Noto Sans CJK SC" w:eastAsia="Noto Sans CJK SC"/>
                <w:sz w:val="15"/>
              </w:rPr>
              <w:t>就业年限转换前单独归类/转为缺失</w:t>
            </w:r>
          </w:p>
        </w:tc>
      </w:tr>
      <w:tr>
        <w:tc>
          <w:tcPr>
            <w:tcW w:w="2409" w:type="dxa"/>
            <w:vAlign w:val="center"/>
          </w:tcPr>
          <w:p>
            <w:pPr>
              <w:spacing w:after="20"/>
            </w:pPr>
            <w:r>
              <w:rPr>
                <w:rFonts w:ascii="Noto Sans CJK SC" w:hAnsi="Noto Sans CJK SC" w:eastAsia="Noto Sans CJK SC"/>
                <w:sz w:val="15"/>
              </w:rPr>
              <w:t>CODE_GENDER=XNA</w:t>
            </w:r>
          </w:p>
        </w:tc>
        <w:tc>
          <w:tcPr>
            <w:tcW w:w="2409" w:type="dxa"/>
            <w:vAlign w:val="center"/>
          </w:tcPr>
          <w:p>
            <w:pPr>
              <w:spacing w:after="20"/>
            </w:pPr>
            <w:r>
              <w:rPr>
                <w:rFonts w:ascii="Noto Sans CJK SC" w:hAnsi="Noto Sans CJK SC" w:eastAsia="Noto Sans CJK SC"/>
                <w:sz w:val="15"/>
              </w:rPr>
              <w:t>4</w:t>
            </w:r>
          </w:p>
        </w:tc>
        <w:tc>
          <w:tcPr>
            <w:tcW w:w="2409" w:type="dxa"/>
            <w:vAlign w:val="center"/>
          </w:tcPr>
          <w:p>
            <w:pPr>
              <w:spacing w:after="20"/>
            </w:pPr>
            <w:r>
              <w:rPr>
                <w:rFonts w:ascii="Noto Sans CJK SC" w:hAnsi="Noto Sans CJK SC" w:eastAsia="Noto Sans CJK SC"/>
                <w:sz w:val="15"/>
              </w:rPr>
              <w:t>标记未知类别</w:t>
            </w:r>
          </w:p>
        </w:tc>
        <w:tc>
          <w:tcPr>
            <w:tcW w:w="2409" w:type="dxa"/>
            <w:vAlign w:val="center"/>
          </w:tcPr>
          <w:p>
            <w:pPr>
              <w:spacing w:after="20"/>
            </w:pPr>
            <w:r>
              <w:rPr>
                <w:rFonts w:ascii="Noto Sans CJK SC" w:hAnsi="Noto Sans CJK SC" w:eastAsia="Noto Sans CJK SC"/>
                <w:sz w:val="15"/>
              </w:rPr>
              <w:t>敏感属性谨慎使用，公平性审查</w:t>
            </w:r>
          </w:p>
        </w:tc>
      </w:tr>
      <w:tr>
        <w:tc>
          <w:tcPr>
            <w:tcW w:w="2409" w:type="dxa"/>
            <w:vAlign w:val="center"/>
          </w:tcPr>
          <w:p>
            <w:pPr>
              <w:spacing w:after="20"/>
            </w:pPr>
            <w:r>
              <w:rPr>
                <w:rFonts w:ascii="Noto Sans CJK SC" w:hAnsi="Noto Sans CJK SC" w:eastAsia="Noto Sans CJK SC"/>
                <w:sz w:val="15"/>
              </w:rPr>
              <w:t>收入 &gt; P99</w:t>
            </w:r>
          </w:p>
        </w:tc>
        <w:tc>
          <w:tcPr>
            <w:tcW w:w="2409" w:type="dxa"/>
            <w:vAlign w:val="center"/>
          </w:tcPr>
          <w:p>
            <w:pPr>
              <w:spacing w:after="20"/>
            </w:pPr>
            <w:r>
              <w:rPr>
                <w:rFonts w:ascii="Noto Sans CJK SC" w:hAnsi="Noto Sans CJK SC" w:eastAsia="Noto Sans CJK SC"/>
                <w:sz w:val="15"/>
              </w:rPr>
              <w:t>3014</w:t>
            </w:r>
          </w:p>
        </w:tc>
        <w:tc>
          <w:tcPr>
            <w:tcW w:w="2409" w:type="dxa"/>
            <w:vAlign w:val="center"/>
          </w:tcPr>
          <w:p>
            <w:pPr>
              <w:spacing w:after="20"/>
            </w:pPr>
            <w:r>
              <w:rPr>
                <w:rFonts w:ascii="Noto Sans CJK SC" w:hAnsi="Noto Sans CJK SC" w:eastAsia="Noto Sans CJK SC"/>
                <w:sz w:val="15"/>
              </w:rPr>
              <w:t>标记极端观测</w:t>
            </w:r>
          </w:p>
        </w:tc>
        <w:tc>
          <w:tcPr>
            <w:tcW w:w="2409" w:type="dxa"/>
            <w:vAlign w:val="center"/>
          </w:tcPr>
          <w:p>
            <w:pPr>
              <w:spacing w:after="20"/>
            </w:pPr>
            <w:r>
              <w:rPr>
                <w:rFonts w:ascii="Noto Sans CJK SC" w:hAnsi="Noto Sans CJK SC" w:eastAsia="Noto Sans CJK SC"/>
                <w:sz w:val="15"/>
              </w:rPr>
              <w:t>审视分布；保留真实极端值</w:t>
            </w:r>
          </w:p>
        </w:tc>
      </w:tr>
      <w:tr>
        <w:tc>
          <w:tcPr>
            <w:tcW w:w="2409" w:type="dxa"/>
            <w:vAlign w:val="center"/>
          </w:tcPr>
          <w:p>
            <w:pPr>
              <w:spacing w:after="20"/>
            </w:pPr>
            <w:r>
              <w:rPr>
                <w:rFonts w:ascii="Noto Sans CJK SC" w:hAnsi="Noto Sans CJK SC" w:eastAsia="Noto Sans CJK SC"/>
                <w:sz w:val="15"/>
              </w:rPr>
              <w:t>AMT_ANNUITY缺失</w:t>
            </w:r>
          </w:p>
        </w:tc>
        <w:tc>
          <w:tcPr>
            <w:tcW w:w="2409" w:type="dxa"/>
            <w:vAlign w:val="center"/>
          </w:tcPr>
          <w:p>
            <w:pPr>
              <w:spacing w:after="20"/>
            </w:pPr>
            <w:r>
              <w:rPr>
                <w:rFonts w:ascii="Noto Sans CJK SC" w:hAnsi="Noto Sans CJK SC" w:eastAsia="Noto Sans CJK SC"/>
                <w:sz w:val="15"/>
              </w:rPr>
              <w:t>12</w:t>
            </w:r>
          </w:p>
        </w:tc>
        <w:tc>
          <w:tcPr>
            <w:tcW w:w="2409" w:type="dxa"/>
            <w:vAlign w:val="center"/>
          </w:tcPr>
          <w:p>
            <w:pPr>
              <w:spacing w:after="20"/>
            </w:pPr>
            <w:r>
              <w:rPr>
                <w:rFonts w:ascii="Noto Sans CJK SC" w:hAnsi="Noto Sans CJK SC" w:eastAsia="Noto Sans CJK SC"/>
                <w:sz w:val="15"/>
              </w:rPr>
              <w:t>标记缺失</w:t>
            </w:r>
          </w:p>
        </w:tc>
        <w:tc>
          <w:tcPr>
            <w:tcW w:w="2409" w:type="dxa"/>
            <w:vAlign w:val="center"/>
          </w:tcPr>
          <w:p>
            <w:pPr>
              <w:spacing w:after="20"/>
            </w:pPr>
            <w:r>
              <w:rPr>
                <w:rFonts w:ascii="Noto Sans CJK SC" w:hAnsi="Noto Sans CJK SC" w:eastAsia="Noto Sans CJK SC"/>
                <w:sz w:val="15"/>
              </w:rPr>
              <w:t>第二阶段检查缺失机制</w:t>
            </w:r>
          </w:p>
        </w:tc>
      </w:tr>
      <w:tr>
        <w:tc>
          <w:tcPr>
            <w:tcW w:w="2409" w:type="dxa"/>
            <w:vAlign w:val="center"/>
          </w:tcPr>
          <w:p>
            <w:pPr>
              <w:spacing w:after="20"/>
            </w:pPr>
            <w:r>
              <w:rPr>
                <w:rFonts w:ascii="Noto Sans CJK SC" w:hAnsi="Noto Sans CJK SC" w:eastAsia="Noto Sans CJK SC"/>
                <w:sz w:val="15"/>
              </w:rPr>
              <w:t>SK_ID_CURR重复</w:t>
            </w:r>
          </w:p>
        </w:tc>
        <w:tc>
          <w:tcPr>
            <w:tcW w:w="2409" w:type="dxa"/>
            <w:vAlign w:val="center"/>
          </w:tcPr>
          <w:p>
            <w:pPr>
              <w:spacing w:after="20"/>
            </w:pPr>
            <w:r>
              <w:rPr>
                <w:rFonts w:ascii="Noto Sans CJK SC" w:hAnsi="Noto Sans CJK SC" w:eastAsia="Noto Sans CJK SC"/>
                <w:sz w:val="15"/>
              </w:rPr>
              <w:t>0</w:t>
            </w:r>
          </w:p>
        </w:tc>
        <w:tc>
          <w:tcPr>
            <w:tcW w:w="2409" w:type="dxa"/>
            <w:vAlign w:val="center"/>
          </w:tcPr>
          <w:p>
            <w:pPr>
              <w:spacing w:after="20"/>
            </w:pPr>
            <w:r>
              <w:rPr>
                <w:rFonts w:ascii="Noto Sans CJK SC" w:hAnsi="Noto Sans CJK SC" w:eastAsia="Noto Sans CJK SC"/>
                <w:sz w:val="15"/>
              </w:rPr>
              <w:t>全量唯一性校验</w:t>
            </w:r>
          </w:p>
        </w:tc>
        <w:tc>
          <w:tcPr>
            <w:tcW w:w="2409" w:type="dxa"/>
            <w:vAlign w:val="center"/>
          </w:tcPr>
          <w:p>
            <w:pPr>
              <w:spacing w:after="20"/>
            </w:pPr>
            <w:r>
              <w:rPr>
                <w:rFonts w:ascii="Noto Sans CJK SC" w:hAnsi="Noto Sans CJK SC" w:eastAsia="Noto Sans CJK SC"/>
                <w:sz w:val="15"/>
              </w:rPr>
              <w:t>多表后再核对主键唯一</w:t>
            </w:r>
          </w:p>
        </w:tc>
      </w:tr>
      <w:tr>
        <w:tc>
          <w:tcPr>
            <w:tcW w:w="2409" w:type="dxa"/>
            <w:vAlign w:val="center"/>
          </w:tcPr>
          <w:p>
            <w:pPr>
              <w:spacing w:after="20"/>
            </w:pPr>
            <w:r>
              <w:rPr>
                <w:rFonts w:ascii="Noto Sans CJK SC" w:hAnsi="Noto Sans CJK SC" w:eastAsia="Noto Sans CJK SC"/>
                <w:sz w:val="15"/>
              </w:rPr>
              <w:t>TARGET缺失</w:t>
            </w:r>
          </w:p>
        </w:tc>
        <w:tc>
          <w:tcPr>
            <w:tcW w:w="2409" w:type="dxa"/>
            <w:vAlign w:val="center"/>
          </w:tcPr>
          <w:p>
            <w:pPr>
              <w:spacing w:after="20"/>
            </w:pPr>
            <w:r>
              <w:rPr>
                <w:rFonts w:ascii="Noto Sans CJK SC" w:hAnsi="Noto Sans CJK SC" w:eastAsia="Noto Sans CJK SC"/>
                <w:sz w:val="15"/>
              </w:rPr>
              <w:t>0</w:t>
            </w:r>
          </w:p>
        </w:tc>
        <w:tc>
          <w:tcPr>
            <w:tcW w:w="2409" w:type="dxa"/>
            <w:vAlign w:val="center"/>
          </w:tcPr>
          <w:p>
            <w:pPr>
              <w:spacing w:after="20"/>
            </w:pPr>
            <w:r>
              <w:rPr>
                <w:rFonts w:ascii="Noto Sans CJK SC" w:hAnsi="Noto Sans CJK SC" w:eastAsia="Noto Sans CJK SC"/>
                <w:sz w:val="15"/>
              </w:rPr>
              <w:t>标签完整性校验</w:t>
            </w:r>
          </w:p>
        </w:tc>
        <w:tc>
          <w:tcPr>
            <w:tcW w:w="2409" w:type="dxa"/>
            <w:vAlign w:val="center"/>
          </w:tcPr>
          <w:p>
            <w:pPr>
              <w:spacing w:after="20"/>
            </w:pPr>
            <w:r>
              <w:rPr>
                <w:rFonts w:ascii="Noto Sans CJK SC" w:hAnsi="Noto Sans CJK SC" w:eastAsia="Noto Sans CJK SC"/>
                <w:sz w:val="15"/>
              </w:rPr>
              <w:t>确保仅有0/1合法取值</w:t>
            </w:r>
          </w:p>
        </w:tc>
      </w:tr>
    </w:tbl>
    <w:p>
      <w:pPr>
        <w:spacing w:after="0"/>
      </w:pPr>
    </w:p>
    <w:p>
      <w:pPr>
        <w:spacing w:after="100"/>
      </w:pPr>
      <w:r>
        <w:rPr>
          <w:rFonts w:ascii="Noto Sans CJK SC" w:hAnsi="Noto Sans CJK SC" w:eastAsia="Noto Sans CJK SC"/>
        </w:rPr>
        <w:t>AMT_INCOME_TOTAL 最小正值检查中未发现非正记录；收入中位数 147,150，P99 为 472,500，最大值 117,000,000。最大值应重点复核，但不能仅凭“大于P99”判定录入错误。</w:t>
      </w:r>
    </w:p>
    <w:p>
      <w:pPr>
        <w:pStyle w:val="3"/>
      </w:pPr>
      <w:r>
        <w:t>2.4 字段字典与可复用产物</w:t>
      </w:r>
    </w:p>
    <w:p>
      <w:pPr>
        <w:spacing w:after="100"/>
      </w:pPr>
      <w:r>
        <w:rPr>
          <w:rFonts w:ascii="Noto Sans CJK SC" w:hAnsi="Noto Sans CJK SC" w:eastAsia="Noto Sans CJK SC"/>
        </w:rPr>
        <w:t>另附Excel《第一阶段_字段字典与统计结果.xlsx》，完整记录122个字段的来源英文释义、业务分类、推断类型、非空唯一值数、缺失率与等级、处理建议；“字段说明缺失”数为0。输出代码另生成每个申请ID的质量标记表 data_quality_flags.csv，用于复核而不改变源数据。</w:t>
      </w:r>
    </w:p>
    <w:p>
      <w:pPr>
        <w:pStyle w:val="3"/>
      </w:pPr>
      <w:r>
        <w:t>2.5 数据边界与保留规则</w:t>
      </w:r>
    </w:p>
    <w:p>
      <w:pPr>
        <w:pStyle w:val="4"/>
        <w:spacing w:after="60"/>
      </w:pPr>
      <w:r>
        <w:rPr>
          <w:rFonts w:ascii="Noto Sans CJK SC" w:hAnsi="Noto Sans CJK SC" w:eastAsia="Noto Sans CJK SC"/>
        </w:rPr>
        <w:t>不删除有特殊代码的整条申请，仅创建质量检查标志；保留原始字段。</w:t>
      </w:r>
    </w:p>
    <w:p>
      <w:pPr>
        <w:pStyle w:val="4"/>
        <w:spacing w:after="60"/>
      </w:pPr>
      <w:r>
        <w:rPr>
          <w:rFonts w:ascii="Noto Sans CJK SC" w:hAnsi="Noto Sans CJK SC" w:eastAsia="Noto Sans CJK SC"/>
        </w:rPr>
        <w:t>对占比较大的住宅类缺失，优先评估业务必要性、缺失机制与可能的样本偏差。</w:t>
      </w:r>
    </w:p>
    <w:p>
      <w:pPr>
        <w:pStyle w:val="4"/>
        <w:spacing w:after="60"/>
      </w:pPr>
      <w:r>
        <w:rPr>
          <w:rFonts w:ascii="Noto Sans CJK SC" w:hAnsi="Noto Sans CJK SC" w:eastAsia="Noto Sans CJK SC"/>
        </w:rPr>
        <w:t>阶段二缺失值填充、分箱、归一化和编码均在训练集内部拟合，禁止测试集信息反向泄漏。</w:t>
      </w:r>
    </w:p>
    <w:p>
      <w:pPr>
        <w:pStyle w:val="4"/>
        <w:spacing w:after="60"/>
      </w:pPr>
      <w:r>
        <w:rPr>
          <w:rFonts w:ascii="Noto Sans CJK SC" w:hAnsi="Noto Sans CJK SC" w:eastAsia="Noto Sans CJK SC"/>
        </w:rPr>
        <w:t>性别、年龄等字段可用于合规核查与公平性监测，不因描述性相关性就直接作为自动拒绝规则。</w:t>
      </w:r>
    </w:p>
    <w:p>
      <w:r>
        <w:br w:type="page"/>
      </w:r>
    </w:p>
    <w:p>
      <w:pPr>
        <w:pStyle w:val="2"/>
      </w:pPr>
      <w:r>
        <w:t>三、探索性数据分析（EDA）与业务洞察</w:t>
      </w:r>
    </w:p>
    <w:p>
      <w:pPr>
        <w:pStyle w:val="3"/>
      </w:pPr>
      <w:r>
        <w:t>3.1 标签分布与评估风险</w:t>
      </w:r>
    </w:p>
    <w:p>
      <w:pPr>
        <w:spacing w:after="100"/>
      </w:pPr>
      <w:r>
        <w:rPr>
          <w:rFonts w:ascii="Noto Sans CJK SC" w:hAnsi="Noto Sans CJK SC" w:eastAsia="Noto Sans CJK SC"/>
        </w:rPr>
        <w:t>307,511条申请中，TARGET=1有24,825条，占8.07%；TARGET=0有282,686条。类别明显不均衡，因此后续模型不可仅用准确率评价；应关注AUC、KS、召回率、精确率、阈值敏感性和概率校准。</w:t>
      </w:r>
    </w:p>
    <w:p>
      <w:pPr>
        <w:spacing w:after="0"/>
        <w:jc w:val="center"/>
      </w:pPr>
      <w:r>
        <w:drawing>
          <wp:inline distT="0" distB="0" distL="114300" distR="114300">
            <wp:extent cx="4679950" cy="2484755"/>
            <wp:effectExtent l="0" t="0" r="190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680000" cy="2484797"/>
                    </a:xfrm>
                    <a:prstGeom prst="rect">
                      <a:avLst/>
                    </a:prstGeom>
                  </pic:spPr>
                </pic:pic>
              </a:graphicData>
            </a:graphic>
          </wp:inline>
        </w:drawing>
      </w:r>
    </w:p>
    <w:p>
      <w:pPr>
        <w:spacing w:after="140"/>
        <w:jc w:val="center"/>
      </w:pPr>
      <w:r>
        <w:rPr>
          <w:rFonts w:ascii="Noto Sans CJK SC" w:hAnsi="Noto Sans CJK SC" w:eastAsia="Noto Sans CJK SC"/>
          <w:color w:val="5A6774"/>
          <w:sz w:val="16"/>
        </w:rPr>
        <w:t>图2 | 主表标签分布（全部申请，未抽样）</w:t>
      </w:r>
    </w:p>
    <w:p>
      <w:pPr>
        <w:pStyle w:val="3"/>
      </w:pPr>
      <w:r>
        <w:t>3.2 按申请产品类型观察</w:t>
      </w:r>
    </w:p>
    <w:p>
      <w:pPr>
        <w:spacing w:after="100"/>
      </w:pPr>
      <w:r>
        <w:rPr>
          <w:rFonts w:ascii="Noto Sans CJK SC" w:hAnsi="Noto Sans CJK SC" w:eastAsia="Noto Sans CJK SC"/>
        </w:rPr>
        <w:t>Cash loans：8.35% / n=278,232；Revolving loans：5.48% / n=29,279。前者观察到的TARGET=1比例更高；但产品类型不同、客群构成也可能不同，因此不能直接据此认定产品风险因果。</w:t>
      </w:r>
    </w:p>
    <w:p>
      <w:pPr>
        <w:spacing w:after="0"/>
        <w:jc w:val="center"/>
      </w:pPr>
      <w:r>
        <w:drawing>
          <wp:inline distT="0" distB="0" distL="114300" distR="114300">
            <wp:extent cx="5039995" cy="1797050"/>
            <wp:effectExtent l="0" t="0" r="146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1797548"/>
                    </a:xfrm>
                    <a:prstGeom prst="rect">
                      <a:avLst/>
                    </a:prstGeom>
                  </pic:spPr>
                </pic:pic>
              </a:graphicData>
            </a:graphic>
          </wp:inline>
        </w:drawing>
      </w:r>
    </w:p>
    <w:p>
      <w:pPr>
        <w:spacing w:after="140"/>
        <w:jc w:val="center"/>
      </w:pPr>
      <w:r>
        <w:rPr>
          <w:rFonts w:ascii="Noto Sans CJK SC" w:hAnsi="Noto Sans CJK SC" w:eastAsia="Noto Sans CJK SC"/>
          <w:color w:val="5A6774"/>
          <w:sz w:val="16"/>
        </w:rPr>
        <w:t>图3 | 两类申请产品的TARGET=1比例与整体参考线</w:t>
      </w:r>
    </w:p>
    <w:p>
      <w:r>
        <w:br w:type="page"/>
      </w:r>
    </w:p>
    <w:p>
      <w:pPr>
        <w:pStyle w:val="3"/>
      </w:pPr>
      <w:r>
        <w:t>3.3 收入类型与信用额收入比分组</w:t>
      </w:r>
    </w:p>
    <w:p>
      <w:pPr>
        <w:spacing w:after="100"/>
      </w:pPr>
      <w:r>
        <w:rPr>
          <w:rFonts w:ascii="Noto Sans CJK SC" w:hAnsi="Noto Sans CJK SC" w:eastAsia="Noto Sans CJK SC"/>
        </w:rPr>
        <w:t>在样本量≥500的分组中，Working 的TARGET=1比例为 9.59% / n=158,774；Pensioner 为 5.39% / n=55,362。这可能反映职业/收入群体结构差异，不应忽视年龄、产品结构、偿付能力和其他变量的混杂。</w:t>
      </w:r>
    </w:p>
    <w:p>
      <w:pPr>
        <w:spacing w:after="0"/>
        <w:jc w:val="center"/>
      </w:pPr>
      <w:r>
        <w:drawing>
          <wp:inline distT="0" distB="0" distL="114300" distR="114300">
            <wp:extent cx="5039995" cy="1798320"/>
            <wp:effectExtent l="0" t="0" r="146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40000" cy="1798662"/>
                    </a:xfrm>
                    <a:prstGeom prst="rect">
                      <a:avLst/>
                    </a:prstGeom>
                  </pic:spPr>
                </pic:pic>
              </a:graphicData>
            </a:graphic>
          </wp:inline>
        </w:drawing>
      </w:r>
    </w:p>
    <w:p>
      <w:pPr>
        <w:spacing w:after="140"/>
        <w:jc w:val="center"/>
      </w:pPr>
      <w:r>
        <w:rPr>
          <w:rFonts w:ascii="Noto Sans CJK SC" w:hAnsi="Noto Sans CJK SC" w:eastAsia="Noto Sans CJK SC"/>
          <w:color w:val="5A6774"/>
          <w:sz w:val="16"/>
        </w:rPr>
        <w:t>图4 | 收入类型分组（只显示至少500条样本的分组）</w:t>
      </w:r>
    </w:p>
    <w:p>
      <w:pPr>
        <w:spacing w:after="100"/>
      </w:pPr>
      <w:r>
        <w:rPr>
          <w:rFonts w:ascii="Noto Sans CJK SC" w:hAnsi="Noto Sans CJK SC" w:eastAsia="Noto Sans CJK SC"/>
        </w:rPr>
        <w:t>信用额收入比 = AMT_CREDIT / AMT_INCOME_TOTAL。比值(2,4]组的标签比例为 8.87% / n=113,561，(0,1]组为 6.44% / n=16,174；整体呈非单调变化。字段说明文件未明确所有金额的时间/计量假设，因此比值仅是探索性代理指标。</w:t>
      </w:r>
    </w:p>
    <w:p>
      <w:pPr>
        <w:spacing w:after="0"/>
        <w:jc w:val="center"/>
      </w:pPr>
      <w:r>
        <w:drawing>
          <wp:inline distT="0" distB="0" distL="114300" distR="114300">
            <wp:extent cx="5039995" cy="2010410"/>
            <wp:effectExtent l="0" t="0" r="14605"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40000" cy="2011004"/>
                    </a:xfrm>
                    <a:prstGeom prst="rect">
                      <a:avLst/>
                    </a:prstGeom>
                  </pic:spPr>
                </pic:pic>
              </a:graphicData>
            </a:graphic>
          </wp:inline>
        </w:drawing>
      </w:r>
    </w:p>
    <w:p>
      <w:pPr>
        <w:spacing w:after="140"/>
        <w:jc w:val="center"/>
      </w:pPr>
      <w:r>
        <w:rPr>
          <w:rFonts w:ascii="Noto Sans CJK SC" w:hAnsi="Noto Sans CJK SC" w:eastAsia="Noto Sans CJK SC"/>
          <w:color w:val="5A6774"/>
          <w:sz w:val="16"/>
        </w:rPr>
        <w:t>图5 | 信用额收入比与TARGET=1比例：关系非单调</w:t>
      </w:r>
    </w:p>
    <w:p>
      <w:r>
        <w:br w:type="page"/>
      </w:r>
    </w:p>
    <w:p>
      <w:pPr>
        <w:pStyle w:val="3"/>
      </w:pPr>
      <w:r>
        <w:t>3.4 匿名外部来源分数与年龄</w:t>
      </w:r>
    </w:p>
    <w:p>
      <w:pPr>
        <w:spacing w:after="100"/>
      </w:pPr>
      <w:r>
        <w:rPr>
          <w:rFonts w:ascii="Noto Sans CJK SC" w:hAnsi="Noto Sans CJK SC" w:eastAsia="Noto Sans CJK SC"/>
        </w:rPr>
        <w:t>EXT_SOURCE_2 是匿名化外部来源标准化分数。在有效记录的五分位分组中，最低组 TARGET=1 约15.21%，最高组约3.59%，呈较强的单变量风险排序关系。由于评分来源、含义与具体生成过程未知，不应将其解释为“银行信用分”或完整风控模型效果。</w:t>
      </w:r>
    </w:p>
    <w:p>
      <w:pPr>
        <w:spacing w:after="0"/>
        <w:jc w:val="center"/>
      </w:pPr>
      <w:r>
        <w:drawing>
          <wp:inline distT="0" distB="0" distL="114300" distR="114300">
            <wp:extent cx="5039995" cy="2233930"/>
            <wp:effectExtent l="0" t="0" r="146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040000" cy="2234452"/>
                    </a:xfrm>
                    <a:prstGeom prst="rect">
                      <a:avLst/>
                    </a:prstGeom>
                  </pic:spPr>
                </pic:pic>
              </a:graphicData>
            </a:graphic>
          </wp:inline>
        </w:drawing>
      </w:r>
    </w:p>
    <w:p>
      <w:pPr>
        <w:spacing w:after="140"/>
        <w:jc w:val="center"/>
      </w:pPr>
      <w:r>
        <w:rPr>
          <w:rFonts w:ascii="Noto Sans CJK SC" w:hAnsi="Noto Sans CJK SC" w:eastAsia="Noto Sans CJK SC"/>
          <w:color w:val="5A6774"/>
          <w:sz w:val="16"/>
        </w:rPr>
        <w:t>图6 | EXT_SOURCE_2有效值五分位分组 + 缺失组</w:t>
      </w:r>
    </w:p>
    <w:p>
      <w:pPr>
        <w:spacing w:after="100"/>
      </w:pPr>
      <w:r>
        <w:rPr>
          <w:rFonts w:ascii="Noto Sans CJK SC" w:hAnsi="Noto Sans CJK SC" w:eastAsia="Noto Sans CJK SC"/>
        </w:rPr>
        <w:t>年龄按 -DAYS_BIRTH/365.25 计算。样本中年龄较轻组TARGET=1比例相对更高，但年龄属于敏感的信用决策因素之一，图表仅用于风险解释与潜在公平性监测；实际授信政策必须结合适用法律和机构制度。</w:t>
      </w:r>
    </w:p>
    <w:p>
      <w:pPr>
        <w:spacing w:after="0"/>
        <w:jc w:val="center"/>
      </w:pPr>
      <w:r>
        <w:drawing>
          <wp:inline distT="0" distB="0" distL="114300" distR="114300">
            <wp:extent cx="5039995" cy="2237105"/>
            <wp:effectExtent l="0" t="0" r="1460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040000" cy="2237222"/>
                    </a:xfrm>
                    <a:prstGeom prst="rect">
                      <a:avLst/>
                    </a:prstGeom>
                  </pic:spPr>
                </pic:pic>
              </a:graphicData>
            </a:graphic>
          </wp:inline>
        </w:drawing>
      </w:r>
    </w:p>
    <w:p>
      <w:pPr>
        <w:spacing w:after="140"/>
        <w:jc w:val="center"/>
      </w:pPr>
      <w:r>
        <w:rPr>
          <w:rFonts w:ascii="Noto Sans CJK SC" w:hAnsi="Noto Sans CJK SC" w:eastAsia="Noto Sans CJK SC"/>
          <w:color w:val="5A6774"/>
          <w:sz w:val="16"/>
        </w:rPr>
        <w:t>图7 | 年龄分组只作描述性分析，不支持年龄歧视性审批</w:t>
      </w:r>
    </w:p>
    <w:p>
      <w:r>
        <w:br w:type="page"/>
      </w:r>
    </w:p>
    <w:p>
      <w:pPr>
        <w:pStyle w:val="3"/>
      </w:pPr>
      <w:r>
        <w:t>3.5 数值相关性与多维交叉分析</w:t>
      </w:r>
    </w:p>
    <w:p>
      <w:pPr>
        <w:spacing w:after="100"/>
      </w:pPr>
      <w:r>
        <w:rPr>
          <w:rFonts w:ascii="Noto Sans CJK SC" w:hAnsi="Noto Sans CJK SC" w:eastAsia="Noto Sans CJK SC"/>
        </w:rPr>
        <w:t>以 Pearson 系数初步评估数值变量与二元TARGET的线性相关性。EXT_SOURCE_3、EXT_SOURCE_2、EXT_SOURCE_1 的相关系数分别约为 -0.179、-0.160、-0.155；这些系数不能解释为变量的独立因果效应。</w:t>
      </w:r>
    </w:p>
    <w:p>
      <w:pPr>
        <w:spacing w:after="0"/>
        <w:jc w:val="center"/>
      </w:pPr>
      <w:r>
        <w:drawing>
          <wp:inline distT="0" distB="0" distL="114300" distR="114300">
            <wp:extent cx="5039995" cy="3460750"/>
            <wp:effectExtent l="0" t="0" r="1460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040000" cy="3460888"/>
                    </a:xfrm>
                    <a:prstGeom prst="rect">
                      <a:avLst/>
                    </a:prstGeom>
                  </pic:spPr>
                </pic:pic>
              </a:graphicData>
            </a:graphic>
          </wp:inline>
        </w:drawing>
      </w:r>
    </w:p>
    <w:p>
      <w:pPr>
        <w:spacing w:after="140"/>
        <w:jc w:val="center"/>
      </w:pPr>
      <w:r>
        <w:rPr>
          <w:rFonts w:ascii="Noto Sans CJK SC" w:hAnsi="Noto Sans CJK SC" w:eastAsia="Noto Sans CJK SC"/>
          <w:color w:val="5A6774"/>
          <w:sz w:val="16"/>
        </w:rPr>
        <w:t>图8 | 绝对相关系数最高的14个数值型变量（含衍生变量）</w:t>
      </w:r>
    </w:p>
    <w:p>
      <w:pPr>
        <w:spacing w:after="100"/>
      </w:pPr>
      <w:r>
        <w:rPr>
          <w:rFonts w:ascii="Noto Sans CJK SC" w:hAnsi="Noto Sans CJK SC" w:eastAsia="Noto Sans CJK SC"/>
        </w:rPr>
        <w:t>将申请类型与信用额收入比交叉，Cash loans 在(2,4]组的TARGET=1比例约9.36%，但Revolving loans 在&gt;8组只有73条记录，2.74%的观察比例不稳定。后续模型前需设置最小样本数阈值并进行置信区间和分组稳定性检查。</w:t>
      </w:r>
    </w:p>
    <w:p>
      <w:pPr>
        <w:spacing w:after="0"/>
        <w:jc w:val="center"/>
      </w:pPr>
      <w:r>
        <w:drawing>
          <wp:inline distT="0" distB="0" distL="114300" distR="114300">
            <wp:extent cx="4823460" cy="1993265"/>
            <wp:effectExtent l="0" t="0" r="254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824000" cy="1993274"/>
                    </a:xfrm>
                    <a:prstGeom prst="rect">
                      <a:avLst/>
                    </a:prstGeom>
                  </pic:spPr>
                </pic:pic>
              </a:graphicData>
            </a:graphic>
          </wp:inline>
        </w:drawing>
      </w:r>
    </w:p>
    <w:p>
      <w:pPr>
        <w:spacing w:after="140"/>
        <w:jc w:val="center"/>
      </w:pPr>
      <w:r>
        <w:rPr>
          <w:rFonts w:ascii="Noto Sans CJK SC" w:hAnsi="Noto Sans CJK SC" w:eastAsia="Noto Sans CJK SC"/>
          <w:color w:val="5A6774"/>
          <w:sz w:val="16"/>
        </w:rPr>
        <w:t>图9 | 产品类型 × 信用额收入比的TARGET=1比例；稀疏分组谨慎解读</w:t>
      </w:r>
    </w:p>
    <w:p>
      <w:r>
        <w:br w:type="page"/>
      </w:r>
    </w:p>
    <w:p>
      <w:pPr>
        <w:pStyle w:val="2"/>
      </w:pPr>
      <w:r>
        <w:t>四、核心业务洞察与阶段结论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洞察</w:t>
            </w:r>
          </w:p>
        </w:tc>
        <w:tc>
          <w:tcPr>
            <w:tcW w:w="3213" w:type="dxa"/>
            <w:shd w:val="clear" w:color="auto" w:fill="17365D"/>
          </w:tcPr>
          <w:p>
            <w:pPr>
              <w:spacing w:after="0"/>
            </w:pPr>
            <w:r>
              <w:rPr>
                <w:rFonts w:ascii="Noto Sans CJK SC" w:hAnsi="Noto Sans CJK SC" w:eastAsia="Noto Sans CJK SC"/>
                <w:b/>
                <w:color w:val="FFFFFF"/>
                <w:sz w:val="16"/>
              </w:rPr>
              <w:t>数据证据</w:t>
            </w:r>
          </w:p>
        </w:tc>
        <w:tc>
          <w:tcPr>
            <w:tcW w:w="3213" w:type="dxa"/>
            <w:shd w:val="clear" w:color="auto" w:fill="17365D"/>
          </w:tcPr>
          <w:p>
            <w:pPr>
              <w:spacing w:after="0"/>
            </w:pPr>
            <w:r>
              <w:rPr>
                <w:rFonts w:ascii="Noto Sans CJK SC" w:hAnsi="Noto Sans CJK SC" w:eastAsia="Noto Sans CJK SC"/>
                <w:b/>
                <w:color w:val="FFFFFF"/>
                <w:sz w:val="16"/>
              </w:rPr>
              <w:t>可支持的后续行动</w:t>
            </w:r>
          </w:p>
        </w:tc>
      </w:tr>
      <w:tr>
        <w:tc>
          <w:tcPr>
            <w:tcW w:w="3213" w:type="dxa"/>
            <w:vAlign w:val="center"/>
          </w:tcPr>
          <w:p>
            <w:pPr>
              <w:spacing w:after="20"/>
            </w:pPr>
            <w:r>
              <w:rPr>
                <w:rFonts w:ascii="Noto Sans CJK SC" w:hAnsi="Noto Sans CJK SC" w:eastAsia="Noto Sans CJK SC"/>
                <w:sz w:val="15"/>
              </w:rPr>
              <w:t>1. 标签严重不平衡</w:t>
            </w:r>
          </w:p>
        </w:tc>
        <w:tc>
          <w:tcPr>
            <w:tcW w:w="3213" w:type="dxa"/>
            <w:vAlign w:val="center"/>
          </w:tcPr>
          <w:p>
            <w:pPr>
              <w:spacing w:after="20"/>
            </w:pPr>
            <w:r>
              <w:rPr>
                <w:rFonts w:ascii="Noto Sans CJK SC" w:hAnsi="Noto Sans CJK SC" w:eastAsia="Noto Sans CJK SC"/>
                <w:sz w:val="15"/>
              </w:rPr>
              <w:t>TARGET=1仅8.07%</w:t>
            </w:r>
          </w:p>
        </w:tc>
        <w:tc>
          <w:tcPr>
            <w:tcW w:w="3213" w:type="dxa"/>
            <w:vAlign w:val="center"/>
          </w:tcPr>
          <w:p>
            <w:pPr>
              <w:spacing w:after="20"/>
            </w:pPr>
            <w:r>
              <w:rPr>
                <w:rFonts w:ascii="Noto Sans CJK SC" w:hAnsi="Noto Sans CJK SC" w:eastAsia="Noto Sans CJK SC"/>
                <w:sz w:val="15"/>
              </w:rPr>
              <w:t>采用AUC/KS/PR、概率校准和分层阈值指标</w:t>
            </w:r>
          </w:p>
        </w:tc>
      </w:tr>
      <w:tr>
        <w:tc>
          <w:tcPr>
            <w:tcW w:w="3213" w:type="dxa"/>
            <w:vAlign w:val="center"/>
          </w:tcPr>
          <w:p>
            <w:pPr>
              <w:spacing w:after="20"/>
            </w:pPr>
            <w:r>
              <w:rPr>
                <w:rFonts w:ascii="Noto Sans CJK SC" w:hAnsi="Noto Sans CJK SC" w:eastAsia="Noto Sans CJK SC"/>
                <w:sz w:val="15"/>
              </w:rPr>
              <w:t>2. 外部来源信号有效</w:t>
            </w:r>
          </w:p>
        </w:tc>
        <w:tc>
          <w:tcPr>
            <w:tcW w:w="3213" w:type="dxa"/>
            <w:vAlign w:val="center"/>
          </w:tcPr>
          <w:p>
            <w:pPr>
              <w:spacing w:after="20"/>
            </w:pPr>
            <w:r>
              <w:rPr>
                <w:rFonts w:ascii="Noto Sans CJK SC" w:hAnsi="Noto Sans CJK SC" w:eastAsia="Noto Sans CJK SC"/>
                <w:sz w:val="15"/>
              </w:rPr>
              <w:t>EXT_SOURCE_2首末分位15.21% vs 3.59%</w:t>
            </w:r>
          </w:p>
        </w:tc>
        <w:tc>
          <w:tcPr>
            <w:tcW w:w="3213" w:type="dxa"/>
            <w:vAlign w:val="center"/>
          </w:tcPr>
          <w:p>
            <w:pPr>
              <w:spacing w:after="20"/>
            </w:pPr>
            <w:r>
              <w:rPr>
                <w:rFonts w:ascii="Noto Sans CJK SC" w:hAnsi="Noto Sans CJK SC" w:eastAsia="Noto Sans CJK SC"/>
                <w:sz w:val="15"/>
              </w:rPr>
              <w:t>建模验证贡献、稳定与可获取性</w:t>
            </w:r>
          </w:p>
        </w:tc>
      </w:tr>
      <w:tr>
        <w:tc>
          <w:tcPr>
            <w:tcW w:w="3213" w:type="dxa"/>
            <w:vAlign w:val="center"/>
          </w:tcPr>
          <w:p>
            <w:pPr>
              <w:spacing w:after="20"/>
            </w:pPr>
            <w:r>
              <w:rPr>
                <w:rFonts w:ascii="Noto Sans CJK SC" w:hAnsi="Noto Sans CJK SC" w:eastAsia="Noto Sans CJK SC"/>
                <w:sz w:val="15"/>
              </w:rPr>
              <w:t>3. 申请产品风险差异</w:t>
            </w:r>
          </w:p>
        </w:tc>
        <w:tc>
          <w:tcPr>
            <w:tcW w:w="3213" w:type="dxa"/>
            <w:vAlign w:val="center"/>
          </w:tcPr>
          <w:p>
            <w:pPr>
              <w:spacing w:after="20"/>
            </w:pPr>
            <w:r>
              <w:rPr>
                <w:rFonts w:ascii="Noto Sans CJK SC" w:hAnsi="Noto Sans CJK SC" w:eastAsia="Noto Sans CJK SC"/>
                <w:sz w:val="15"/>
              </w:rPr>
              <w:t>Cash 8.35% vs Revolving 5.48%</w:t>
            </w:r>
          </w:p>
        </w:tc>
        <w:tc>
          <w:tcPr>
            <w:tcW w:w="3213" w:type="dxa"/>
            <w:vAlign w:val="center"/>
          </w:tcPr>
          <w:p>
            <w:pPr>
              <w:spacing w:after="20"/>
            </w:pPr>
            <w:r>
              <w:rPr>
                <w:rFonts w:ascii="Noto Sans CJK SC" w:hAnsi="Noto Sans CJK SC" w:eastAsia="Noto Sans CJK SC"/>
                <w:sz w:val="15"/>
              </w:rPr>
              <w:t>分产品分层评估，控制混杂</w:t>
            </w:r>
          </w:p>
        </w:tc>
      </w:tr>
      <w:tr>
        <w:tc>
          <w:tcPr>
            <w:tcW w:w="3213" w:type="dxa"/>
            <w:vAlign w:val="center"/>
          </w:tcPr>
          <w:p>
            <w:pPr>
              <w:spacing w:after="20"/>
            </w:pPr>
            <w:r>
              <w:rPr>
                <w:rFonts w:ascii="Noto Sans CJK SC" w:hAnsi="Noto Sans CJK SC" w:eastAsia="Noto Sans CJK SC"/>
                <w:sz w:val="15"/>
              </w:rPr>
              <w:t>4. 简单额度比不单调</w:t>
            </w:r>
          </w:p>
        </w:tc>
        <w:tc>
          <w:tcPr>
            <w:tcW w:w="3213" w:type="dxa"/>
            <w:vAlign w:val="center"/>
          </w:tcPr>
          <w:p>
            <w:pPr>
              <w:spacing w:after="20"/>
            </w:pPr>
            <w:r>
              <w:rPr>
                <w:rFonts w:ascii="Noto Sans CJK SC" w:hAnsi="Noto Sans CJK SC" w:eastAsia="Noto Sans CJK SC"/>
                <w:sz w:val="15"/>
              </w:rPr>
              <w:t>信用额收入比(2,4]组8.87%</w:t>
            </w:r>
          </w:p>
        </w:tc>
        <w:tc>
          <w:tcPr>
            <w:tcW w:w="3213" w:type="dxa"/>
            <w:vAlign w:val="center"/>
          </w:tcPr>
          <w:p>
            <w:pPr>
              <w:spacing w:after="20"/>
            </w:pPr>
            <w:r>
              <w:rPr>
                <w:rFonts w:ascii="Noto Sans CJK SC" w:hAnsi="Noto Sans CJK SC" w:eastAsia="Noto Sans CJK SC"/>
                <w:sz w:val="15"/>
              </w:rPr>
              <w:t>评估非线性、分箱或交互而非单一硬阈值</w:t>
            </w:r>
          </w:p>
        </w:tc>
      </w:tr>
      <w:tr>
        <w:tc>
          <w:tcPr>
            <w:tcW w:w="3213" w:type="dxa"/>
            <w:vAlign w:val="center"/>
          </w:tcPr>
          <w:p>
            <w:pPr>
              <w:spacing w:after="20"/>
            </w:pPr>
            <w:r>
              <w:rPr>
                <w:rFonts w:ascii="Noto Sans CJK SC" w:hAnsi="Noto Sans CJK SC" w:eastAsia="Noto Sans CJK SC"/>
                <w:sz w:val="15"/>
              </w:rPr>
              <w:t>5. 数据质量会影响模型</w:t>
            </w:r>
          </w:p>
        </w:tc>
        <w:tc>
          <w:tcPr>
            <w:tcW w:w="3213" w:type="dxa"/>
            <w:vAlign w:val="center"/>
          </w:tcPr>
          <w:p>
            <w:pPr>
              <w:spacing w:after="20"/>
            </w:pPr>
            <w:r>
              <w:rPr>
                <w:rFonts w:ascii="Noto Sans CJK SC" w:hAnsi="Noto Sans CJK SC" w:eastAsia="Noto Sans CJK SC"/>
                <w:sz w:val="15"/>
              </w:rPr>
              <w:t>50项高缺失；就业特殊值55,374条</w:t>
            </w:r>
          </w:p>
        </w:tc>
        <w:tc>
          <w:tcPr>
            <w:tcW w:w="3213" w:type="dxa"/>
            <w:vAlign w:val="center"/>
          </w:tcPr>
          <w:p>
            <w:pPr>
              <w:spacing w:after="20"/>
            </w:pPr>
            <w:r>
              <w:rPr>
                <w:rFonts w:ascii="Noto Sans CJK SC" w:hAnsi="Noto Sans CJK SC" w:eastAsia="Noto Sans CJK SC"/>
                <w:sz w:val="15"/>
              </w:rPr>
              <w:t>建立质量标记、输入验证与稳健性对比</w:t>
            </w:r>
          </w:p>
        </w:tc>
      </w:tr>
    </w:tbl>
    <w:p>
      <w:pPr>
        <w:spacing w:after="0"/>
      </w:pPr>
    </w:p>
    <w:p>
      <w:pPr>
        <w:pStyle w:val="3"/>
      </w:pPr>
      <w:r>
        <w:t>4.1 建议保留的建模候选信号</w:t>
      </w:r>
    </w:p>
    <w:p>
      <w:pPr>
        <w:pStyle w:val="4"/>
        <w:spacing w:after="60"/>
      </w:pPr>
      <w:r>
        <w:rPr>
          <w:rFonts w:ascii="Noto Sans CJK SC" w:hAnsi="Noto Sans CJK SC" w:eastAsia="Noto Sans CJK SC"/>
        </w:rPr>
        <w:t>申请与偿付能力：AMT_CREDIT、AMT_INCOME_TOTAL、AMT_ANNUITY、申请产品类型。</w:t>
      </w:r>
    </w:p>
    <w:p>
      <w:pPr>
        <w:pStyle w:val="4"/>
        <w:spacing w:after="60"/>
      </w:pPr>
      <w:r>
        <w:rPr>
          <w:rFonts w:ascii="Noto Sans CJK SC" w:hAnsi="Noto Sans CJK SC" w:eastAsia="Noto Sans CJK SC"/>
        </w:rPr>
        <w:t>外部来源信号：EXT_SOURCE_1/2/3（须核验来源、允许用途、可解释性与缺失机制）。</w:t>
      </w:r>
    </w:p>
    <w:p>
      <w:pPr>
        <w:pStyle w:val="4"/>
        <w:spacing w:after="60"/>
      </w:pPr>
      <w:r>
        <w:rPr>
          <w:rFonts w:ascii="Noto Sans CJK SC" w:hAnsi="Noto Sans CJK SC" w:eastAsia="Noto Sans CJK SC"/>
        </w:rPr>
        <w:t>财务代理衍生：信用额收入比；谨慎定义年/月口径并检查异常值。</w:t>
      </w:r>
    </w:p>
    <w:p>
      <w:pPr>
        <w:pStyle w:val="4"/>
        <w:spacing w:after="60"/>
      </w:pPr>
      <w:r>
        <w:rPr>
          <w:rFonts w:ascii="Noto Sans CJK SC" w:hAnsi="Noto Sans CJK SC" w:eastAsia="Noto Sans CJK SC"/>
        </w:rPr>
        <w:t>历史履约与负债特征：待补充关联 bureau、previous_application、installments_payments 等表后计算。</w:t>
      </w:r>
    </w:p>
    <w:p>
      <w:pPr>
        <w:pStyle w:val="3"/>
      </w:pPr>
      <w:r>
        <w:t>4.2 不允许从本轮数据直接得出的结论</w:t>
      </w:r>
    </w:p>
    <w:p>
      <w:pPr>
        <w:pStyle w:val="4"/>
        <w:spacing w:after="60"/>
      </w:pPr>
      <w:r>
        <w:rPr>
          <w:rFonts w:ascii="Noto Sans CJK SC" w:hAnsi="Noto Sans CJK SC" w:eastAsia="Noto Sans CJK SC"/>
        </w:rPr>
        <w:t>不能宣称已经建立或上线汇丰银行风控评分模型。</w:t>
      </w:r>
    </w:p>
    <w:p>
      <w:pPr>
        <w:pStyle w:val="4"/>
        <w:spacing w:after="60"/>
      </w:pPr>
      <w:r>
        <w:rPr>
          <w:rFonts w:ascii="Noto Sans CJK SC" w:hAnsi="Noto Sans CJK SC" w:eastAsia="Noto Sans CJK SC"/>
        </w:rPr>
        <w:t>不能报告项目大纲中AUC=0.78、KS=0.35及15%精度提升等默认目标为实测成果。</w:t>
      </w:r>
    </w:p>
    <w:p>
      <w:pPr>
        <w:pStyle w:val="4"/>
        <w:spacing w:after="60"/>
      </w:pPr>
      <w:r>
        <w:rPr>
          <w:rFonts w:ascii="Noto Sans CJK SC" w:hAnsi="Noto Sans CJK SC" w:eastAsia="Noto Sans CJK SC"/>
        </w:rPr>
        <w:t>不能直接估算证券融资融券的追保/平仓风险，因为缺少证券保证金、持仓与担保物字段。</w:t>
      </w:r>
    </w:p>
    <w:p>
      <w:pPr>
        <w:pStyle w:val="4"/>
        <w:spacing w:after="60"/>
      </w:pPr>
      <w:r>
        <w:rPr>
          <w:rFonts w:ascii="Noto Sans CJK SC" w:hAnsi="Noto Sans CJK SC" w:eastAsia="Noto Sans CJK SC"/>
        </w:rPr>
        <w:t>不能把TARGET=1等同法定不良贷款、90天逾期或已核销资产损失；标签窗口并未给出具体X/Y天数。</w:t>
      </w:r>
    </w:p>
    <w:p>
      <w:r>
        <w:br w:type="page"/>
      </w:r>
    </w:p>
    <w:p>
      <w:pPr>
        <w:pStyle w:val="2"/>
      </w:pPr>
      <w:r>
        <w:t>五、后续补全计划及交付清单</w:t>
      </w:r>
    </w:p>
    <w:p>
      <w:pPr>
        <w:pStyle w:val="3"/>
      </w:pPr>
      <w:r>
        <w:t>5.1 为完成原第一阶段全部范围仍需的输入</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优先级</w:t>
            </w:r>
          </w:p>
        </w:tc>
        <w:tc>
          <w:tcPr>
            <w:tcW w:w="3213" w:type="dxa"/>
            <w:shd w:val="clear" w:color="auto" w:fill="17365D"/>
          </w:tcPr>
          <w:p>
            <w:pPr>
              <w:spacing w:after="0"/>
            </w:pPr>
            <w:r>
              <w:rPr>
                <w:rFonts w:ascii="Noto Sans CJK SC" w:hAnsi="Noto Sans CJK SC" w:eastAsia="Noto Sans CJK SC"/>
                <w:b/>
                <w:color w:val="FFFFFF"/>
                <w:sz w:val="16"/>
              </w:rPr>
              <w:t>待补文件</w:t>
            </w:r>
          </w:p>
        </w:tc>
        <w:tc>
          <w:tcPr>
            <w:tcW w:w="3213" w:type="dxa"/>
            <w:shd w:val="clear" w:color="auto" w:fill="17365D"/>
          </w:tcPr>
          <w:p>
            <w:pPr>
              <w:spacing w:after="0"/>
            </w:pPr>
            <w:r>
              <w:rPr>
                <w:rFonts w:ascii="Noto Sans CJK SC" w:hAnsi="Noto Sans CJK SC" w:eastAsia="Noto Sans CJK SC"/>
                <w:b/>
                <w:color w:val="FFFFFF"/>
                <w:sz w:val="16"/>
              </w:rPr>
              <w:t>预期补充指标/用途</w:t>
            </w:r>
          </w:p>
        </w:tc>
      </w:tr>
      <w:tr>
        <w:tc>
          <w:tcPr>
            <w:tcW w:w="3213" w:type="dxa"/>
            <w:vAlign w:val="center"/>
          </w:tcPr>
          <w:p>
            <w:pPr>
              <w:spacing w:after="20"/>
            </w:pPr>
            <w:r>
              <w:rPr>
                <w:rFonts w:ascii="Noto Sans CJK SC" w:hAnsi="Noto Sans CJK SC" w:eastAsia="Noto Sans CJK SC"/>
                <w:sz w:val="15"/>
              </w:rPr>
              <w:t>P1</w:t>
            </w:r>
          </w:p>
        </w:tc>
        <w:tc>
          <w:tcPr>
            <w:tcW w:w="3213" w:type="dxa"/>
            <w:vAlign w:val="center"/>
          </w:tcPr>
          <w:p>
            <w:pPr>
              <w:spacing w:after="20"/>
            </w:pPr>
            <w:r>
              <w:rPr>
                <w:rFonts w:ascii="Noto Sans CJK SC" w:hAnsi="Noto Sans CJK SC" w:eastAsia="Noto Sans CJK SC"/>
                <w:sz w:val="15"/>
              </w:rPr>
              <w:t>bureau.csv</w:t>
            </w:r>
          </w:p>
        </w:tc>
        <w:tc>
          <w:tcPr>
            <w:tcW w:w="3213" w:type="dxa"/>
            <w:vAlign w:val="center"/>
          </w:tcPr>
          <w:p>
            <w:pPr>
              <w:spacing w:after="20"/>
            </w:pPr>
            <w:r>
              <w:rPr>
                <w:rFonts w:ascii="Noto Sans CJK SC" w:hAnsi="Noto Sans CJK SC" w:eastAsia="Noto Sans CJK SC"/>
                <w:sz w:val="15"/>
              </w:rPr>
              <w:t>历史外部授信、债务余额、逾期账户计数</w:t>
            </w:r>
          </w:p>
        </w:tc>
      </w:tr>
      <w:tr>
        <w:tc>
          <w:tcPr>
            <w:tcW w:w="3213" w:type="dxa"/>
            <w:vAlign w:val="center"/>
          </w:tcPr>
          <w:p>
            <w:pPr>
              <w:spacing w:after="20"/>
            </w:pPr>
            <w:r>
              <w:rPr>
                <w:rFonts w:ascii="Noto Sans CJK SC" w:hAnsi="Noto Sans CJK SC" w:eastAsia="Noto Sans CJK SC"/>
                <w:sz w:val="15"/>
              </w:rPr>
              <w:t>P1</w:t>
            </w:r>
          </w:p>
        </w:tc>
        <w:tc>
          <w:tcPr>
            <w:tcW w:w="3213" w:type="dxa"/>
            <w:vAlign w:val="center"/>
          </w:tcPr>
          <w:p>
            <w:pPr>
              <w:spacing w:after="20"/>
            </w:pPr>
            <w:r>
              <w:rPr>
                <w:rFonts w:ascii="Noto Sans CJK SC" w:hAnsi="Noto Sans CJK SC" w:eastAsia="Noto Sans CJK SC"/>
                <w:sz w:val="15"/>
              </w:rPr>
              <w:t>previous_application.csv</w:t>
            </w:r>
          </w:p>
        </w:tc>
        <w:tc>
          <w:tcPr>
            <w:tcW w:w="3213" w:type="dxa"/>
            <w:vAlign w:val="center"/>
          </w:tcPr>
          <w:p>
            <w:pPr>
              <w:spacing w:after="20"/>
            </w:pPr>
            <w:r>
              <w:rPr>
                <w:rFonts w:ascii="Noto Sans CJK SC" w:hAnsi="Noto Sans CJK SC" w:eastAsia="Noto Sans CJK SC"/>
                <w:sz w:val="15"/>
              </w:rPr>
              <w:t>历史申请成功率、申请频次</w:t>
            </w:r>
          </w:p>
        </w:tc>
      </w:tr>
      <w:tr>
        <w:tc>
          <w:tcPr>
            <w:tcW w:w="3213" w:type="dxa"/>
            <w:vAlign w:val="center"/>
          </w:tcPr>
          <w:p>
            <w:pPr>
              <w:spacing w:after="20"/>
            </w:pPr>
            <w:r>
              <w:rPr>
                <w:rFonts w:ascii="Noto Sans CJK SC" w:hAnsi="Noto Sans CJK SC" w:eastAsia="Noto Sans CJK SC"/>
                <w:sz w:val="15"/>
              </w:rPr>
              <w:t>P1</w:t>
            </w:r>
          </w:p>
        </w:tc>
        <w:tc>
          <w:tcPr>
            <w:tcW w:w="3213" w:type="dxa"/>
            <w:vAlign w:val="center"/>
          </w:tcPr>
          <w:p>
            <w:pPr>
              <w:spacing w:after="20"/>
            </w:pPr>
            <w:r>
              <w:rPr>
                <w:rFonts w:ascii="Noto Sans CJK SC" w:hAnsi="Noto Sans CJK SC" w:eastAsia="Noto Sans CJK SC"/>
                <w:sz w:val="15"/>
              </w:rPr>
              <w:t>installments_payments.csv</w:t>
            </w:r>
          </w:p>
        </w:tc>
        <w:tc>
          <w:tcPr>
            <w:tcW w:w="3213" w:type="dxa"/>
            <w:vAlign w:val="center"/>
          </w:tcPr>
          <w:p>
            <w:pPr>
              <w:spacing w:after="20"/>
            </w:pPr>
            <w:r>
              <w:rPr>
                <w:rFonts w:ascii="Noto Sans CJK SC" w:hAnsi="Noto Sans CJK SC" w:eastAsia="Noto Sans CJK SC"/>
                <w:sz w:val="15"/>
              </w:rPr>
              <w:t>历史还款时延、逾期比例</w:t>
            </w:r>
          </w:p>
        </w:tc>
      </w:tr>
      <w:tr>
        <w:tc>
          <w:tcPr>
            <w:tcW w:w="3213" w:type="dxa"/>
            <w:vAlign w:val="center"/>
          </w:tcPr>
          <w:p>
            <w:pPr>
              <w:spacing w:after="20"/>
            </w:pPr>
            <w:r>
              <w:rPr>
                <w:rFonts w:ascii="Noto Sans CJK SC" w:hAnsi="Noto Sans CJK SC" w:eastAsia="Noto Sans CJK SC"/>
                <w:sz w:val="15"/>
              </w:rPr>
              <w:t>P2</w:t>
            </w:r>
          </w:p>
        </w:tc>
        <w:tc>
          <w:tcPr>
            <w:tcW w:w="3213" w:type="dxa"/>
            <w:vAlign w:val="center"/>
          </w:tcPr>
          <w:p>
            <w:pPr>
              <w:spacing w:after="20"/>
            </w:pPr>
            <w:r>
              <w:rPr>
                <w:rFonts w:ascii="Noto Sans CJK SC" w:hAnsi="Noto Sans CJK SC" w:eastAsia="Noto Sans CJK SC"/>
                <w:sz w:val="15"/>
              </w:rPr>
              <w:t>bureau_balance.csv</w:t>
            </w:r>
          </w:p>
        </w:tc>
        <w:tc>
          <w:tcPr>
            <w:tcW w:w="3213" w:type="dxa"/>
            <w:vAlign w:val="center"/>
          </w:tcPr>
          <w:p>
            <w:pPr>
              <w:spacing w:after="20"/>
            </w:pPr>
            <w:r>
              <w:rPr>
                <w:rFonts w:ascii="Noto Sans CJK SC" w:hAnsi="Noto Sans CJK SC" w:eastAsia="Noto Sans CJK SC"/>
                <w:sz w:val="15"/>
              </w:rPr>
              <w:t>外部信用账户月度状态聚合</w:t>
            </w:r>
          </w:p>
        </w:tc>
      </w:tr>
      <w:tr>
        <w:tc>
          <w:tcPr>
            <w:tcW w:w="3213" w:type="dxa"/>
            <w:vAlign w:val="center"/>
          </w:tcPr>
          <w:p>
            <w:pPr>
              <w:spacing w:after="20"/>
            </w:pPr>
            <w:r>
              <w:rPr>
                <w:rFonts w:ascii="Noto Sans CJK SC" w:hAnsi="Noto Sans CJK SC" w:eastAsia="Noto Sans CJK SC"/>
                <w:sz w:val="15"/>
              </w:rPr>
              <w:t>P2</w:t>
            </w:r>
          </w:p>
        </w:tc>
        <w:tc>
          <w:tcPr>
            <w:tcW w:w="3213" w:type="dxa"/>
            <w:vAlign w:val="center"/>
          </w:tcPr>
          <w:p>
            <w:pPr>
              <w:spacing w:after="20"/>
            </w:pPr>
            <w:r>
              <w:rPr>
                <w:rFonts w:ascii="Noto Sans CJK SC" w:hAnsi="Noto Sans CJK SC" w:eastAsia="Noto Sans CJK SC"/>
                <w:sz w:val="15"/>
              </w:rPr>
              <w:t>POS_CASH_balance.csv</w:t>
            </w:r>
          </w:p>
        </w:tc>
        <w:tc>
          <w:tcPr>
            <w:tcW w:w="3213" w:type="dxa"/>
            <w:vAlign w:val="center"/>
          </w:tcPr>
          <w:p>
            <w:pPr>
              <w:spacing w:after="20"/>
            </w:pPr>
            <w:r>
              <w:rPr>
                <w:rFonts w:ascii="Noto Sans CJK SC" w:hAnsi="Noto Sans CJK SC" w:eastAsia="Noto Sans CJK SC"/>
                <w:sz w:val="15"/>
              </w:rPr>
              <w:t>内部历史分期月度状态</w:t>
            </w:r>
          </w:p>
        </w:tc>
      </w:tr>
      <w:tr>
        <w:tc>
          <w:tcPr>
            <w:tcW w:w="3213" w:type="dxa"/>
            <w:vAlign w:val="center"/>
          </w:tcPr>
          <w:p>
            <w:pPr>
              <w:spacing w:after="20"/>
            </w:pPr>
            <w:r>
              <w:rPr>
                <w:rFonts w:ascii="Noto Sans CJK SC" w:hAnsi="Noto Sans CJK SC" w:eastAsia="Noto Sans CJK SC"/>
                <w:sz w:val="15"/>
              </w:rPr>
              <w:t>P2</w:t>
            </w:r>
          </w:p>
        </w:tc>
        <w:tc>
          <w:tcPr>
            <w:tcW w:w="3213" w:type="dxa"/>
            <w:vAlign w:val="center"/>
          </w:tcPr>
          <w:p>
            <w:pPr>
              <w:spacing w:after="20"/>
            </w:pPr>
            <w:r>
              <w:rPr>
                <w:rFonts w:ascii="Noto Sans CJK SC" w:hAnsi="Noto Sans CJK SC" w:eastAsia="Noto Sans CJK SC"/>
                <w:sz w:val="15"/>
              </w:rPr>
              <w:t>credit_card_balance.csv</w:t>
            </w:r>
          </w:p>
        </w:tc>
        <w:tc>
          <w:tcPr>
            <w:tcW w:w="3213" w:type="dxa"/>
            <w:vAlign w:val="center"/>
          </w:tcPr>
          <w:p>
            <w:pPr>
              <w:spacing w:after="20"/>
            </w:pPr>
            <w:r>
              <w:rPr>
                <w:rFonts w:ascii="Noto Sans CJK SC" w:hAnsi="Noto Sans CJK SC" w:eastAsia="Noto Sans CJK SC"/>
                <w:sz w:val="15"/>
              </w:rPr>
              <w:t>历史信用卡余额与额度使用特征</w:t>
            </w:r>
          </w:p>
        </w:tc>
      </w:tr>
    </w:tbl>
    <w:p>
      <w:pPr>
        <w:spacing w:after="0"/>
      </w:pPr>
    </w:p>
    <w:p>
      <w:pPr>
        <w:spacing w:after="100"/>
      </w:pPr>
      <w:r>
        <w:rPr>
          <w:rFonts w:ascii="Noto Sans CJK SC" w:hAnsi="Noto Sans CJK SC" w:eastAsia="Noto Sans CJK SC"/>
        </w:rPr>
        <w:t>后续增量应采用先聚合再连接的方式，按申请时点过滤历史事件，确保结果为“一申请一行”，并报告每张表匹配率、关联基数与潜在泄漏风险。</w:t>
      </w:r>
    </w:p>
    <w:p>
      <w:pPr>
        <w:pStyle w:val="3"/>
      </w:pPr>
      <w:r>
        <w:t>5.2 本轮实际交付内容</w:t>
      </w:r>
    </w:p>
    <w:p>
      <w:pPr>
        <w:pStyle w:val="4"/>
        <w:spacing w:after="60"/>
      </w:pPr>
      <w:r>
        <w:rPr>
          <w:rFonts w:ascii="Noto Sans CJK SC" w:hAnsi="Noto Sans CJK SC" w:eastAsia="Noto Sans CJK SC"/>
        </w:rPr>
        <w:t>第一阶段成果报告.docx / .pdf：行业调研、质量评估及主表EDA整合报告。</w:t>
      </w:r>
    </w:p>
    <w:p>
      <w:pPr>
        <w:pStyle w:val="4"/>
        <w:spacing w:after="60"/>
      </w:pPr>
      <w:r>
        <w:rPr>
          <w:rFonts w:ascii="Noto Sans CJK SC" w:hAnsi="Noto Sans CJK SC" w:eastAsia="Noto Sans CJK SC"/>
        </w:rPr>
        <w:t>第一阶段_字段字典与统计结果.xlsx：122字段字典、分组风险、数值分布、相关性和交叉分析。</w:t>
      </w:r>
    </w:p>
    <w:p>
      <w:pPr>
        <w:pStyle w:val="4"/>
        <w:spacing w:after="60"/>
      </w:pPr>
      <w:r>
        <w:rPr>
          <w:rFonts w:ascii="Noto Sans CJK SC" w:hAnsi="Noto Sans CJK SC" w:eastAsia="Noto Sans CJK SC"/>
        </w:rPr>
        <w:t>code/phase1_analysis.py：可复现全量分析；tests/：3项基础单元测试。</w:t>
      </w:r>
    </w:p>
    <w:p>
      <w:pPr>
        <w:pStyle w:val="4"/>
        <w:spacing w:after="60"/>
      </w:pPr>
      <w:r>
        <w:rPr>
          <w:rFonts w:ascii="Noto Sans CJK SC" w:hAnsi="Noto Sans CJK SC" w:eastAsia="Noto Sans CJK SC"/>
        </w:rPr>
        <w:t>outputs/tables：字段缺失统计、异常登记、质量标记、分组风险与交叉表。</w:t>
      </w:r>
    </w:p>
    <w:p>
      <w:pPr>
        <w:pStyle w:val="4"/>
        <w:spacing w:after="60"/>
      </w:pPr>
      <w:r>
        <w:rPr>
          <w:rFonts w:ascii="Noto Sans CJK SC" w:hAnsi="Noto Sans CJK SC" w:eastAsia="Noto Sans CJK SC"/>
        </w:rPr>
        <w:t>outputs/figures：9张根据实际数据绘制的图表。</w:t>
      </w:r>
    </w:p>
    <w:p>
      <w:pPr>
        <w:pStyle w:val="3"/>
      </w:pPr>
      <w:r>
        <w:t>参考资料与来源</w:t>
      </w:r>
    </w:p>
    <w:p>
      <w:pPr>
        <w:numPr>
          <w:ilvl w:val="0"/>
          <w:numId w:val="2"/>
        </w:numPr>
        <w:spacing w:after="80"/>
        <w:rPr>
          <w:rFonts w:ascii="Noto Sans CJK SC" w:hAnsi="Noto Sans CJK SC" w:eastAsia="Noto Sans CJK SC"/>
          <w:sz w:val="15"/>
        </w:rPr>
      </w:pPr>
      <w:r>
        <w:rPr>
          <w:rFonts w:ascii="Noto Sans CJK SC" w:hAnsi="Noto Sans CJK SC" w:eastAsia="Noto Sans CJK SC"/>
          <w:sz w:val="15"/>
        </w:rPr>
        <w:t>Home Credit Default Risk, Kaggle 竞赛数据说明（含表结构）</w:t>
      </w:r>
    </w:p>
    <w:p>
      <w:pPr>
        <w:numPr>
          <w:ilvl w:val="0"/>
          <w:numId w:val="2"/>
        </w:numPr>
        <w:spacing w:after="80"/>
      </w:pPr>
      <w:r>
        <w:rPr>
          <w:rFonts w:ascii="Noto Sans CJK SC" w:hAnsi="Noto Sans CJK SC" w:eastAsia="Noto Sans CJK SC"/>
          <w:sz w:val="15"/>
        </w:rPr>
        <w:t>[2] 中国证监会《证券公司融资融券业务管理办法》</w:t>
      </w:r>
    </w:p>
    <w:p>
      <w:pPr>
        <w:spacing w:after="80"/>
      </w:pPr>
      <w:r>
        <w:rPr>
          <w:rFonts w:ascii="Noto Sans CJK SC" w:hAnsi="Noto Sans CJK SC" w:eastAsia="Noto Sans CJK SC"/>
          <w:sz w:val="15"/>
        </w:rPr>
        <w:t>[3] 中国证监会《证券期货投资者适当性管理办法》</w:t>
      </w:r>
    </w:p>
    <w:p>
      <w:pPr>
        <w:spacing w:after="80"/>
        <w:rPr>
          <w:rFonts w:ascii="Noto Sans CJK SC" w:hAnsi="Noto Sans CJK SC" w:eastAsia="Noto Sans CJK SC"/>
          <w:sz w:val="15"/>
        </w:rPr>
      </w:pPr>
      <w:r>
        <w:rPr>
          <w:rFonts w:ascii="Noto Sans CJK SC" w:hAnsi="Noto Sans CJK SC" w:eastAsia="Noto Sans CJK SC"/>
          <w:sz w:val="15"/>
        </w:rPr>
        <w:t>[4] 中国证券业协会《证券公司合规管理有效性评估指引》</w:t>
      </w:r>
    </w:p>
    <w:p>
      <w:pPr>
        <w:spacing w:after="80"/>
      </w:pPr>
      <w:r>
        <w:rPr>
          <w:rFonts w:ascii="Noto Sans CJK SC" w:hAnsi="Noto Sans CJK SC" w:eastAsia="Noto Sans CJK SC"/>
          <w:sz w:val="15"/>
        </w:rPr>
        <w:t>[5] 用户提供的两份项目规范文件：《零售客户信用风险数据分析与评分模型构建及策略优化》《编码规范》。</w:t>
      </w:r>
    </w:p>
    <w:p>
      <w:pPr>
        <w:spacing w:after="100"/>
      </w:pPr>
      <w:r>
        <w:rPr>
          <w:rFonts w:ascii="Noto Sans CJK SC" w:hAnsi="Noto Sans CJK SC" w:eastAsia="Noto Sans CJK SC"/>
        </w:rPr>
        <w:t>统计口径：全部比例均由当前上传的CSV计算；官方监管文件只用于行业制度背景。技术判断为本报告分析建议，非机构内部审批制度。</w:t>
      </w:r>
    </w:p>
    <w:p>
      <w:r>
        <w:br w:type="page"/>
      </w:r>
    </w:p>
    <w:p>
      <w:pPr>
        <w:pStyle w:val="2"/>
        <w:spacing w:before="240" w:after="140"/>
      </w:pPr>
      <w:r>
        <w:t>附录A｜评审反馈优化：数值分箱、WOE/IV 与风险组合（V2）</w:t>
      </w:r>
    </w:p>
    <w:p>
      <w:pPr>
        <w:spacing w:after="120"/>
      </w:pPr>
      <w:r>
        <w:t>本附录直接回应评审的两项要求：①全部关键数值变量补充分箱WOE表和IV排序；②选择2—3项核心变量开展分层交叉，识别具体且具样本支持的候选高风险预警信号。以下数据为公开样本307,511条记录的重新计算结果，所有完整分箱结果及交叉表见配套Excel与CSV。</w:t>
      </w:r>
    </w:p>
    <w:p>
      <w:pPr>
        <w:pStyle w:val="3"/>
        <w:spacing w:before="240" w:after="140"/>
      </w:pPr>
      <w:r>
        <w:t>A.1 分析覆盖范围与可复现口径</w:t>
      </w:r>
    </w:p>
    <w:tbl>
      <w:tblPr>
        <w:tblStyle w:val="10"/>
        <w:tblW w:w="0" w:type="auto"/>
        <w:jc w:val="center"/>
        <w:tblBorders>
          <w:top w:val="single" w:color="4874CB" w:themeColor="accent1" w:sz="8" w:space="0"/>
          <w:left w:val="none" w:color="auto" w:sz="0" w:space="0"/>
          <w:bottom w:val="single" w:color="4874CB"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2520"/>
        <w:gridCol w:w="4752"/>
      </w:tblGrid>
      <w:tr>
        <w:trPr>
          <w:jc w:val="center"/>
        </w:trPr>
        <w:tc>
          <w:tcPr>
            <w:tcW w:w="1800" w:type="dxa"/>
            <w:shd w:val="clear" w:color="auto" w:fill="173E51"/>
            <w:vAlign w:val="center"/>
          </w:tcPr>
          <w:p>
            <w:pPr>
              <w:spacing w:after="0"/>
              <w:rPr>
                <w:color w:val="2E54A1" w:themeColor="accent1" w:themeShade="BF"/>
              </w:rPr>
            </w:pPr>
            <w:r>
              <w:rPr>
                <w:b/>
                <w:color w:val="FFFFFF"/>
                <w:sz w:val="16"/>
              </w:rPr>
              <w:t>范围</w:t>
            </w:r>
          </w:p>
        </w:tc>
        <w:tc>
          <w:tcPr>
            <w:tcW w:w="2520" w:type="dxa"/>
            <w:shd w:val="clear" w:color="auto" w:fill="173E51"/>
            <w:vAlign w:val="center"/>
          </w:tcPr>
          <w:p>
            <w:pPr>
              <w:spacing w:after="0"/>
              <w:rPr>
                <w:color w:val="2E54A1" w:themeColor="accent1" w:themeShade="BF"/>
              </w:rPr>
            </w:pPr>
            <w:r>
              <w:rPr>
                <w:b/>
                <w:color w:val="FFFFFF"/>
                <w:sz w:val="16"/>
              </w:rPr>
              <w:t>已完成结果</w:t>
            </w:r>
          </w:p>
        </w:tc>
        <w:tc>
          <w:tcPr>
            <w:tcW w:w="4752" w:type="dxa"/>
            <w:shd w:val="clear" w:color="auto" w:fill="173E51"/>
            <w:vAlign w:val="center"/>
          </w:tcPr>
          <w:p>
            <w:pPr>
              <w:spacing w:after="0"/>
              <w:rPr>
                <w:color w:val="2E54A1" w:themeColor="accent1" w:themeShade="BF"/>
              </w:rPr>
            </w:pPr>
            <w:r>
              <w:rPr>
                <w:b/>
                <w:color w:val="FFFFFF"/>
                <w:sz w:val="16"/>
              </w:rPr>
              <w:t>说明</w:t>
            </w:r>
          </w:p>
        </w:tc>
      </w:tr>
      <w:tr>
        <w:trPr>
          <w:jc w:val="center"/>
        </w:trPr>
        <w:tc>
          <w:tcPr>
            <w:tcW w:w="1800" w:type="dxa"/>
            <w:vAlign w:val="center"/>
          </w:tcPr>
          <w:p>
            <w:pPr>
              <w:spacing w:after="0"/>
              <w:rPr>
                <w:color w:val="2E54A1" w:themeColor="accent1" w:themeShade="BF"/>
              </w:rPr>
            </w:pPr>
            <w:r>
              <w:rPr>
                <w:color w:val="213947"/>
                <w:sz w:val="15"/>
              </w:rPr>
              <w:t>分析主表</w:t>
            </w:r>
          </w:p>
        </w:tc>
        <w:tc>
          <w:tcPr>
            <w:tcW w:w="2520" w:type="dxa"/>
            <w:vAlign w:val="center"/>
          </w:tcPr>
          <w:p>
            <w:pPr>
              <w:spacing w:after="0"/>
              <w:rPr>
                <w:color w:val="2E54A1" w:themeColor="accent1" w:themeShade="BF"/>
              </w:rPr>
            </w:pPr>
            <w:r>
              <w:rPr>
                <w:color w:val="213947"/>
                <w:sz w:val="15"/>
              </w:rPr>
              <w:t>307,511条申请 / 122个原始字段</w:t>
            </w:r>
          </w:p>
        </w:tc>
        <w:tc>
          <w:tcPr>
            <w:tcW w:w="4752" w:type="dxa"/>
            <w:vAlign w:val="center"/>
          </w:tcPr>
          <w:p>
            <w:pPr>
              <w:spacing w:after="0"/>
              <w:rPr>
                <w:color w:val="2E54A1" w:themeColor="accent1" w:themeShade="BF"/>
              </w:rPr>
            </w:pPr>
            <w:r>
              <w:rPr>
                <w:color w:val="213947"/>
                <w:sz w:val="15"/>
              </w:rPr>
              <w:t>申请ID无重复；TARGET=1为8.07%</w:t>
            </w:r>
          </w:p>
        </w:tc>
      </w:tr>
      <w:tr>
        <w:trPr>
          <w:jc w:val="center"/>
        </w:trPr>
        <w:tc>
          <w:tcPr>
            <w:tcW w:w="1800" w:type="dxa"/>
            <w:shd w:val="clear" w:color="auto" w:fill="F2F6F8"/>
            <w:vAlign w:val="center"/>
          </w:tcPr>
          <w:p>
            <w:pPr>
              <w:spacing w:after="0"/>
              <w:rPr>
                <w:color w:val="2E54A1" w:themeColor="accent1" w:themeShade="BF"/>
              </w:rPr>
            </w:pPr>
            <w:r>
              <w:rPr>
                <w:color w:val="213947"/>
                <w:sz w:val="15"/>
              </w:rPr>
              <w:t>数值变量</w:t>
            </w:r>
          </w:p>
        </w:tc>
        <w:tc>
          <w:tcPr>
            <w:tcW w:w="2520" w:type="dxa"/>
            <w:shd w:val="clear" w:color="auto" w:fill="F2F6F8"/>
            <w:vAlign w:val="center"/>
          </w:tcPr>
          <w:p>
            <w:pPr>
              <w:spacing w:after="0"/>
              <w:rPr>
                <w:color w:val="2E54A1" w:themeColor="accent1" w:themeShade="BF"/>
              </w:rPr>
            </w:pPr>
            <w:r>
              <w:rPr>
                <w:color w:val="213947"/>
                <w:sz w:val="15"/>
              </w:rPr>
              <w:t>108项（原始数值特征+4项衍生）</w:t>
            </w:r>
          </w:p>
        </w:tc>
        <w:tc>
          <w:tcPr>
            <w:tcW w:w="4752" w:type="dxa"/>
            <w:shd w:val="clear" w:color="auto" w:fill="F2F6F8"/>
            <w:vAlign w:val="center"/>
          </w:tcPr>
          <w:p>
            <w:pPr>
              <w:spacing w:after="0"/>
              <w:rPr>
                <w:color w:val="2E54A1" w:themeColor="accent1" w:themeShade="BF"/>
              </w:rPr>
            </w:pPr>
            <w:r>
              <w:rPr>
                <w:color w:val="213947"/>
                <w:sz w:val="15"/>
              </w:rPr>
              <w:t>排除SK_ID_CURR、TARGET，不将衍生视为独立信息源</w:t>
            </w:r>
          </w:p>
        </w:tc>
      </w:tr>
      <w:tr>
        <w:trPr>
          <w:jc w:val="center"/>
        </w:trPr>
        <w:tc>
          <w:tcPr>
            <w:tcW w:w="1800" w:type="dxa"/>
            <w:vAlign w:val="center"/>
          </w:tcPr>
          <w:p>
            <w:pPr>
              <w:spacing w:after="0"/>
              <w:rPr>
                <w:color w:val="2E54A1" w:themeColor="accent1" w:themeShade="BF"/>
              </w:rPr>
            </w:pPr>
            <w:r>
              <w:rPr>
                <w:color w:val="213947"/>
                <w:sz w:val="15"/>
              </w:rPr>
              <w:t>WOE分箱</w:t>
            </w:r>
          </w:p>
        </w:tc>
        <w:tc>
          <w:tcPr>
            <w:tcW w:w="2520" w:type="dxa"/>
            <w:vAlign w:val="center"/>
          </w:tcPr>
          <w:p>
            <w:pPr>
              <w:spacing w:after="0"/>
              <w:rPr>
                <w:color w:val="2E54A1" w:themeColor="accent1" w:themeShade="BF"/>
              </w:rPr>
            </w:pPr>
            <w:r>
              <w:rPr>
                <w:color w:val="213947"/>
                <w:sz w:val="15"/>
              </w:rPr>
              <w:t>449条分箱记录</w:t>
            </w:r>
          </w:p>
        </w:tc>
        <w:tc>
          <w:tcPr>
            <w:tcW w:w="4752" w:type="dxa"/>
            <w:vAlign w:val="center"/>
          </w:tcPr>
          <w:p>
            <w:pPr>
              <w:spacing w:after="0"/>
              <w:rPr>
                <w:color w:val="2E54A1" w:themeColor="accent1" w:themeShade="BF"/>
              </w:rPr>
            </w:pPr>
            <w:r>
              <w:rPr>
                <w:color w:val="213947"/>
                <w:sz w:val="15"/>
              </w:rPr>
              <w:t>缺失独立成箱、连续变量最多5个分位箱</w:t>
            </w:r>
          </w:p>
        </w:tc>
      </w:tr>
      <w:tr>
        <w:trPr>
          <w:jc w:val="center"/>
        </w:trPr>
        <w:tc>
          <w:tcPr>
            <w:tcW w:w="1800" w:type="dxa"/>
            <w:shd w:val="clear" w:color="auto" w:fill="F2F6F8"/>
            <w:vAlign w:val="center"/>
          </w:tcPr>
          <w:p>
            <w:pPr>
              <w:spacing w:after="0"/>
              <w:rPr>
                <w:color w:val="2E54A1" w:themeColor="accent1" w:themeShade="BF"/>
              </w:rPr>
            </w:pPr>
            <w:r>
              <w:rPr>
                <w:color w:val="213947"/>
                <w:sz w:val="15"/>
              </w:rPr>
              <w:t>交叉分析</w:t>
            </w:r>
          </w:p>
        </w:tc>
        <w:tc>
          <w:tcPr>
            <w:tcW w:w="2520" w:type="dxa"/>
            <w:shd w:val="clear" w:color="auto" w:fill="F2F6F8"/>
            <w:vAlign w:val="center"/>
          </w:tcPr>
          <w:p>
            <w:pPr>
              <w:spacing w:after="0"/>
              <w:rPr>
                <w:color w:val="2E54A1" w:themeColor="accent1" w:themeShade="BF"/>
              </w:rPr>
            </w:pPr>
            <w:r>
              <w:rPr>
                <w:color w:val="213947"/>
                <w:sz w:val="15"/>
              </w:rPr>
              <w:t>两变量16组；三变量48组</w:t>
            </w:r>
          </w:p>
        </w:tc>
        <w:tc>
          <w:tcPr>
            <w:tcW w:w="4752" w:type="dxa"/>
            <w:shd w:val="clear" w:color="auto" w:fill="F2F6F8"/>
            <w:vAlign w:val="center"/>
          </w:tcPr>
          <w:p>
            <w:pPr>
              <w:spacing w:after="0"/>
              <w:rPr>
                <w:color w:val="2E54A1" w:themeColor="accent1" w:themeShade="BF"/>
              </w:rPr>
            </w:pPr>
            <w:r>
              <w:rPr>
                <w:color w:val="213947"/>
                <w:sz w:val="15"/>
              </w:rPr>
              <w:t>三变量中36组样本量≥500</w:t>
            </w:r>
          </w:p>
        </w:tc>
      </w:tr>
      <w:tr>
        <w:trPr>
          <w:jc w:val="center"/>
        </w:trPr>
        <w:tc>
          <w:tcPr>
            <w:tcW w:w="1800" w:type="dxa"/>
            <w:vAlign w:val="center"/>
          </w:tcPr>
          <w:p>
            <w:pPr>
              <w:spacing w:after="0"/>
              <w:rPr>
                <w:color w:val="2E54A1" w:themeColor="accent1" w:themeShade="BF"/>
              </w:rPr>
            </w:pPr>
            <w:r>
              <w:rPr>
                <w:color w:val="213947"/>
                <w:sz w:val="15"/>
              </w:rPr>
              <w:t>候选高风险信号</w:t>
            </w:r>
          </w:p>
        </w:tc>
        <w:tc>
          <w:tcPr>
            <w:tcW w:w="2520" w:type="dxa"/>
            <w:vAlign w:val="center"/>
          </w:tcPr>
          <w:p>
            <w:pPr>
              <w:spacing w:after="0"/>
              <w:rPr>
                <w:color w:val="2E54A1" w:themeColor="accent1" w:themeShade="BF"/>
              </w:rPr>
            </w:pPr>
            <w:r>
              <w:rPr>
                <w:color w:val="213947"/>
                <w:sz w:val="15"/>
              </w:rPr>
              <w:t>10组达到预设的探索筛查门槛</w:t>
            </w:r>
          </w:p>
        </w:tc>
        <w:tc>
          <w:tcPr>
            <w:tcW w:w="4752" w:type="dxa"/>
            <w:vAlign w:val="center"/>
          </w:tcPr>
          <w:p>
            <w:pPr>
              <w:spacing w:after="0"/>
              <w:rPr>
                <w:color w:val="2E54A1" w:themeColor="accent1" w:themeShade="BF"/>
              </w:rPr>
            </w:pPr>
            <w:r>
              <w:rPr>
                <w:color w:val="213947"/>
                <w:sz w:val="15"/>
              </w:rPr>
              <w:t>不是模型或已验证的授信决策阈值</w:t>
            </w:r>
          </w:p>
        </w:tc>
      </w:tr>
    </w:tbl>
    <w:p>
      <w:pPr>
        <w:spacing w:after="20"/>
      </w:pPr>
    </w:p>
    <w:p>
      <w:pPr>
        <w:spacing w:after="120"/>
      </w:pPr>
      <w:r>
        <w:t>口径：对数值字段作等频分箱（通常5组；离散值≤5个时按取值分组），缺失独立为 Missing。DAYS_EMPLOYED=365243 视为缺失的特殊业务代码；所有分箱边界仅根据当前变量值确定，不使用TARGET。若分位点高度重复则自动合并箱。</w:t>
      </w:r>
    </w:p>
    <w:p>
      <w:pPr>
        <w:spacing w:after="120"/>
      </w:pPr>
      <w:r>
        <w:t>令 B=TARGET=1、G=TARGET=0。对每箱好样本/坏样本人数各加0.5平滑，计算 WOE=ln(平滑后G分布占比÷平滑后B分布占比)，IV=Σ[(G分布占比−B分布占比)×WOE]。WOE为负通常意味着坏标签相对集中。平滑后的WOE及IV依然属于样本内关联描述。</w:t>
      </w:r>
    </w:p>
    <w:p>
      <w:pPr>
        <w:pStyle w:val="3"/>
        <w:spacing w:before="240" w:after="140"/>
      </w:pPr>
      <w:r>
        <w:t>A.2 全部数值变量 IV 排序与独立性检查</w:t>
      </w:r>
    </w:p>
    <w:tbl>
      <w:tblPr>
        <w:tblStyle w:val="10"/>
        <w:tblW w:w="0" w:type="auto"/>
        <w:jc w:val="center"/>
        <w:tblBorders>
          <w:top w:val="single" w:color="4874CB" w:themeColor="accent1" w:sz="8" w:space="0"/>
          <w:left w:val="none" w:color="auto" w:sz="0" w:space="0"/>
          <w:bottom w:val="single" w:color="4874CB"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
        <w:gridCol w:w="3269"/>
        <w:gridCol w:w="936"/>
        <w:gridCol w:w="1210"/>
        <w:gridCol w:w="1886"/>
      </w:tblGrid>
      <w:tr>
        <w:trPr>
          <w:jc w:val="center"/>
        </w:trPr>
        <w:tc>
          <w:tcPr>
            <w:tcW w:w="749" w:type="dxa"/>
            <w:shd w:val="clear" w:color="auto" w:fill="173E51"/>
            <w:vAlign w:val="center"/>
          </w:tcPr>
          <w:p>
            <w:pPr>
              <w:spacing w:after="0"/>
              <w:rPr>
                <w:color w:val="2E54A1" w:themeColor="accent1" w:themeShade="BF"/>
              </w:rPr>
            </w:pPr>
            <w:r>
              <w:rPr>
                <w:b/>
                <w:color w:val="FFFFFF"/>
                <w:sz w:val="16"/>
              </w:rPr>
              <w:t>排名</w:t>
            </w:r>
          </w:p>
        </w:tc>
        <w:tc>
          <w:tcPr>
            <w:tcW w:w="3269" w:type="dxa"/>
            <w:shd w:val="clear" w:color="auto" w:fill="173E51"/>
            <w:vAlign w:val="center"/>
          </w:tcPr>
          <w:p>
            <w:pPr>
              <w:spacing w:after="0"/>
              <w:rPr>
                <w:color w:val="2E54A1" w:themeColor="accent1" w:themeShade="BF"/>
              </w:rPr>
            </w:pPr>
            <w:r>
              <w:rPr>
                <w:b/>
                <w:color w:val="FFFFFF"/>
                <w:sz w:val="16"/>
              </w:rPr>
              <w:t>变量</w:t>
            </w:r>
          </w:p>
        </w:tc>
        <w:tc>
          <w:tcPr>
            <w:tcW w:w="936" w:type="dxa"/>
            <w:shd w:val="clear" w:color="auto" w:fill="173E51"/>
            <w:vAlign w:val="center"/>
          </w:tcPr>
          <w:p>
            <w:pPr>
              <w:spacing w:after="0"/>
              <w:rPr>
                <w:color w:val="2E54A1" w:themeColor="accent1" w:themeShade="BF"/>
              </w:rPr>
            </w:pPr>
            <w:r>
              <w:rPr>
                <w:b/>
                <w:color w:val="FFFFFF"/>
                <w:sz w:val="16"/>
              </w:rPr>
              <w:t>IV</w:t>
            </w:r>
          </w:p>
        </w:tc>
        <w:tc>
          <w:tcPr>
            <w:tcW w:w="1210" w:type="dxa"/>
            <w:shd w:val="clear" w:color="auto" w:fill="173E51"/>
            <w:vAlign w:val="center"/>
          </w:tcPr>
          <w:p>
            <w:pPr>
              <w:spacing w:after="0"/>
              <w:rPr>
                <w:color w:val="2E54A1" w:themeColor="accent1" w:themeShade="BF"/>
              </w:rPr>
            </w:pPr>
            <w:r>
              <w:rPr>
                <w:b/>
                <w:color w:val="FFFFFF"/>
                <w:sz w:val="16"/>
              </w:rPr>
              <w:t>缺失率</w:t>
            </w:r>
          </w:p>
        </w:tc>
        <w:tc>
          <w:tcPr>
            <w:tcW w:w="1886" w:type="dxa"/>
            <w:shd w:val="clear" w:color="auto" w:fill="173E51"/>
            <w:vAlign w:val="center"/>
          </w:tcPr>
          <w:p>
            <w:pPr>
              <w:spacing w:after="0"/>
              <w:rPr>
                <w:color w:val="2E54A1" w:themeColor="accent1" w:themeShade="BF"/>
              </w:rPr>
            </w:pPr>
            <w:r>
              <w:rPr>
                <w:b/>
                <w:color w:val="FFFFFF"/>
                <w:sz w:val="16"/>
              </w:rPr>
              <w:t>最小箱样本量</w:t>
            </w:r>
          </w:p>
        </w:tc>
      </w:tr>
      <w:tr>
        <w:trPr>
          <w:jc w:val="center"/>
        </w:trPr>
        <w:tc>
          <w:tcPr>
            <w:tcW w:w="749" w:type="dxa"/>
            <w:vAlign w:val="center"/>
          </w:tcPr>
          <w:p>
            <w:pPr>
              <w:spacing w:after="0"/>
              <w:rPr>
                <w:color w:val="2E54A1" w:themeColor="accent1" w:themeShade="BF"/>
              </w:rPr>
            </w:pPr>
            <w:r>
              <w:rPr>
                <w:color w:val="213947"/>
                <w:sz w:val="15"/>
              </w:rPr>
              <w:t>1</w:t>
            </w:r>
          </w:p>
        </w:tc>
        <w:tc>
          <w:tcPr>
            <w:tcW w:w="3269" w:type="dxa"/>
            <w:vAlign w:val="center"/>
          </w:tcPr>
          <w:p>
            <w:pPr>
              <w:spacing w:after="0"/>
              <w:rPr>
                <w:color w:val="2E54A1" w:themeColor="accent1" w:themeShade="BF"/>
              </w:rPr>
            </w:pPr>
            <w:r>
              <w:rPr>
                <w:color w:val="213947"/>
                <w:sz w:val="15"/>
              </w:rPr>
              <w:t>EXT_SOURCE_3</w:t>
            </w:r>
          </w:p>
        </w:tc>
        <w:tc>
          <w:tcPr>
            <w:tcW w:w="936" w:type="dxa"/>
            <w:vAlign w:val="center"/>
          </w:tcPr>
          <w:p>
            <w:pPr>
              <w:spacing w:after="0"/>
              <w:rPr>
                <w:color w:val="2E54A1" w:themeColor="accent1" w:themeShade="BF"/>
              </w:rPr>
            </w:pPr>
            <w:r>
              <w:rPr>
                <w:color w:val="213947"/>
                <w:sz w:val="15"/>
              </w:rPr>
              <w:t>0.3095</w:t>
            </w:r>
          </w:p>
        </w:tc>
        <w:tc>
          <w:tcPr>
            <w:tcW w:w="1210" w:type="dxa"/>
            <w:vAlign w:val="center"/>
          </w:tcPr>
          <w:p>
            <w:pPr>
              <w:spacing w:after="0"/>
              <w:rPr>
                <w:color w:val="2E54A1" w:themeColor="accent1" w:themeShade="BF"/>
              </w:rPr>
            </w:pPr>
            <w:r>
              <w:rPr>
                <w:color w:val="213947"/>
                <w:sz w:val="15"/>
              </w:rPr>
              <w:t>19.8%</w:t>
            </w:r>
          </w:p>
        </w:tc>
        <w:tc>
          <w:tcPr>
            <w:tcW w:w="1886" w:type="dxa"/>
            <w:vAlign w:val="center"/>
          </w:tcPr>
          <w:p>
            <w:pPr>
              <w:spacing w:after="0"/>
              <w:rPr>
                <w:color w:val="2E54A1" w:themeColor="accent1" w:themeShade="BF"/>
              </w:rPr>
            </w:pPr>
            <w:r>
              <w:rPr>
                <w:color w:val="213947"/>
                <w:sz w:val="15"/>
              </w:rPr>
              <w:t>48,307</w:t>
            </w:r>
          </w:p>
        </w:tc>
      </w:tr>
      <w:tr>
        <w:trPr>
          <w:jc w:val="center"/>
        </w:trPr>
        <w:tc>
          <w:tcPr>
            <w:tcW w:w="749" w:type="dxa"/>
            <w:shd w:val="clear" w:color="auto" w:fill="F2F6F8"/>
            <w:vAlign w:val="center"/>
          </w:tcPr>
          <w:p>
            <w:pPr>
              <w:spacing w:after="0"/>
              <w:rPr>
                <w:color w:val="2E54A1" w:themeColor="accent1" w:themeShade="BF"/>
              </w:rPr>
            </w:pPr>
            <w:r>
              <w:rPr>
                <w:color w:val="213947"/>
                <w:sz w:val="15"/>
              </w:rPr>
              <w:t>2</w:t>
            </w:r>
          </w:p>
        </w:tc>
        <w:tc>
          <w:tcPr>
            <w:tcW w:w="3269" w:type="dxa"/>
            <w:shd w:val="clear" w:color="auto" w:fill="F2F6F8"/>
            <w:vAlign w:val="center"/>
          </w:tcPr>
          <w:p>
            <w:pPr>
              <w:spacing w:after="0"/>
              <w:rPr>
                <w:color w:val="2E54A1" w:themeColor="accent1" w:themeShade="BF"/>
              </w:rPr>
            </w:pPr>
            <w:r>
              <w:rPr>
                <w:color w:val="213947"/>
                <w:sz w:val="15"/>
              </w:rPr>
              <w:t>EXT_SOURCE_2</w:t>
            </w:r>
          </w:p>
        </w:tc>
        <w:tc>
          <w:tcPr>
            <w:tcW w:w="936" w:type="dxa"/>
            <w:shd w:val="clear" w:color="auto" w:fill="F2F6F8"/>
            <w:vAlign w:val="center"/>
          </w:tcPr>
          <w:p>
            <w:pPr>
              <w:spacing w:after="0"/>
              <w:rPr>
                <w:color w:val="2E54A1" w:themeColor="accent1" w:themeShade="BF"/>
              </w:rPr>
            </w:pPr>
            <w:r>
              <w:rPr>
                <w:color w:val="213947"/>
                <w:sz w:val="15"/>
              </w:rPr>
              <w:t>0.2808</w:t>
            </w:r>
          </w:p>
        </w:tc>
        <w:tc>
          <w:tcPr>
            <w:tcW w:w="1210" w:type="dxa"/>
            <w:shd w:val="clear" w:color="auto" w:fill="F2F6F8"/>
            <w:vAlign w:val="center"/>
          </w:tcPr>
          <w:p>
            <w:pPr>
              <w:spacing w:after="0"/>
              <w:rPr>
                <w:color w:val="2E54A1" w:themeColor="accent1" w:themeShade="BF"/>
              </w:rPr>
            </w:pPr>
            <w:r>
              <w:rPr>
                <w:color w:val="213947"/>
                <w:sz w:val="15"/>
              </w:rPr>
              <w:t>0.2%</w:t>
            </w:r>
          </w:p>
        </w:tc>
        <w:tc>
          <w:tcPr>
            <w:tcW w:w="1886" w:type="dxa"/>
            <w:shd w:val="clear" w:color="auto" w:fill="F2F6F8"/>
            <w:vAlign w:val="center"/>
          </w:tcPr>
          <w:p>
            <w:pPr>
              <w:spacing w:after="0"/>
              <w:rPr>
                <w:color w:val="2E54A1" w:themeColor="accent1" w:themeShade="BF"/>
              </w:rPr>
            </w:pPr>
            <w:r>
              <w:rPr>
                <w:color w:val="213947"/>
                <w:sz w:val="15"/>
              </w:rPr>
              <w:t>660</w:t>
            </w:r>
          </w:p>
        </w:tc>
      </w:tr>
      <w:tr>
        <w:trPr>
          <w:jc w:val="center"/>
        </w:trPr>
        <w:tc>
          <w:tcPr>
            <w:tcW w:w="749" w:type="dxa"/>
            <w:vAlign w:val="center"/>
          </w:tcPr>
          <w:p>
            <w:pPr>
              <w:spacing w:after="0"/>
              <w:rPr>
                <w:color w:val="2E54A1" w:themeColor="accent1" w:themeShade="BF"/>
              </w:rPr>
            </w:pPr>
            <w:r>
              <w:rPr>
                <w:color w:val="213947"/>
                <w:sz w:val="15"/>
              </w:rPr>
              <w:t>3</w:t>
            </w:r>
          </w:p>
        </w:tc>
        <w:tc>
          <w:tcPr>
            <w:tcW w:w="3269" w:type="dxa"/>
            <w:vAlign w:val="center"/>
          </w:tcPr>
          <w:p>
            <w:pPr>
              <w:spacing w:after="0"/>
              <w:rPr>
                <w:color w:val="2E54A1" w:themeColor="accent1" w:themeShade="BF"/>
              </w:rPr>
            </w:pPr>
            <w:r>
              <w:rPr>
                <w:color w:val="213947"/>
                <w:sz w:val="15"/>
              </w:rPr>
              <w:t>EXT_SOURCE_1</w:t>
            </w:r>
          </w:p>
        </w:tc>
        <w:tc>
          <w:tcPr>
            <w:tcW w:w="936" w:type="dxa"/>
            <w:vAlign w:val="center"/>
          </w:tcPr>
          <w:p>
            <w:pPr>
              <w:spacing w:after="0"/>
              <w:rPr>
                <w:color w:val="2E54A1" w:themeColor="accent1" w:themeShade="BF"/>
              </w:rPr>
            </w:pPr>
            <w:r>
              <w:rPr>
                <w:color w:val="213947"/>
                <w:sz w:val="15"/>
              </w:rPr>
              <w:t>0.1414</w:t>
            </w:r>
          </w:p>
        </w:tc>
        <w:tc>
          <w:tcPr>
            <w:tcW w:w="1210" w:type="dxa"/>
            <w:vAlign w:val="center"/>
          </w:tcPr>
          <w:p>
            <w:pPr>
              <w:spacing w:after="0"/>
              <w:rPr>
                <w:color w:val="2E54A1" w:themeColor="accent1" w:themeShade="BF"/>
              </w:rPr>
            </w:pPr>
            <w:r>
              <w:rPr>
                <w:color w:val="213947"/>
                <w:sz w:val="15"/>
              </w:rPr>
              <w:t>56.4%</w:t>
            </w:r>
          </w:p>
        </w:tc>
        <w:tc>
          <w:tcPr>
            <w:tcW w:w="1886" w:type="dxa"/>
            <w:vAlign w:val="center"/>
          </w:tcPr>
          <w:p>
            <w:pPr>
              <w:spacing w:after="0"/>
              <w:rPr>
                <w:color w:val="2E54A1" w:themeColor="accent1" w:themeShade="BF"/>
              </w:rPr>
            </w:pPr>
            <w:r>
              <w:rPr>
                <w:color w:val="213947"/>
                <w:sz w:val="15"/>
              </w:rPr>
              <w:t>26,826</w:t>
            </w:r>
          </w:p>
        </w:tc>
      </w:tr>
      <w:tr>
        <w:trPr>
          <w:jc w:val="center"/>
        </w:trPr>
        <w:tc>
          <w:tcPr>
            <w:tcW w:w="749" w:type="dxa"/>
            <w:shd w:val="clear" w:color="auto" w:fill="F2F6F8"/>
            <w:vAlign w:val="center"/>
          </w:tcPr>
          <w:p>
            <w:pPr>
              <w:spacing w:after="0"/>
              <w:rPr>
                <w:color w:val="2E54A1" w:themeColor="accent1" w:themeShade="BF"/>
              </w:rPr>
            </w:pPr>
            <w:r>
              <w:rPr>
                <w:color w:val="213947"/>
                <w:sz w:val="15"/>
              </w:rPr>
              <w:t>4</w:t>
            </w:r>
          </w:p>
        </w:tc>
        <w:tc>
          <w:tcPr>
            <w:tcW w:w="3269" w:type="dxa"/>
            <w:shd w:val="clear" w:color="auto" w:fill="F2F6F8"/>
            <w:vAlign w:val="center"/>
          </w:tcPr>
          <w:p>
            <w:pPr>
              <w:spacing w:after="0"/>
              <w:rPr>
                <w:color w:val="2E54A1" w:themeColor="accent1" w:themeShade="BF"/>
              </w:rPr>
            </w:pPr>
            <w:r>
              <w:rPr>
                <w:color w:val="213947"/>
                <w:sz w:val="15"/>
              </w:rPr>
              <w:t>DAYS_EMPLOYED</w:t>
            </w:r>
          </w:p>
        </w:tc>
        <w:tc>
          <w:tcPr>
            <w:tcW w:w="936" w:type="dxa"/>
            <w:shd w:val="clear" w:color="auto" w:fill="F2F6F8"/>
            <w:vAlign w:val="center"/>
          </w:tcPr>
          <w:p>
            <w:pPr>
              <w:spacing w:after="0"/>
              <w:rPr>
                <w:color w:val="2E54A1" w:themeColor="accent1" w:themeShade="BF"/>
              </w:rPr>
            </w:pPr>
            <w:r>
              <w:rPr>
                <w:color w:val="213947"/>
                <w:sz w:val="15"/>
              </w:rPr>
              <w:t>0.1074</w:t>
            </w:r>
          </w:p>
        </w:tc>
        <w:tc>
          <w:tcPr>
            <w:tcW w:w="1210" w:type="dxa"/>
            <w:shd w:val="clear" w:color="auto" w:fill="F2F6F8"/>
            <w:vAlign w:val="center"/>
          </w:tcPr>
          <w:p>
            <w:pPr>
              <w:spacing w:after="0"/>
              <w:rPr>
                <w:color w:val="2E54A1" w:themeColor="accent1" w:themeShade="BF"/>
              </w:rPr>
            </w:pPr>
            <w:r>
              <w:rPr>
                <w:color w:val="213947"/>
                <w:sz w:val="15"/>
              </w:rPr>
              <w:t>18.0%</w:t>
            </w:r>
          </w:p>
        </w:tc>
        <w:tc>
          <w:tcPr>
            <w:tcW w:w="1886" w:type="dxa"/>
            <w:shd w:val="clear" w:color="auto" w:fill="F2F6F8"/>
            <w:vAlign w:val="center"/>
          </w:tcPr>
          <w:p>
            <w:pPr>
              <w:spacing w:after="0"/>
              <w:rPr>
                <w:color w:val="2E54A1" w:themeColor="accent1" w:themeShade="BF"/>
              </w:rPr>
            </w:pPr>
            <w:r>
              <w:rPr>
                <w:color w:val="213947"/>
                <w:sz w:val="15"/>
              </w:rPr>
              <w:t>50,411</w:t>
            </w:r>
          </w:p>
        </w:tc>
      </w:tr>
      <w:tr>
        <w:trPr>
          <w:jc w:val="center"/>
        </w:trPr>
        <w:tc>
          <w:tcPr>
            <w:tcW w:w="749" w:type="dxa"/>
            <w:vAlign w:val="center"/>
          </w:tcPr>
          <w:p>
            <w:pPr>
              <w:spacing w:after="0"/>
              <w:rPr>
                <w:color w:val="2E54A1" w:themeColor="accent1" w:themeShade="BF"/>
              </w:rPr>
            </w:pPr>
            <w:r>
              <w:rPr>
                <w:color w:val="213947"/>
                <w:sz w:val="15"/>
              </w:rPr>
              <w:t>5</w:t>
            </w:r>
          </w:p>
        </w:tc>
        <w:tc>
          <w:tcPr>
            <w:tcW w:w="3269" w:type="dxa"/>
            <w:vAlign w:val="center"/>
          </w:tcPr>
          <w:p>
            <w:pPr>
              <w:spacing w:after="0"/>
              <w:rPr>
                <w:color w:val="2E54A1" w:themeColor="accent1" w:themeShade="BF"/>
              </w:rPr>
            </w:pPr>
            <w:r>
              <w:rPr>
                <w:color w:val="213947"/>
                <w:sz w:val="15"/>
              </w:rPr>
              <w:t>EMPLOYMENT_YEARS</w:t>
            </w:r>
          </w:p>
        </w:tc>
        <w:tc>
          <w:tcPr>
            <w:tcW w:w="936" w:type="dxa"/>
            <w:vAlign w:val="center"/>
          </w:tcPr>
          <w:p>
            <w:pPr>
              <w:spacing w:after="0"/>
              <w:rPr>
                <w:color w:val="2E54A1" w:themeColor="accent1" w:themeShade="BF"/>
              </w:rPr>
            </w:pPr>
            <w:r>
              <w:rPr>
                <w:color w:val="213947"/>
                <w:sz w:val="15"/>
              </w:rPr>
              <w:t>0.1073</w:t>
            </w:r>
          </w:p>
        </w:tc>
        <w:tc>
          <w:tcPr>
            <w:tcW w:w="1210" w:type="dxa"/>
            <w:vAlign w:val="center"/>
          </w:tcPr>
          <w:p>
            <w:pPr>
              <w:spacing w:after="0"/>
              <w:rPr>
                <w:color w:val="2E54A1" w:themeColor="accent1" w:themeShade="BF"/>
              </w:rPr>
            </w:pPr>
            <w:r>
              <w:rPr>
                <w:color w:val="213947"/>
                <w:sz w:val="15"/>
              </w:rPr>
              <w:t>18.0%</w:t>
            </w:r>
          </w:p>
        </w:tc>
        <w:tc>
          <w:tcPr>
            <w:tcW w:w="1886" w:type="dxa"/>
            <w:vAlign w:val="center"/>
          </w:tcPr>
          <w:p>
            <w:pPr>
              <w:spacing w:after="0"/>
              <w:rPr>
                <w:color w:val="2E54A1" w:themeColor="accent1" w:themeShade="BF"/>
              </w:rPr>
            </w:pPr>
            <w:r>
              <w:rPr>
                <w:color w:val="213947"/>
                <w:sz w:val="15"/>
              </w:rPr>
              <w:t>50,390</w:t>
            </w:r>
          </w:p>
        </w:tc>
      </w:tr>
      <w:tr>
        <w:trPr>
          <w:jc w:val="center"/>
        </w:trPr>
        <w:tc>
          <w:tcPr>
            <w:tcW w:w="749" w:type="dxa"/>
            <w:shd w:val="clear" w:color="auto" w:fill="F2F6F8"/>
            <w:vAlign w:val="center"/>
          </w:tcPr>
          <w:p>
            <w:pPr>
              <w:spacing w:after="0"/>
              <w:rPr>
                <w:color w:val="2E54A1" w:themeColor="accent1" w:themeShade="BF"/>
              </w:rPr>
            </w:pPr>
            <w:r>
              <w:rPr>
                <w:color w:val="213947"/>
                <w:sz w:val="15"/>
              </w:rPr>
              <w:t>6</w:t>
            </w:r>
          </w:p>
        </w:tc>
        <w:tc>
          <w:tcPr>
            <w:tcW w:w="3269" w:type="dxa"/>
            <w:shd w:val="clear" w:color="auto" w:fill="F2F6F8"/>
            <w:vAlign w:val="center"/>
          </w:tcPr>
          <w:p>
            <w:pPr>
              <w:spacing w:after="0"/>
              <w:rPr>
                <w:color w:val="2E54A1" w:themeColor="accent1" w:themeShade="BF"/>
              </w:rPr>
            </w:pPr>
            <w:r>
              <w:rPr>
                <w:color w:val="213947"/>
                <w:sz w:val="15"/>
              </w:rPr>
              <w:t>DAYS_BIRTH</w:t>
            </w:r>
          </w:p>
        </w:tc>
        <w:tc>
          <w:tcPr>
            <w:tcW w:w="936" w:type="dxa"/>
            <w:shd w:val="clear" w:color="auto" w:fill="F2F6F8"/>
            <w:vAlign w:val="center"/>
          </w:tcPr>
          <w:p>
            <w:pPr>
              <w:spacing w:after="0"/>
              <w:rPr>
                <w:color w:val="2E54A1" w:themeColor="accent1" w:themeShade="BF"/>
              </w:rPr>
            </w:pPr>
            <w:r>
              <w:rPr>
                <w:color w:val="213947"/>
                <w:sz w:val="15"/>
              </w:rPr>
              <w:t>0.0821</w:t>
            </w:r>
          </w:p>
        </w:tc>
        <w:tc>
          <w:tcPr>
            <w:tcW w:w="1210" w:type="dxa"/>
            <w:shd w:val="clear" w:color="auto" w:fill="F2F6F8"/>
            <w:vAlign w:val="center"/>
          </w:tcPr>
          <w:p>
            <w:pPr>
              <w:spacing w:after="0"/>
              <w:rPr>
                <w:color w:val="2E54A1" w:themeColor="accent1" w:themeShade="BF"/>
              </w:rPr>
            </w:pPr>
            <w:r>
              <w:rPr>
                <w:color w:val="213947"/>
                <w:sz w:val="15"/>
              </w:rPr>
              <w:t>0.0%</w:t>
            </w:r>
          </w:p>
        </w:tc>
        <w:tc>
          <w:tcPr>
            <w:tcW w:w="1886" w:type="dxa"/>
            <w:shd w:val="clear" w:color="auto" w:fill="F2F6F8"/>
            <w:vAlign w:val="center"/>
          </w:tcPr>
          <w:p>
            <w:pPr>
              <w:spacing w:after="0"/>
              <w:rPr>
                <w:color w:val="2E54A1" w:themeColor="accent1" w:themeShade="BF"/>
              </w:rPr>
            </w:pPr>
            <w:r>
              <w:rPr>
                <w:color w:val="213947"/>
                <w:sz w:val="15"/>
              </w:rPr>
              <w:t>61,488</w:t>
            </w:r>
          </w:p>
        </w:tc>
      </w:tr>
      <w:tr>
        <w:trPr>
          <w:jc w:val="center"/>
        </w:trPr>
        <w:tc>
          <w:tcPr>
            <w:tcW w:w="749" w:type="dxa"/>
            <w:vAlign w:val="center"/>
          </w:tcPr>
          <w:p>
            <w:pPr>
              <w:spacing w:after="0"/>
              <w:rPr>
                <w:color w:val="2E54A1" w:themeColor="accent1" w:themeShade="BF"/>
              </w:rPr>
            </w:pPr>
            <w:r>
              <w:rPr>
                <w:color w:val="213947"/>
                <w:sz w:val="15"/>
              </w:rPr>
              <w:t>7</w:t>
            </w:r>
          </w:p>
        </w:tc>
        <w:tc>
          <w:tcPr>
            <w:tcW w:w="3269" w:type="dxa"/>
            <w:vAlign w:val="center"/>
          </w:tcPr>
          <w:p>
            <w:pPr>
              <w:spacing w:after="0"/>
              <w:rPr>
                <w:color w:val="2E54A1" w:themeColor="accent1" w:themeShade="BF"/>
              </w:rPr>
            </w:pPr>
            <w:r>
              <w:rPr>
                <w:color w:val="213947"/>
                <w:sz w:val="15"/>
              </w:rPr>
              <w:t>AGE_YEARS</w:t>
            </w:r>
          </w:p>
        </w:tc>
        <w:tc>
          <w:tcPr>
            <w:tcW w:w="936" w:type="dxa"/>
            <w:vAlign w:val="center"/>
          </w:tcPr>
          <w:p>
            <w:pPr>
              <w:spacing w:after="0"/>
              <w:rPr>
                <w:color w:val="2E54A1" w:themeColor="accent1" w:themeShade="BF"/>
              </w:rPr>
            </w:pPr>
            <w:r>
              <w:rPr>
                <w:color w:val="213947"/>
                <w:sz w:val="15"/>
              </w:rPr>
              <w:t>0.0821</w:t>
            </w:r>
          </w:p>
        </w:tc>
        <w:tc>
          <w:tcPr>
            <w:tcW w:w="1210" w:type="dxa"/>
            <w:vAlign w:val="center"/>
          </w:tcPr>
          <w:p>
            <w:pPr>
              <w:spacing w:after="0"/>
              <w:rPr>
                <w:color w:val="2E54A1" w:themeColor="accent1" w:themeShade="BF"/>
              </w:rPr>
            </w:pPr>
            <w:r>
              <w:rPr>
                <w:color w:val="213947"/>
                <w:sz w:val="15"/>
              </w:rPr>
              <w:t>0.0%</w:t>
            </w:r>
          </w:p>
        </w:tc>
        <w:tc>
          <w:tcPr>
            <w:tcW w:w="1886" w:type="dxa"/>
            <w:vAlign w:val="center"/>
          </w:tcPr>
          <w:p>
            <w:pPr>
              <w:spacing w:after="0"/>
              <w:rPr>
                <w:color w:val="2E54A1" w:themeColor="accent1" w:themeShade="BF"/>
              </w:rPr>
            </w:pPr>
            <w:r>
              <w:rPr>
                <w:color w:val="213947"/>
                <w:sz w:val="15"/>
              </w:rPr>
              <w:t>61,491</w:t>
            </w:r>
          </w:p>
        </w:tc>
      </w:tr>
      <w:tr>
        <w:trPr>
          <w:jc w:val="center"/>
        </w:trPr>
        <w:tc>
          <w:tcPr>
            <w:tcW w:w="749" w:type="dxa"/>
            <w:shd w:val="clear" w:color="auto" w:fill="F2F6F8"/>
            <w:vAlign w:val="center"/>
          </w:tcPr>
          <w:p>
            <w:pPr>
              <w:spacing w:after="0"/>
              <w:rPr>
                <w:color w:val="2E54A1" w:themeColor="accent1" w:themeShade="BF"/>
              </w:rPr>
            </w:pPr>
            <w:r>
              <w:rPr>
                <w:color w:val="213947"/>
                <w:sz w:val="15"/>
              </w:rPr>
              <w:t>8</w:t>
            </w:r>
          </w:p>
        </w:tc>
        <w:tc>
          <w:tcPr>
            <w:tcW w:w="3269" w:type="dxa"/>
            <w:shd w:val="clear" w:color="auto" w:fill="F2F6F8"/>
            <w:vAlign w:val="center"/>
          </w:tcPr>
          <w:p>
            <w:pPr>
              <w:spacing w:after="0"/>
              <w:rPr>
                <w:color w:val="2E54A1" w:themeColor="accent1" w:themeShade="BF"/>
              </w:rPr>
            </w:pPr>
            <w:r>
              <w:rPr>
                <w:color w:val="213947"/>
                <w:sz w:val="15"/>
              </w:rPr>
              <w:t>REGION_RATING_CLIENT_W_CITY</w:t>
            </w:r>
          </w:p>
        </w:tc>
        <w:tc>
          <w:tcPr>
            <w:tcW w:w="936" w:type="dxa"/>
            <w:shd w:val="clear" w:color="auto" w:fill="F2F6F8"/>
            <w:vAlign w:val="center"/>
          </w:tcPr>
          <w:p>
            <w:pPr>
              <w:spacing w:after="0"/>
              <w:rPr>
                <w:color w:val="2E54A1" w:themeColor="accent1" w:themeShade="BF"/>
              </w:rPr>
            </w:pPr>
            <w:r>
              <w:rPr>
                <w:color w:val="213947"/>
                <w:sz w:val="15"/>
              </w:rPr>
              <w:t>0.0512</w:t>
            </w:r>
          </w:p>
        </w:tc>
        <w:tc>
          <w:tcPr>
            <w:tcW w:w="1210" w:type="dxa"/>
            <w:shd w:val="clear" w:color="auto" w:fill="F2F6F8"/>
            <w:vAlign w:val="center"/>
          </w:tcPr>
          <w:p>
            <w:pPr>
              <w:spacing w:after="0"/>
              <w:rPr>
                <w:color w:val="2E54A1" w:themeColor="accent1" w:themeShade="BF"/>
              </w:rPr>
            </w:pPr>
            <w:r>
              <w:rPr>
                <w:color w:val="213947"/>
                <w:sz w:val="15"/>
              </w:rPr>
              <w:t>0.0%</w:t>
            </w:r>
          </w:p>
        </w:tc>
        <w:tc>
          <w:tcPr>
            <w:tcW w:w="1886" w:type="dxa"/>
            <w:shd w:val="clear" w:color="auto" w:fill="F2F6F8"/>
            <w:vAlign w:val="center"/>
          </w:tcPr>
          <w:p>
            <w:pPr>
              <w:spacing w:after="0"/>
              <w:rPr>
                <w:color w:val="2E54A1" w:themeColor="accent1" w:themeShade="BF"/>
              </w:rPr>
            </w:pPr>
            <w:r>
              <w:rPr>
                <w:color w:val="213947"/>
                <w:sz w:val="15"/>
              </w:rPr>
              <w:t>34,167</w:t>
            </w:r>
          </w:p>
        </w:tc>
      </w:tr>
      <w:tr>
        <w:trPr>
          <w:jc w:val="center"/>
        </w:trPr>
        <w:tc>
          <w:tcPr>
            <w:tcW w:w="749" w:type="dxa"/>
            <w:vAlign w:val="center"/>
          </w:tcPr>
          <w:p>
            <w:pPr>
              <w:spacing w:after="0"/>
              <w:rPr>
                <w:color w:val="2E54A1" w:themeColor="accent1" w:themeShade="BF"/>
              </w:rPr>
            </w:pPr>
            <w:r>
              <w:rPr>
                <w:color w:val="213947"/>
                <w:sz w:val="15"/>
              </w:rPr>
              <w:t>9</w:t>
            </w:r>
          </w:p>
        </w:tc>
        <w:tc>
          <w:tcPr>
            <w:tcW w:w="3269" w:type="dxa"/>
            <w:vAlign w:val="center"/>
          </w:tcPr>
          <w:p>
            <w:pPr>
              <w:spacing w:after="0"/>
              <w:rPr>
                <w:color w:val="2E54A1" w:themeColor="accent1" w:themeShade="BF"/>
              </w:rPr>
            </w:pPr>
            <w:r>
              <w:rPr>
                <w:color w:val="213947"/>
                <w:sz w:val="15"/>
              </w:rPr>
              <w:t>REGION_RATING_CLIENT</w:t>
            </w:r>
          </w:p>
        </w:tc>
        <w:tc>
          <w:tcPr>
            <w:tcW w:w="936" w:type="dxa"/>
            <w:vAlign w:val="center"/>
          </w:tcPr>
          <w:p>
            <w:pPr>
              <w:spacing w:after="0"/>
              <w:rPr>
                <w:color w:val="2E54A1" w:themeColor="accent1" w:themeShade="BF"/>
              </w:rPr>
            </w:pPr>
            <w:r>
              <w:rPr>
                <w:color w:val="213947"/>
                <w:sz w:val="15"/>
              </w:rPr>
              <w:t>0.0483</w:t>
            </w:r>
          </w:p>
        </w:tc>
        <w:tc>
          <w:tcPr>
            <w:tcW w:w="1210" w:type="dxa"/>
            <w:vAlign w:val="center"/>
          </w:tcPr>
          <w:p>
            <w:pPr>
              <w:spacing w:after="0"/>
              <w:rPr>
                <w:color w:val="2E54A1" w:themeColor="accent1" w:themeShade="BF"/>
              </w:rPr>
            </w:pPr>
            <w:r>
              <w:rPr>
                <w:color w:val="213947"/>
                <w:sz w:val="15"/>
              </w:rPr>
              <w:t>0.0%</w:t>
            </w:r>
          </w:p>
        </w:tc>
        <w:tc>
          <w:tcPr>
            <w:tcW w:w="1886" w:type="dxa"/>
            <w:vAlign w:val="center"/>
          </w:tcPr>
          <w:p>
            <w:pPr>
              <w:spacing w:after="0"/>
              <w:rPr>
                <w:color w:val="2E54A1" w:themeColor="accent1" w:themeShade="BF"/>
              </w:rPr>
            </w:pPr>
            <w:r>
              <w:rPr>
                <w:color w:val="213947"/>
                <w:sz w:val="15"/>
              </w:rPr>
              <w:t>32,197</w:t>
            </w:r>
          </w:p>
        </w:tc>
      </w:tr>
      <w:tr>
        <w:trPr>
          <w:jc w:val="center"/>
        </w:trPr>
        <w:tc>
          <w:tcPr>
            <w:tcW w:w="749" w:type="dxa"/>
            <w:shd w:val="clear" w:color="auto" w:fill="F2F6F8"/>
            <w:vAlign w:val="center"/>
          </w:tcPr>
          <w:p>
            <w:pPr>
              <w:spacing w:after="0"/>
              <w:rPr>
                <w:color w:val="2E54A1" w:themeColor="accent1" w:themeShade="BF"/>
              </w:rPr>
            </w:pPr>
            <w:r>
              <w:rPr>
                <w:color w:val="213947"/>
                <w:sz w:val="15"/>
              </w:rPr>
              <w:t>10</w:t>
            </w:r>
          </w:p>
        </w:tc>
        <w:tc>
          <w:tcPr>
            <w:tcW w:w="3269" w:type="dxa"/>
            <w:shd w:val="clear" w:color="auto" w:fill="F2F6F8"/>
            <w:vAlign w:val="center"/>
          </w:tcPr>
          <w:p>
            <w:pPr>
              <w:spacing w:after="0"/>
              <w:rPr>
                <w:color w:val="2E54A1" w:themeColor="accent1" w:themeShade="BF"/>
              </w:rPr>
            </w:pPr>
            <w:r>
              <w:rPr>
                <w:color w:val="213947"/>
                <w:sz w:val="15"/>
              </w:rPr>
              <w:t>DAYS_LAST_PHONE_CHANGE</w:t>
            </w:r>
          </w:p>
        </w:tc>
        <w:tc>
          <w:tcPr>
            <w:tcW w:w="936" w:type="dxa"/>
            <w:shd w:val="clear" w:color="auto" w:fill="F2F6F8"/>
            <w:vAlign w:val="center"/>
          </w:tcPr>
          <w:p>
            <w:pPr>
              <w:spacing w:after="0"/>
              <w:rPr>
                <w:color w:val="2E54A1" w:themeColor="accent1" w:themeShade="BF"/>
              </w:rPr>
            </w:pPr>
            <w:r>
              <w:rPr>
                <w:color w:val="213947"/>
                <w:sz w:val="15"/>
              </w:rPr>
              <w:t>0.0442</w:t>
            </w:r>
          </w:p>
        </w:tc>
        <w:tc>
          <w:tcPr>
            <w:tcW w:w="1210" w:type="dxa"/>
            <w:shd w:val="clear" w:color="auto" w:fill="F2F6F8"/>
            <w:vAlign w:val="center"/>
          </w:tcPr>
          <w:p>
            <w:pPr>
              <w:spacing w:after="0"/>
              <w:rPr>
                <w:color w:val="2E54A1" w:themeColor="accent1" w:themeShade="BF"/>
              </w:rPr>
            </w:pPr>
            <w:r>
              <w:rPr>
                <w:color w:val="213947"/>
                <w:sz w:val="15"/>
              </w:rPr>
              <w:t>0.0%</w:t>
            </w:r>
          </w:p>
        </w:tc>
        <w:tc>
          <w:tcPr>
            <w:tcW w:w="1886" w:type="dxa"/>
            <w:shd w:val="clear" w:color="auto" w:fill="F2F6F8"/>
            <w:vAlign w:val="center"/>
          </w:tcPr>
          <w:p>
            <w:pPr>
              <w:spacing w:after="0"/>
              <w:rPr>
                <w:color w:val="2E54A1" w:themeColor="accent1" w:themeShade="BF"/>
              </w:rPr>
            </w:pPr>
            <w:r>
              <w:rPr>
                <w:color w:val="213947"/>
                <w:sz w:val="15"/>
              </w:rPr>
              <w:t>1</w:t>
            </w:r>
          </w:p>
        </w:tc>
      </w:tr>
      <w:tr>
        <w:trPr>
          <w:jc w:val="center"/>
        </w:trPr>
        <w:tc>
          <w:tcPr>
            <w:tcW w:w="749" w:type="dxa"/>
            <w:vAlign w:val="center"/>
          </w:tcPr>
          <w:p>
            <w:pPr>
              <w:spacing w:after="0"/>
              <w:rPr>
                <w:color w:val="2E54A1" w:themeColor="accent1" w:themeShade="BF"/>
              </w:rPr>
            </w:pPr>
            <w:r>
              <w:rPr>
                <w:color w:val="213947"/>
                <w:sz w:val="15"/>
              </w:rPr>
              <w:t>11</w:t>
            </w:r>
          </w:p>
        </w:tc>
        <w:tc>
          <w:tcPr>
            <w:tcW w:w="3269" w:type="dxa"/>
            <w:vAlign w:val="center"/>
          </w:tcPr>
          <w:p>
            <w:pPr>
              <w:spacing w:after="0"/>
              <w:rPr>
                <w:color w:val="2E54A1" w:themeColor="accent1" w:themeShade="BF"/>
              </w:rPr>
            </w:pPr>
            <w:r>
              <w:rPr>
                <w:color w:val="213947"/>
                <w:sz w:val="15"/>
              </w:rPr>
              <w:t>AMT_GOODS_PRICE</w:t>
            </w:r>
          </w:p>
        </w:tc>
        <w:tc>
          <w:tcPr>
            <w:tcW w:w="936" w:type="dxa"/>
            <w:vAlign w:val="center"/>
          </w:tcPr>
          <w:p>
            <w:pPr>
              <w:spacing w:after="0"/>
              <w:rPr>
                <w:color w:val="2E54A1" w:themeColor="accent1" w:themeShade="BF"/>
              </w:rPr>
            </w:pPr>
            <w:r>
              <w:rPr>
                <w:color w:val="213947"/>
                <w:sz w:val="15"/>
              </w:rPr>
              <w:t>0.0428</w:t>
            </w:r>
          </w:p>
        </w:tc>
        <w:tc>
          <w:tcPr>
            <w:tcW w:w="1210" w:type="dxa"/>
            <w:vAlign w:val="center"/>
          </w:tcPr>
          <w:p>
            <w:pPr>
              <w:spacing w:after="0"/>
              <w:rPr>
                <w:color w:val="2E54A1" w:themeColor="accent1" w:themeShade="BF"/>
              </w:rPr>
            </w:pPr>
            <w:r>
              <w:rPr>
                <w:color w:val="213947"/>
                <w:sz w:val="15"/>
              </w:rPr>
              <w:t>0.1%</w:t>
            </w:r>
          </w:p>
        </w:tc>
        <w:tc>
          <w:tcPr>
            <w:tcW w:w="1886" w:type="dxa"/>
            <w:vAlign w:val="center"/>
          </w:tcPr>
          <w:p>
            <w:pPr>
              <w:spacing w:after="0"/>
              <w:rPr>
                <w:color w:val="2E54A1" w:themeColor="accent1" w:themeShade="BF"/>
              </w:rPr>
            </w:pPr>
            <w:r>
              <w:rPr>
                <w:color w:val="213947"/>
                <w:sz w:val="15"/>
              </w:rPr>
              <w:t>278</w:t>
            </w:r>
          </w:p>
        </w:tc>
      </w:tr>
      <w:tr>
        <w:trPr>
          <w:jc w:val="center"/>
        </w:trPr>
        <w:tc>
          <w:tcPr>
            <w:tcW w:w="749" w:type="dxa"/>
            <w:shd w:val="clear" w:color="auto" w:fill="F2F6F8"/>
            <w:vAlign w:val="center"/>
          </w:tcPr>
          <w:p>
            <w:pPr>
              <w:spacing w:after="0"/>
              <w:rPr>
                <w:color w:val="2E54A1" w:themeColor="accent1" w:themeShade="BF"/>
              </w:rPr>
            </w:pPr>
            <w:r>
              <w:rPr>
                <w:color w:val="213947"/>
                <w:sz w:val="15"/>
              </w:rPr>
              <w:t>12</w:t>
            </w:r>
          </w:p>
        </w:tc>
        <w:tc>
          <w:tcPr>
            <w:tcW w:w="3269" w:type="dxa"/>
            <w:shd w:val="clear" w:color="auto" w:fill="F2F6F8"/>
            <w:vAlign w:val="center"/>
          </w:tcPr>
          <w:p>
            <w:pPr>
              <w:spacing w:after="0"/>
              <w:rPr>
                <w:color w:val="2E54A1" w:themeColor="accent1" w:themeShade="BF"/>
              </w:rPr>
            </w:pPr>
            <w:r>
              <w:rPr>
                <w:color w:val="213947"/>
                <w:sz w:val="15"/>
              </w:rPr>
              <w:t>FLOORSMAX_AVG</w:t>
            </w:r>
          </w:p>
        </w:tc>
        <w:tc>
          <w:tcPr>
            <w:tcW w:w="936" w:type="dxa"/>
            <w:shd w:val="clear" w:color="auto" w:fill="F2F6F8"/>
            <w:vAlign w:val="center"/>
          </w:tcPr>
          <w:p>
            <w:pPr>
              <w:spacing w:after="0"/>
              <w:rPr>
                <w:color w:val="2E54A1" w:themeColor="accent1" w:themeShade="BF"/>
              </w:rPr>
            </w:pPr>
            <w:r>
              <w:rPr>
                <w:color w:val="213947"/>
                <w:sz w:val="15"/>
              </w:rPr>
              <w:t>0.0378</w:t>
            </w:r>
          </w:p>
        </w:tc>
        <w:tc>
          <w:tcPr>
            <w:tcW w:w="1210" w:type="dxa"/>
            <w:shd w:val="clear" w:color="auto" w:fill="F2F6F8"/>
            <w:vAlign w:val="center"/>
          </w:tcPr>
          <w:p>
            <w:pPr>
              <w:spacing w:after="0"/>
              <w:rPr>
                <w:color w:val="2E54A1" w:themeColor="accent1" w:themeShade="BF"/>
              </w:rPr>
            </w:pPr>
            <w:r>
              <w:rPr>
                <w:color w:val="213947"/>
                <w:sz w:val="15"/>
              </w:rPr>
              <w:t>49.8%</w:t>
            </w:r>
          </w:p>
        </w:tc>
        <w:tc>
          <w:tcPr>
            <w:tcW w:w="1886" w:type="dxa"/>
            <w:shd w:val="clear" w:color="auto" w:fill="F2F6F8"/>
            <w:vAlign w:val="center"/>
          </w:tcPr>
          <w:p>
            <w:pPr>
              <w:spacing w:after="0"/>
              <w:rPr>
                <w:color w:val="2E54A1" w:themeColor="accent1" w:themeShade="BF"/>
              </w:rPr>
            </w:pPr>
            <w:r>
              <w:rPr>
                <w:color w:val="213947"/>
                <w:sz w:val="15"/>
              </w:rPr>
              <w:t>21,056</w:t>
            </w:r>
          </w:p>
        </w:tc>
      </w:tr>
      <w:tr>
        <w:trPr>
          <w:jc w:val="center"/>
        </w:trPr>
        <w:tc>
          <w:tcPr>
            <w:tcW w:w="749" w:type="dxa"/>
            <w:vAlign w:val="center"/>
          </w:tcPr>
          <w:p>
            <w:pPr>
              <w:spacing w:after="0"/>
              <w:rPr>
                <w:color w:val="2E54A1" w:themeColor="accent1" w:themeShade="BF"/>
              </w:rPr>
            </w:pPr>
            <w:r>
              <w:rPr>
                <w:color w:val="213947"/>
                <w:sz w:val="15"/>
              </w:rPr>
              <w:t>13</w:t>
            </w:r>
          </w:p>
        </w:tc>
        <w:tc>
          <w:tcPr>
            <w:tcW w:w="3269" w:type="dxa"/>
            <w:vAlign w:val="center"/>
          </w:tcPr>
          <w:p>
            <w:pPr>
              <w:spacing w:after="0"/>
              <w:rPr>
                <w:color w:val="2E54A1" w:themeColor="accent1" w:themeShade="BF"/>
              </w:rPr>
            </w:pPr>
            <w:r>
              <w:rPr>
                <w:color w:val="213947"/>
                <w:sz w:val="15"/>
              </w:rPr>
              <w:t>FLOORSMAX_MEDI</w:t>
            </w:r>
          </w:p>
        </w:tc>
        <w:tc>
          <w:tcPr>
            <w:tcW w:w="936" w:type="dxa"/>
            <w:vAlign w:val="center"/>
          </w:tcPr>
          <w:p>
            <w:pPr>
              <w:spacing w:after="0"/>
              <w:rPr>
                <w:color w:val="2E54A1" w:themeColor="accent1" w:themeShade="BF"/>
              </w:rPr>
            </w:pPr>
            <w:r>
              <w:rPr>
                <w:color w:val="213947"/>
                <w:sz w:val="15"/>
              </w:rPr>
              <w:t>0.0378</w:t>
            </w:r>
          </w:p>
        </w:tc>
        <w:tc>
          <w:tcPr>
            <w:tcW w:w="1210" w:type="dxa"/>
            <w:vAlign w:val="center"/>
          </w:tcPr>
          <w:p>
            <w:pPr>
              <w:spacing w:after="0"/>
              <w:rPr>
                <w:color w:val="2E54A1" w:themeColor="accent1" w:themeShade="BF"/>
              </w:rPr>
            </w:pPr>
            <w:r>
              <w:rPr>
                <w:color w:val="213947"/>
                <w:sz w:val="15"/>
              </w:rPr>
              <w:t>49.8%</w:t>
            </w:r>
          </w:p>
        </w:tc>
        <w:tc>
          <w:tcPr>
            <w:tcW w:w="1886" w:type="dxa"/>
            <w:vAlign w:val="center"/>
          </w:tcPr>
          <w:p>
            <w:pPr>
              <w:spacing w:after="0"/>
              <w:rPr>
                <w:color w:val="2E54A1" w:themeColor="accent1" w:themeShade="BF"/>
              </w:rPr>
            </w:pPr>
            <w:r>
              <w:rPr>
                <w:color w:val="213947"/>
                <w:sz w:val="15"/>
              </w:rPr>
              <w:t>20,413</w:t>
            </w:r>
          </w:p>
        </w:tc>
      </w:tr>
    </w:tbl>
    <w:p>
      <w:pPr>
        <w:spacing w:after="20"/>
      </w:pPr>
    </w:p>
    <w:p>
      <w:pPr>
        <w:spacing w:after="120"/>
      </w:pPr>
      <w:r>
        <w:t>IV前三位依次为 EXT_SOURCE_3=0.3095、EXT_SOURCE_2=0.2808、EXT_SOURCE_1=0.1414。匿名外部来源变量的风险分层信息相对更突出，但其生成逻辑未公开，实际应用前必须审查来源、可解释性与合规使用范围。EXT_SOURCE_1缺失率56.38%，还须检验缺失机制及稳定性。</w:t>
      </w:r>
    </w:p>
    <w:p>
      <w:pPr>
        <w:spacing w:after="120"/>
      </w:pPr>
      <w:r>
        <w:t>重要：DAYS_EMPLOYED 与 EMPLOYMENT_YEARS、DAYS_BIRTH 与 AGE_YEARS 分别是高度重复的原始/衍生变量；REGION_RATING_CLIENT 与 REGION_RATING_CLIENT_W_CITY、以及住宅AVG/MODE/MEDI字段也可能强相关。IV名次不能简单相加作为“多因子提升”，阶段二应做共线性、稳健性及特征泄漏审查。</w:t>
      </w:r>
    </w:p>
    <w:p>
      <w:pPr>
        <w:jc w:val="center"/>
      </w:pPr>
      <w:r>
        <w:drawing>
          <wp:inline distT="0" distB="0" distL="114300" distR="114300">
            <wp:extent cx="5715000" cy="4003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15000" cy="4004057"/>
                    </a:xfrm>
                    <a:prstGeom prst="rect">
                      <a:avLst/>
                    </a:prstGeom>
                  </pic:spPr>
                </pic:pic>
              </a:graphicData>
            </a:graphic>
          </wp:inline>
        </w:drawing>
      </w:r>
    </w:p>
    <w:p>
      <w:pPr>
        <w:jc w:val="center"/>
      </w:pPr>
      <w:r>
        <w:rPr>
          <w:i/>
          <w:color w:val="556771"/>
          <w:sz w:val="16"/>
        </w:rPr>
        <w:t>图A1｜全部数值候选变量按IV排名（图示前18项）</w:t>
      </w:r>
    </w:p>
    <w:p>
      <w:pPr>
        <w:pStyle w:val="3"/>
        <w:spacing w:before="240" w:after="140"/>
      </w:pPr>
      <w:r>
        <w:t>A.3 WOE逐箱示例：EXT_SOURCE_3</w:t>
      </w:r>
    </w:p>
    <w:tbl>
      <w:tblPr>
        <w:tblStyle w:val="10"/>
        <w:tblW w:w="0" w:type="auto"/>
        <w:jc w:val="center"/>
        <w:tblBorders>
          <w:top w:val="single" w:color="4874CB" w:themeColor="accent1" w:sz="8" w:space="0"/>
          <w:left w:val="none" w:color="auto" w:sz="0" w:space="0"/>
          <w:bottom w:val="single" w:color="4874CB"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1296"/>
        <w:gridCol w:w="1656"/>
        <w:gridCol w:w="1224"/>
        <w:gridCol w:w="1656"/>
      </w:tblGrid>
      <w:tr>
        <w:trPr>
          <w:jc w:val="center"/>
        </w:trPr>
        <w:tc>
          <w:tcPr>
            <w:tcW w:w="2880" w:type="dxa"/>
            <w:shd w:val="clear" w:color="auto" w:fill="173E51"/>
            <w:vAlign w:val="center"/>
          </w:tcPr>
          <w:p>
            <w:pPr>
              <w:spacing w:after="0"/>
              <w:rPr>
                <w:color w:val="2E54A1" w:themeColor="accent1" w:themeShade="BF"/>
              </w:rPr>
            </w:pPr>
            <w:r>
              <w:rPr>
                <w:b/>
                <w:color w:val="FFFFFF"/>
                <w:sz w:val="16"/>
              </w:rPr>
              <w:t>分箱</w:t>
            </w:r>
          </w:p>
        </w:tc>
        <w:tc>
          <w:tcPr>
            <w:tcW w:w="1296" w:type="dxa"/>
            <w:shd w:val="clear" w:color="auto" w:fill="173E51"/>
            <w:vAlign w:val="center"/>
          </w:tcPr>
          <w:p>
            <w:pPr>
              <w:spacing w:after="0"/>
              <w:rPr>
                <w:color w:val="2E54A1" w:themeColor="accent1" w:themeShade="BF"/>
              </w:rPr>
            </w:pPr>
            <w:r>
              <w:rPr>
                <w:b/>
                <w:color w:val="FFFFFF"/>
                <w:sz w:val="16"/>
              </w:rPr>
              <w:t>样本量</w:t>
            </w:r>
          </w:p>
        </w:tc>
        <w:tc>
          <w:tcPr>
            <w:tcW w:w="1656" w:type="dxa"/>
            <w:shd w:val="clear" w:color="auto" w:fill="173E51"/>
            <w:vAlign w:val="center"/>
          </w:tcPr>
          <w:p>
            <w:pPr>
              <w:spacing w:after="0"/>
              <w:rPr>
                <w:color w:val="2E54A1" w:themeColor="accent1" w:themeShade="BF"/>
              </w:rPr>
            </w:pPr>
            <w:r>
              <w:rPr>
                <w:b/>
                <w:color w:val="FFFFFF"/>
                <w:sz w:val="16"/>
              </w:rPr>
              <w:t>TARGET=1</w:t>
            </w:r>
          </w:p>
        </w:tc>
        <w:tc>
          <w:tcPr>
            <w:tcW w:w="1224" w:type="dxa"/>
            <w:shd w:val="clear" w:color="auto" w:fill="173E51"/>
            <w:vAlign w:val="center"/>
          </w:tcPr>
          <w:p>
            <w:pPr>
              <w:spacing w:after="0"/>
              <w:rPr>
                <w:color w:val="2E54A1" w:themeColor="accent1" w:themeShade="BF"/>
              </w:rPr>
            </w:pPr>
            <w:r>
              <w:rPr>
                <w:b/>
                <w:color w:val="FFFFFF"/>
                <w:sz w:val="16"/>
              </w:rPr>
              <w:t>WOE</w:t>
            </w:r>
          </w:p>
        </w:tc>
        <w:tc>
          <w:tcPr>
            <w:tcW w:w="1656" w:type="dxa"/>
            <w:shd w:val="clear" w:color="auto" w:fill="173E51"/>
            <w:vAlign w:val="center"/>
          </w:tcPr>
          <w:p>
            <w:pPr>
              <w:spacing w:after="0"/>
              <w:rPr>
                <w:color w:val="2E54A1" w:themeColor="accent1" w:themeShade="BF"/>
              </w:rPr>
            </w:pPr>
            <w:r>
              <w:rPr>
                <w:b/>
                <w:color w:val="FFFFFF"/>
                <w:sz w:val="16"/>
              </w:rPr>
              <w:t>箱贡献IV</w:t>
            </w:r>
          </w:p>
        </w:tc>
      </w:tr>
      <w:tr>
        <w:trPr>
          <w:jc w:val="center"/>
        </w:trPr>
        <w:tc>
          <w:tcPr>
            <w:tcW w:w="2880" w:type="dxa"/>
            <w:vAlign w:val="center"/>
          </w:tcPr>
          <w:p>
            <w:pPr>
              <w:spacing w:after="0"/>
              <w:rPr>
                <w:color w:val="2E54A1" w:themeColor="accent1" w:themeShade="BF"/>
              </w:rPr>
            </w:pPr>
            <w:r>
              <w:rPr>
                <w:color w:val="213947"/>
                <w:sz w:val="15"/>
              </w:rPr>
              <w:t>(-0.000473, 0.33]</w:t>
            </w:r>
          </w:p>
        </w:tc>
        <w:tc>
          <w:tcPr>
            <w:tcW w:w="1296" w:type="dxa"/>
            <w:vAlign w:val="center"/>
          </w:tcPr>
          <w:p>
            <w:pPr>
              <w:spacing w:after="0"/>
              <w:rPr>
                <w:color w:val="2E54A1" w:themeColor="accent1" w:themeShade="BF"/>
              </w:rPr>
            </w:pPr>
            <w:r>
              <w:rPr>
                <w:color w:val="213947"/>
                <w:sz w:val="15"/>
              </w:rPr>
              <w:t>49,445</w:t>
            </w:r>
          </w:p>
        </w:tc>
        <w:tc>
          <w:tcPr>
            <w:tcW w:w="1656" w:type="dxa"/>
            <w:vAlign w:val="center"/>
          </w:tcPr>
          <w:p>
            <w:pPr>
              <w:spacing w:after="0"/>
              <w:rPr>
                <w:color w:val="2E54A1" w:themeColor="accent1" w:themeShade="BF"/>
              </w:rPr>
            </w:pPr>
            <w:r>
              <w:rPr>
                <w:color w:val="213947"/>
                <w:sz w:val="15"/>
              </w:rPr>
              <w:t>16.38%</w:t>
            </w:r>
          </w:p>
        </w:tc>
        <w:tc>
          <w:tcPr>
            <w:tcW w:w="1224" w:type="dxa"/>
            <w:vAlign w:val="center"/>
          </w:tcPr>
          <w:p>
            <w:pPr>
              <w:spacing w:after="0"/>
              <w:rPr>
                <w:color w:val="2E54A1" w:themeColor="accent1" w:themeShade="BF"/>
              </w:rPr>
            </w:pPr>
            <w:r>
              <w:rPr>
                <w:color w:val="213947"/>
                <w:sz w:val="15"/>
              </w:rPr>
              <w:t>-0.8019</w:t>
            </w:r>
          </w:p>
        </w:tc>
        <w:tc>
          <w:tcPr>
            <w:tcW w:w="1656" w:type="dxa"/>
            <w:vAlign w:val="center"/>
          </w:tcPr>
          <w:p>
            <w:pPr>
              <w:spacing w:after="0"/>
              <w:rPr>
                <w:color w:val="2E54A1" w:themeColor="accent1" w:themeShade="BF"/>
              </w:rPr>
            </w:pPr>
            <w:r>
              <w:rPr>
                <w:color w:val="213947"/>
                <w:sz w:val="15"/>
              </w:rPr>
              <w:t>0.1442</w:t>
            </w:r>
          </w:p>
        </w:tc>
      </w:tr>
      <w:tr>
        <w:trPr>
          <w:jc w:val="center"/>
        </w:trPr>
        <w:tc>
          <w:tcPr>
            <w:tcW w:w="2880" w:type="dxa"/>
            <w:shd w:val="clear" w:color="auto" w:fill="F2F6F8"/>
            <w:vAlign w:val="center"/>
          </w:tcPr>
          <w:p>
            <w:pPr>
              <w:spacing w:after="0"/>
              <w:rPr>
                <w:color w:val="2E54A1" w:themeColor="accent1" w:themeShade="BF"/>
              </w:rPr>
            </w:pPr>
            <w:r>
              <w:rPr>
                <w:color w:val="213947"/>
                <w:sz w:val="15"/>
              </w:rPr>
              <w:t>(0.33, 0.476]</w:t>
            </w:r>
          </w:p>
        </w:tc>
        <w:tc>
          <w:tcPr>
            <w:tcW w:w="1296" w:type="dxa"/>
            <w:shd w:val="clear" w:color="auto" w:fill="F2F6F8"/>
            <w:vAlign w:val="center"/>
          </w:tcPr>
          <w:p>
            <w:pPr>
              <w:spacing w:after="0"/>
              <w:rPr>
                <w:color w:val="2E54A1" w:themeColor="accent1" w:themeShade="BF"/>
              </w:rPr>
            </w:pPr>
            <w:r>
              <w:rPr>
                <w:color w:val="213947"/>
                <w:sz w:val="15"/>
              </w:rPr>
              <w:t>49,746</w:t>
            </w:r>
          </w:p>
        </w:tc>
        <w:tc>
          <w:tcPr>
            <w:tcW w:w="1656" w:type="dxa"/>
            <w:shd w:val="clear" w:color="auto" w:fill="F2F6F8"/>
            <w:vAlign w:val="center"/>
          </w:tcPr>
          <w:p>
            <w:pPr>
              <w:spacing w:after="0"/>
              <w:rPr>
                <w:color w:val="2E54A1" w:themeColor="accent1" w:themeShade="BF"/>
              </w:rPr>
            </w:pPr>
            <w:r>
              <w:rPr>
                <w:color w:val="213947"/>
                <w:sz w:val="15"/>
              </w:rPr>
              <w:t>8.75%</w:t>
            </w:r>
          </w:p>
        </w:tc>
        <w:tc>
          <w:tcPr>
            <w:tcW w:w="1224" w:type="dxa"/>
            <w:shd w:val="clear" w:color="auto" w:fill="F2F6F8"/>
            <w:vAlign w:val="center"/>
          </w:tcPr>
          <w:p>
            <w:pPr>
              <w:spacing w:after="0"/>
              <w:rPr>
                <w:color w:val="2E54A1" w:themeColor="accent1" w:themeShade="BF"/>
              </w:rPr>
            </w:pPr>
            <w:r>
              <w:rPr>
                <w:color w:val="213947"/>
                <w:sz w:val="15"/>
              </w:rPr>
              <w:t>-0.0880</w:t>
            </w:r>
          </w:p>
        </w:tc>
        <w:tc>
          <w:tcPr>
            <w:tcW w:w="1656" w:type="dxa"/>
            <w:shd w:val="clear" w:color="auto" w:fill="F2F6F8"/>
            <w:vAlign w:val="center"/>
          </w:tcPr>
          <w:p>
            <w:pPr>
              <w:spacing w:after="0"/>
              <w:rPr>
                <w:color w:val="2E54A1" w:themeColor="accent1" w:themeShade="BF"/>
              </w:rPr>
            </w:pPr>
            <w:r>
              <w:rPr>
                <w:color w:val="213947"/>
                <w:sz w:val="15"/>
              </w:rPr>
              <w:t>0.0013</w:t>
            </w:r>
          </w:p>
        </w:tc>
      </w:tr>
      <w:tr>
        <w:trPr>
          <w:jc w:val="center"/>
        </w:trPr>
        <w:tc>
          <w:tcPr>
            <w:tcW w:w="2880" w:type="dxa"/>
            <w:vAlign w:val="center"/>
          </w:tcPr>
          <w:p>
            <w:pPr>
              <w:spacing w:after="0"/>
              <w:rPr>
                <w:color w:val="2E54A1" w:themeColor="accent1" w:themeShade="BF"/>
              </w:rPr>
            </w:pPr>
            <w:r>
              <w:rPr>
                <w:color w:val="213947"/>
                <w:sz w:val="15"/>
              </w:rPr>
              <w:t>(0.476, 0.592]</w:t>
            </w:r>
          </w:p>
        </w:tc>
        <w:tc>
          <w:tcPr>
            <w:tcW w:w="1296" w:type="dxa"/>
            <w:vAlign w:val="center"/>
          </w:tcPr>
          <w:p>
            <w:pPr>
              <w:spacing w:after="0"/>
              <w:rPr>
                <w:color w:val="2E54A1" w:themeColor="accent1" w:themeShade="BF"/>
              </w:rPr>
            </w:pPr>
            <w:r>
              <w:rPr>
                <w:color w:val="213947"/>
                <w:sz w:val="15"/>
              </w:rPr>
              <w:t>49,578</w:t>
            </w:r>
          </w:p>
        </w:tc>
        <w:tc>
          <w:tcPr>
            <w:tcW w:w="1656" w:type="dxa"/>
            <w:vAlign w:val="center"/>
          </w:tcPr>
          <w:p>
            <w:pPr>
              <w:spacing w:after="0"/>
              <w:rPr>
                <w:color w:val="2E54A1" w:themeColor="accent1" w:themeShade="BF"/>
              </w:rPr>
            </w:pPr>
            <w:r>
              <w:rPr>
                <w:color w:val="213947"/>
                <w:sz w:val="15"/>
              </w:rPr>
              <w:t>5.75%</w:t>
            </w:r>
          </w:p>
        </w:tc>
        <w:tc>
          <w:tcPr>
            <w:tcW w:w="1224" w:type="dxa"/>
            <w:vAlign w:val="center"/>
          </w:tcPr>
          <w:p>
            <w:pPr>
              <w:spacing w:after="0"/>
              <w:rPr>
                <w:color w:val="2E54A1" w:themeColor="accent1" w:themeShade="BF"/>
              </w:rPr>
            </w:pPr>
            <w:r>
              <w:rPr>
                <w:color w:val="213947"/>
                <w:sz w:val="15"/>
              </w:rPr>
              <w:t>+0.3641</w:t>
            </w:r>
          </w:p>
        </w:tc>
        <w:tc>
          <w:tcPr>
            <w:tcW w:w="1656" w:type="dxa"/>
            <w:vAlign w:val="center"/>
          </w:tcPr>
          <w:p>
            <w:pPr>
              <w:spacing w:after="0"/>
              <w:rPr>
                <w:color w:val="2E54A1" w:themeColor="accent1" w:themeShade="BF"/>
              </w:rPr>
            </w:pPr>
            <w:r>
              <w:rPr>
                <w:color w:val="213947"/>
                <w:sz w:val="15"/>
              </w:rPr>
              <w:t>0.0184</w:t>
            </w:r>
          </w:p>
        </w:tc>
      </w:tr>
      <w:tr>
        <w:trPr>
          <w:jc w:val="center"/>
        </w:trPr>
        <w:tc>
          <w:tcPr>
            <w:tcW w:w="2880" w:type="dxa"/>
            <w:shd w:val="clear" w:color="auto" w:fill="F2F6F8"/>
            <w:vAlign w:val="center"/>
          </w:tcPr>
          <w:p>
            <w:pPr>
              <w:spacing w:after="0"/>
              <w:rPr>
                <w:color w:val="2E54A1" w:themeColor="accent1" w:themeShade="BF"/>
              </w:rPr>
            </w:pPr>
            <w:r>
              <w:rPr>
                <w:color w:val="213947"/>
                <w:sz w:val="15"/>
              </w:rPr>
              <w:t>(0.592, 0.694]</w:t>
            </w:r>
          </w:p>
        </w:tc>
        <w:tc>
          <w:tcPr>
            <w:tcW w:w="1296" w:type="dxa"/>
            <w:shd w:val="clear" w:color="auto" w:fill="F2F6F8"/>
            <w:vAlign w:val="center"/>
          </w:tcPr>
          <w:p>
            <w:pPr>
              <w:spacing w:after="0"/>
              <w:rPr>
                <w:color w:val="2E54A1" w:themeColor="accent1" w:themeShade="BF"/>
              </w:rPr>
            </w:pPr>
            <w:r>
              <w:rPr>
                <w:color w:val="213947"/>
                <w:sz w:val="15"/>
              </w:rPr>
              <w:t>49,470</w:t>
            </w:r>
          </w:p>
        </w:tc>
        <w:tc>
          <w:tcPr>
            <w:tcW w:w="1656" w:type="dxa"/>
            <w:shd w:val="clear" w:color="auto" w:fill="F2F6F8"/>
            <w:vAlign w:val="center"/>
          </w:tcPr>
          <w:p>
            <w:pPr>
              <w:spacing w:after="0"/>
              <w:rPr>
                <w:color w:val="2E54A1" w:themeColor="accent1" w:themeShade="BF"/>
              </w:rPr>
            </w:pPr>
            <w:r>
              <w:rPr>
                <w:color w:val="213947"/>
                <w:sz w:val="15"/>
              </w:rPr>
              <w:t>4.48%</w:t>
            </w:r>
          </w:p>
        </w:tc>
        <w:tc>
          <w:tcPr>
            <w:tcW w:w="1224" w:type="dxa"/>
            <w:shd w:val="clear" w:color="auto" w:fill="F2F6F8"/>
            <w:vAlign w:val="center"/>
          </w:tcPr>
          <w:p>
            <w:pPr>
              <w:spacing w:after="0"/>
              <w:rPr>
                <w:color w:val="2E54A1" w:themeColor="accent1" w:themeShade="BF"/>
              </w:rPr>
            </w:pPr>
            <w:r>
              <w:rPr>
                <w:color w:val="213947"/>
                <w:sz w:val="15"/>
              </w:rPr>
              <w:t>+0.6272</w:t>
            </w:r>
          </w:p>
        </w:tc>
        <w:tc>
          <w:tcPr>
            <w:tcW w:w="1656" w:type="dxa"/>
            <w:shd w:val="clear" w:color="auto" w:fill="F2F6F8"/>
            <w:vAlign w:val="center"/>
          </w:tcPr>
          <w:p>
            <w:pPr>
              <w:spacing w:after="0"/>
              <w:rPr>
                <w:color w:val="2E54A1" w:themeColor="accent1" w:themeShade="BF"/>
              </w:rPr>
            </w:pPr>
            <w:r>
              <w:rPr>
                <w:color w:val="213947"/>
                <w:sz w:val="15"/>
              </w:rPr>
              <w:t>0.0489</w:t>
            </w:r>
          </w:p>
        </w:tc>
      </w:tr>
      <w:tr>
        <w:trPr>
          <w:jc w:val="center"/>
        </w:trPr>
        <w:tc>
          <w:tcPr>
            <w:tcW w:w="2880" w:type="dxa"/>
            <w:vAlign w:val="center"/>
          </w:tcPr>
          <w:p>
            <w:pPr>
              <w:spacing w:after="0"/>
              <w:rPr>
                <w:color w:val="2E54A1" w:themeColor="accent1" w:themeShade="BF"/>
              </w:rPr>
            </w:pPr>
            <w:r>
              <w:rPr>
                <w:color w:val="213947"/>
                <w:sz w:val="15"/>
              </w:rPr>
              <w:t>(0.694, 0.896]</w:t>
            </w:r>
          </w:p>
        </w:tc>
        <w:tc>
          <w:tcPr>
            <w:tcW w:w="1296" w:type="dxa"/>
            <w:vAlign w:val="center"/>
          </w:tcPr>
          <w:p>
            <w:pPr>
              <w:spacing w:after="0"/>
              <w:rPr>
                <w:color w:val="2E54A1" w:themeColor="accent1" w:themeShade="BF"/>
              </w:rPr>
            </w:pPr>
            <w:r>
              <w:rPr>
                <w:color w:val="213947"/>
                <w:sz w:val="15"/>
              </w:rPr>
              <w:t>48,307</w:t>
            </w:r>
          </w:p>
        </w:tc>
        <w:tc>
          <w:tcPr>
            <w:tcW w:w="1656" w:type="dxa"/>
            <w:vAlign w:val="center"/>
          </w:tcPr>
          <w:p>
            <w:pPr>
              <w:spacing w:after="0"/>
              <w:rPr>
                <w:color w:val="2E54A1" w:themeColor="accent1" w:themeShade="BF"/>
              </w:rPr>
            </w:pPr>
            <w:r>
              <w:rPr>
                <w:color w:val="213947"/>
                <w:sz w:val="15"/>
              </w:rPr>
              <w:t>3.38%</w:t>
            </w:r>
          </w:p>
        </w:tc>
        <w:tc>
          <w:tcPr>
            <w:tcW w:w="1224" w:type="dxa"/>
            <w:vAlign w:val="center"/>
          </w:tcPr>
          <w:p>
            <w:pPr>
              <w:spacing w:after="0"/>
              <w:rPr>
                <w:color w:val="2E54A1" w:themeColor="accent1" w:themeShade="BF"/>
              </w:rPr>
            </w:pPr>
            <w:r>
              <w:rPr>
                <w:color w:val="213947"/>
                <w:sz w:val="15"/>
              </w:rPr>
              <w:t>+0.9214</w:t>
            </w:r>
          </w:p>
        </w:tc>
        <w:tc>
          <w:tcPr>
            <w:tcW w:w="1656" w:type="dxa"/>
            <w:vAlign w:val="center"/>
          </w:tcPr>
          <w:p>
            <w:pPr>
              <w:spacing w:after="0"/>
              <w:rPr>
                <w:color w:val="2E54A1" w:themeColor="accent1" w:themeShade="BF"/>
              </w:rPr>
            </w:pPr>
            <w:r>
              <w:rPr>
                <w:color w:val="213947"/>
                <w:sz w:val="15"/>
              </w:rPr>
              <w:t>0.0916</w:t>
            </w:r>
          </w:p>
        </w:tc>
      </w:tr>
      <w:tr>
        <w:trPr>
          <w:jc w:val="center"/>
        </w:trPr>
        <w:tc>
          <w:tcPr>
            <w:tcW w:w="2880" w:type="dxa"/>
            <w:shd w:val="clear" w:color="auto" w:fill="F2F6F8"/>
            <w:vAlign w:val="center"/>
          </w:tcPr>
          <w:p>
            <w:pPr>
              <w:spacing w:after="0"/>
              <w:rPr>
                <w:color w:val="2E54A1" w:themeColor="accent1" w:themeShade="BF"/>
              </w:rPr>
            </w:pPr>
            <w:r>
              <w:rPr>
                <w:color w:val="213947"/>
                <w:sz w:val="15"/>
              </w:rPr>
              <w:t>Missing</w:t>
            </w:r>
          </w:p>
        </w:tc>
        <w:tc>
          <w:tcPr>
            <w:tcW w:w="1296" w:type="dxa"/>
            <w:shd w:val="clear" w:color="auto" w:fill="F2F6F8"/>
            <w:vAlign w:val="center"/>
          </w:tcPr>
          <w:p>
            <w:pPr>
              <w:spacing w:after="0"/>
              <w:rPr>
                <w:color w:val="2E54A1" w:themeColor="accent1" w:themeShade="BF"/>
              </w:rPr>
            </w:pPr>
            <w:r>
              <w:rPr>
                <w:color w:val="213947"/>
                <w:sz w:val="15"/>
              </w:rPr>
              <w:t>60,965</w:t>
            </w:r>
          </w:p>
        </w:tc>
        <w:tc>
          <w:tcPr>
            <w:tcW w:w="1656" w:type="dxa"/>
            <w:shd w:val="clear" w:color="auto" w:fill="F2F6F8"/>
            <w:vAlign w:val="center"/>
          </w:tcPr>
          <w:p>
            <w:pPr>
              <w:spacing w:after="0"/>
              <w:rPr>
                <w:color w:val="2E54A1" w:themeColor="accent1" w:themeShade="BF"/>
              </w:rPr>
            </w:pPr>
            <w:r>
              <w:rPr>
                <w:color w:val="213947"/>
                <w:sz w:val="15"/>
              </w:rPr>
              <w:t>9.31%</w:t>
            </w:r>
          </w:p>
        </w:tc>
        <w:tc>
          <w:tcPr>
            <w:tcW w:w="1224" w:type="dxa"/>
            <w:shd w:val="clear" w:color="auto" w:fill="F2F6F8"/>
            <w:vAlign w:val="center"/>
          </w:tcPr>
          <w:p>
            <w:pPr>
              <w:spacing w:after="0"/>
              <w:rPr>
                <w:color w:val="2E54A1" w:themeColor="accent1" w:themeShade="BF"/>
              </w:rPr>
            </w:pPr>
            <w:r>
              <w:rPr>
                <w:color w:val="213947"/>
                <w:sz w:val="15"/>
              </w:rPr>
              <w:t>-0.1563</w:t>
            </w:r>
          </w:p>
        </w:tc>
        <w:tc>
          <w:tcPr>
            <w:tcW w:w="1656" w:type="dxa"/>
            <w:shd w:val="clear" w:color="auto" w:fill="F2F6F8"/>
            <w:vAlign w:val="center"/>
          </w:tcPr>
          <w:p>
            <w:pPr>
              <w:spacing w:after="0"/>
              <w:rPr>
                <w:color w:val="2E54A1" w:themeColor="accent1" w:themeShade="BF"/>
              </w:rPr>
            </w:pPr>
            <w:r>
              <w:rPr>
                <w:color w:val="213947"/>
                <w:sz w:val="15"/>
              </w:rPr>
              <w:t>0.0052</w:t>
            </w:r>
          </w:p>
        </w:tc>
      </w:tr>
    </w:tbl>
    <w:p>
      <w:pPr>
        <w:spacing w:after="20"/>
      </w:pPr>
    </w:p>
    <w:p>
      <w:pPr>
        <w:spacing w:after="120"/>
      </w:pPr>
      <w:r>
        <w:t>最低分数组（约≤0.33）的TARGET=1比例为16.38%，最高分数组（约&gt;0.694）的比例为3.38%；低分箱WOE为负，高分箱WOE为正，观察到清晰的单变量梯度。但不能把匿名分数当作银行信用分，也不能将这种探索关联当成样本外预测表现。</w:t>
      </w:r>
    </w:p>
    <w:p>
      <w:pPr>
        <w:jc w:val="center"/>
      </w:pPr>
      <w:r>
        <w:drawing>
          <wp:inline distT="0" distB="0" distL="114300" distR="114300">
            <wp:extent cx="5715000" cy="273304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15000" cy="2733645"/>
                    </a:xfrm>
                    <a:prstGeom prst="rect">
                      <a:avLst/>
                    </a:prstGeom>
                  </pic:spPr>
                </pic:pic>
              </a:graphicData>
            </a:graphic>
          </wp:inline>
        </w:drawing>
      </w:r>
    </w:p>
    <w:p>
      <w:pPr>
        <w:jc w:val="center"/>
      </w:pPr>
      <w:r>
        <w:rPr>
          <w:i/>
          <w:color w:val="556771"/>
          <w:sz w:val="16"/>
        </w:rPr>
        <w:t>图A2｜EXT_SOURCE_3 分箱WOE（与上表来自同一份全量数据）</w:t>
      </w:r>
    </w:p>
    <w:p>
      <w:pPr>
        <w:pStyle w:val="3"/>
        <w:spacing w:before="240" w:after="140"/>
      </w:pPr>
      <w:r>
        <w:t>A.4 两变量分层：EXT_SOURCE_2 × EXT_SOURCE_3</w:t>
      </w:r>
    </w:p>
    <w:p>
      <w:pPr>
        <w:spacing w:after="120"/>
      </w:pPr>
      <w:r>
        <w:t>将两个匿名外部分数分别按有效值P25和P75划分Low、Middle、High；缺失独立为Missing。低分双重叠加的申请属于最显著的候选风险分组之一。</w:t>
      </w:r>
    </w:p>
    <w:p>
      <w:pPr>
        <w:pStyle w:val="4"/>
        <w:spacing w:after="120"/>
      </w:pPr>
      <w:r>
        <w:t>E2:Low × E3:Low：n=17,953，TARGET=1比例23.55%，相对总体2.92倍。</w:t>
      </w:r>
    </w:p>
    <w:p>
      <w:pPr>
        <w:pStyle w:val="4"/>
        <w:spacing w:after="120"/>
      </w:pPr>
      <w:r>
        <w:t>E2:Low × E3:High：n=12,627，TARGET=1比例6.60%，相对总体0.82倍。</w:t>
      </w:r>
    </w:p>
    <w:p>
      <w:pPr>
        <w:pStyle w:val="4"/>
        <w:spacing w:after="120"/>
      </w:pPr>
      <w:r>
        <w:t>E2:Middle × E3:Low：n=31,323，TARGET=1比例13.16%，相对总体1.63倍。</w:t>
      </w:r>
    </w:p>
    <w:p>
      <w:pPr>
        <w:pStyle w:val="4"/>
        <w:spacing w:after="120"/>
      </w:pPr>
      <w:r>
        <w:t>E2:High × E3:High：n=18,051，TARGET=1比例1.94%，相对总体0.24倍。</w:t>
      </w:r>
    </w:p>
    <w:p>
      <w:pPr>
        <w:jc w:val="center"/>
      </w:pPr>
      <w:r>
        <w:drawing>
          <wp:inline distT="0" distB="0" distL="114300" distR="114300">
            <wp:extent cx="5623560" cy="4491990"/>
            <wp:effectExtent l="0" t="0" r="152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623560" cy="4492536"/>
                    </a:xfrm>
                    <a:prstGeom prst="rect">
                      <a:avLst/>
                    </a:prstGeom>
                  </pic:spPr>
                </pic:pic>
              </a:graphicData>
            </a:graphic>
          </wp:inline>
        </w:drawing>
      </w:r>
    </w:p>
    <w:p>
      <w:pPr>
        <w:jc w:val="center"/>
      </w:pPr>
      <w:r>
        <w:rPr>
          <w:i/>
          <w:color w:val="556771"/>
          <w:sz w:val="16"/>
        </w:rPr>
        <w:t>图A3｜两个匿名评分的2维分层风险率热力图；缺失另行归组</w:t>
      </w:r>
    </w:p>
    <w:p>
      <w:pPr>
        <w:pStyle w:val="3"/>
        <w:spacing w:before="240" w:after="140"/>
      </w:pPr>
      <w:r>
        <w:t>A.5 三变量交叉与候选预警信号</w:t>
      </w:r>
    </w:p>
    <w:p>
      <w:pPr>
        <w:spacing w:after="120"/>
      </w:pPr>
      <w:r>
        <w:t>在上述两个匿名评分之外，加入 CREDIT_INCOME_RATIO=AMT_CREDIT/AMT_INCOME_TOTAL。该比值为申请额度与报告收入的量纲比，并非经过核验的真实债务收入比。三个变量均划分Low/Middle/High/Missing，总计出现48个非空组合。</w:t>
      </w:r>
    </w:p>
    <w:tbl>
      <w:tblPr>
        <w:tblStyle w:val="10"/>
        <w:tblW w:w="0" w:type="auto"/>
        <w:jc w:val="center"/>
        <w:tblBorders>
          <w:top w:val="single" w:color="4874CB" w:themeColor="accent1" w:sz="8" w:space="0"/>
          <w:left w:val="none" w:color="auto" w:sz="0" w:space="0"/>
          <w:bottom w:val="single" w:color="4874CB"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1325"/>
        <w:gridCol w:w="2059"/>
        <w:gridCol w:w="1368"/>
        <w:gridCol w:w="1598"/>
        <w:gridCol w:w="1210"/>
      </w:tblGrid>
      <w:tr>
        <w:trPr>
          <w:jc w:val="center"/>
        </w:trPr>
        <w:tc>
          <w:tcPr>
            <w:tcW w:w="1109" w:type="dxa"/>
            <w:shd w:val="clear" w:color="auto" w:fill="173E51"/>
            <w:vAlign w:val="center"/>
          </w:tcPr>
          <w:p>
            <w:pPr>
              <w:spacing w:after="0"/>
              <w:rPr>
                <w:color w:val="2E54A1" w:themeColor="accent1" w:themeShade="BF"/>
              </w:rPr>
            </w:pPr>
            <w:r>
              <w:rPr>
                <w:b/>
                <w:color w:val="FFFFFF"/>
                <w:sz w:val="16"/>
              </w:rPr>
              <w:t>EXT2</w:t>
            </w:r>
          </w:p>
        </w:tc>
        <w:tc>
          <w:tcPr>
            <w:tcW w:w="1325" w:type="dxa"/>
            <w:shd w:val="clear" w:color="auto" w:fill="173E51"/>
            <w:vAlign w:val="center"/>
          </w:tcPr>
          <w:p>
            <w:pPr>
              <w:spacing w:after="0"/>
              <w:rPr>
                <w:color w:val="2E54A1" w:themeColor="accent1" w:themeShade="BF"/>
              </w:rPr>
            </w:pPr>
            <w:r>
              <w:rPr>
                <w:b/>
                <w:color w:val="FFFFFF"/>
                <w:sz w:val="16"/>
              </w:rPr>
              <w:t>EXT3</w:t>
            </w:r>
          </w:p>
        </w:tc>
        <w:tc>
          <w:tcPr>
            <w:tcW w:w="2059" w:type="dxa"/>
            <w:shd w:val="clear" w:color="auto" w:fill="173E51"/>
            <w:vAlign w:val="center"/>
          </w:tcPr>
          <w:p>
            <w:pPr>
              <w:spacing w:after="0"/>
              <w:rPr>
                <w:color w:val="2E54A1" w:themeColor="accent1" w:themeShade="BF"/>
              </w:rPr>
            </w:pPr>
            <w:r>
              <w:rPr>
                <w:b/>
                <w:color w:val="FFFFFF"/>
                <w:sz w:val="16"/>
              </w:rPr>
              <w:t>额度收入比</w:t>
            </w:r>
          </w:p>
        </w:tc>
        <w:tc>
          <w:tcPr>
            <w:tcW w:w="1368" w:type="dxa"/>
            <w:shd w:val="clear" w:color="auto" w:fill="173E51"/>
            <w:vAlign w:val="center"/>
          </w:tcPr>
          <w:p>
            <w:pPr>
              <w:spacing w:after="0"/>
              <w:rPr>
                <w:color w:val="2E54A1" w:themeColor="accent1" w:themeShade="BF"/>
              </w:rPr>
            </w:pPr>
            <w:r>
              <w:rPr>
                <w:b/>
                <w:color w:val="FFFFFF"/>
                <w:sz w:val="16"/>
              </w:rPr>
              <w:t>样本量</w:t>
            </w:r>
          </w:p>
        </w:tc>
        <w:tc>
          <w:tcPr>
            <w:tcW w:w="1598" w:type="dxa"/>
            <w:shd w:val="clear" w:color="auto" w:fill="173E51"/>
            <w:vAlign w:val="center"/>
          </w:tcPr>
          <w:p>
            <w:pPr>
              <w:spacing w:after="0"/>
              <w:rPr>
                <w:color w:val="2E54A1" w:themeColor="accent1" w:themeShade="BF"/>
              </w:rPr>
            </w:pPr>
            <w:r>
              <w:rPr>
                <w:b/>
                <w:color w:val="FFFFFF"/>
                <w:sz w:val="16"/>
              </w:rPr>
              <w:t>TARGET=1</w:t>
            </w:r>
          </w:p>
        </w:tc>
        <w:tc>
          <w:tcPr>
            <w:tcW w:w="1210" w:type="dxa"/>
            <w:shd w:val="clear" w:color="auto" w:fill="173E51"/>
            <w:vAlign w:val="center"/>
          </w:tcPr>
          <w:p>
            <w:pPr>
              <w:spacing w:after="0"/>
              <w:rPr>
                <w:color w:val="2E54A1" w:themeColor="accent1" w:themeShade="BF"/>
              </w:rPr>
            </w:pPr>
            <w:r>
              <w:rPr>
                <w:b/>
                <w:color w:val="FFFFFF"/>
                <w:sz w:val="16"/>
              </w:rPr>
              <w:t>相对风险</w:t>
            </w:r>
          </w:p>
        </w:tc>
      </w:tr>
      <w:tr>
        <w:trPr>
          <w:jc w:val="center"/>
        </w:trPr>
        <w:tc>
          <w:tcPr>
            <w:tcW w:w="1109" w:type="dxa"/>
            <w:vAlign w:val="center"/>
          </w:tcPr>
          <w:p>
            <w:pPr>
              <w:spacing w:after="0"/>
              <w:rPr>
                <w:color w:val="2E54A1" w:themeColor="accent1" w:themeShade="BF"/>
              </w:rPr>
            </w:pPr>
            <w:r>
              <w:rPr>
                <w:color w:val="213947"/>
                <w:sz w:val="15"/>
              </w:rPr>
              <w:t>Low</w:t>
            </w:r>
          </w:p>
        </w:tc>
        <w:tc>
          <w:tcPr>
            <w:tcW w:w="1325" w:type="dxa"/>
            <w:vAlign w:val="center"/>
          </w:tcPr>
          <w:p>
            <w:pPr>
              <w:spacing w:after="0"/>
              <w:rPr>
                <w:color w:val="2E54A1" w:themeColor="accent1" w:themeShade="BF"/>
              </w:rPr>
            </w:pPr>
            <w:r>
              <w:rPr>
                <w:color w:val="213947"/>
                <w:sz w:val="15"/>
              </w:rPr>
              <w:t>Low</w:t>
            </w:r>
          </w:p>
        </w:tc>
        <w:tc>
          <w:tcPr>
            <w:tcW w:w="2059" w:type="dxa"/>
            <w:vAlign w:val="center"/>
          </w:tcPr>
          <w:p>
            <w:pPr>
              <w:spacing w:after="0"/>
              <w:rPr>
                <w:color w:val="2E54A1" w:themeColor="accent1" w:themeShade="BF"/>
              </w:rPr>
            </w:pPr>
            <w:r>
              <w:rPr>
                <w:color w:val="213947"/>
                <w:sz w:val="15"/>
              </w:rPr>
              <w:t>Middle</w:t>
            </w:r>
          </w:p>
        </w:tc>
        <w:tc>
          <w:tcPr>
            <w:tcW w:w="1368" w:type="dxa"/>
            <w:vAlign w:val="center"/>
          </w:tcPr>
          <w:p>
            <w:pPr>
              <w:spacing w:after="0"/>
              <w:rPr>
                <w:color w:val="2E54A1" w:themeColor="accent1" w:themeShade="BF"/>
              </w:rPr>
            </w:pPr>
            <w:r>
              <w:rPr>
                <w:color w:val="213947"/>
                <w:sz w:val="15"/>
              </w:rPr>
              <w:t>9,454</w:t>
            </w:r>
          </w:p>
        </w:tc>
        <w:tc>
          <w:tcPr>
            <w:tcW w:w="1598" w:type="dxa"/>
            <w:vAlign w:val="center"/>
          </w:tcPr>
          <w:p>
            <w:pPr>
              <w:spacing w:after="0"/>
              <w:rPr>
                <w:color w:val="2E54A1" w:themeColor="accent1" w:themeShade="BF"/>
              </w:rPr>
            </w:pPr>
            <w:r>
              <w:rPr>
                <w:color w:val="213947"/>
                <w:sz w:val="15"/>
              </w:rPr>
              <w:t>25.30%</w:t>
            </w:r>
          </w:p>
        </w:tc>
        <w:tc>
          <w:tcPr>
            <w:tcW w:w="1210" w:type="dxa"/>
            <w:vAlign w:val="center"/>
          </w:tcPr>
          <w:p>
            <w:pPr>
              <w:spacing w:after="0"/>
              <w:rPr>
                <w:color w:val="2E54A1" w:themeColor="accent1" w:themeShade="BF"/>
              </w:rPr>
            </w:pPr>
            <w:r>
              <w:rPr>
                <w:color w:val="213947"/>
                <w:sz w:val="15"/>
              </w:rPr>
              <w:t>3.13x</w:t>
            </w:r>
          </w:p>
        </w:tc>
      </w:tr>
      <w:tr>
        <w:trPr>
          <w:jc w:val="center"/>
        </w:trPr>
        <w:tc>
          <w:tcPr>
            <w:tcW w:w="1109" w:type="dxa"/>
            <w:shd w:val="clear" w:color="auto" w:fill="F2F6F8"/>
            <w:vAlign w:val="center"/>
          </w:tcPr>
          <w:p>
            <w:pPr>
              <w:spacing w:after="0"/>
              <w:rPr>
                <w:color w:val="2E54A1" w:themeColor="accent1" w:themeShade="BF"/>
              </w:rPr>
            </w:pPr>
            <w:r>
              <w:rPr>
                <w:color w:val="213947"/>
                <w:sz w:val="15"/>
              </w:rPr>
              <w:t>Low</w:t>
            </w:r>
          </w:p>
        </w:tc>
        <w:tc>
          <w:tcPr>
            <w:tcW w:w="1325" w:type="dxa"/>
            <w:shd w:val="clear" w:color="auto" w:fill="F2F6F8"/>
            <w:vAlign w:val="center"/>
          </w:tcPr>
          <w:p>
            <w:pPr>
              <w:spacing w:after="0"/>
              <w:rPr>
                <w:color w:val="2E54A1" w:themeColor="accent1" w:themeShade="BF"/>
              </w:rPr>
            </w:pPr>
            <w:r>
              <w:rPr>
                <w:color w:val="213947"/>
                <w:sz w:val="15"/>
              </w:rPr>
              <w:t>Low</w:t>
            </w:r>
          </w:p>
        </w:tc>
        <w:tc>
          <w:tcPr>
            <w:tcW w:w="2059" w:type="dxa"/>
            <w:shd w:val="clear" w:color="auto" w:fill="F2F6F8"/>
            <w:vAlign w:val="center"/>
          </w:tcPr>
          <w:p>
            <w:pPr>
              <w:spacing w:after="0"/>
              <w:rPr>
                <w:color w:val="2E54A1" w:themeColor="accent1" w:themeShade="BF"/>
              </w:rPr>
            </w:pPr>
            <w:r>
              <w:rPr>
                <w:color w:val="213947"/>
                <w:sz w:val="15"/>
              </w:rPr>
              <w:t>High</w:t>
            </w:r>
          </w:p>
        </w:tc>
        <w:tc>
          <w:tcPr>
            <w:tcW w:w="1368" w:type="dxa"/>
            <w:shd w:val="clear" w:color="auto" w:fill="F2F6F8"/>
            <w:vAlign w:val="center"/>
          </w:tcPr>
          <w:p>
            <w:pPr>
              <w:spacing w:after="0"/>
              <w:rPr>
                <w:color w:val="2E54A1" w:themeColor="accent1" w:themeShade="BF"/>
              </w:rPr>
            </w:pPr>
            <w:r>
              <w:rPr>
                <w:color w:val="213947"/>
                <w:sz w:val="15"/>
              </w:rPr>
              <w:t>3,418</w:t>
            </w:r>
          </w:p>
        </w:tc>
        <w:tc>
          <w:tcPr>
            <w:tcW w:w="1598" w:type="dxa"/>
            <w:shd w:val="clear" w:color="auto" w:fill="F2F6F8"/>
            <w:vAlign w:val="center"/>
          </w:tcPr>
          <w:p>
            <w:pPr>
              <w:spacing w:after="0"/>
              <w:rPr>
                <w:color w:val="2E54A1" w:themeColor="accent1" w:themeShade="BF"/>
              </w:rPr>
            </w:pPr>
            <w:r>
              <w:rPr>
                <w:color w:val="213947"/>
                <w:sz w:val="15"/>
              </w:rPr>
              <w:t>22.41%</w:t>
            </w:r>
          </w:p>
        </w:tc>
        <w:tc>
          <w:tcPr>
            <w:tcW w:w="1210" w:type="dxa"/>
            <w:shd w:val="clear" w:color="auto" w:fill="F2F6F8"/>
            <w:vAlign w:val="center"/>
          </w:tcPr>
          <w:p>
            <w:pPr>
              <w:spacing w:after="0"/>
              <w:rPr>
                <w:color w:val="2E54A1" w:themeColor="accent1" w:themeShade="BF"/>
              </w:rPr>
            </w:pPr>
            <w:r>
              <w:rPr>
                <w:color w:val="213947"/>
                <w:sz w:val="15"/>
              </w:rPr>
              <w:t>2.78x</w:t>
            </w:r>
          </w:p>
        </w:tc>
      </w:tr>
      <w:tr>
        <w:trPr>
          <w:jc w:val="center"/>
        </w:trPr>
        <w:tc>
          <w:tcPr>
            <w:tcW w:w="1109" w:type="dxa"/>
            <w:vAlign w:val="center"/>
          </w:tcPr>
          <w:p>
            <w:pPr>
              <w:spacing w:after="0"/>
              <w:rPr>
                <w:color w:val="2E54A1" w:themeColor="accent1" w:themeShade="BF"/>
              </w:rPr>
            </w:pPr>
            <w:r>
              <w:rPr>
                <w:color w:val="213947"/>
                <w:sz w:val="15"/>
              </w:rPr>
              <w:t>Low</w:t>
            </w:r>
          </w:p>
        </w:tc>
        <w:tc>
          <w:tcPr>
            <w:tcW w:w="1325" w:type="dxa"/>
            <w:vAlign w:val="center"/>
          </w:tcPr>
          <w:p>
            <w:pPr>
              <w:spacing w:after="0"/>
              <w:rPr>
                <w:color w:val="2E54A1" w:themeColor="accent1" w:themeShade="BF"/>
              </w:rPr>
            </w:pPr>
            <w:r>
              <w:rPr>
                <w:color w:val="213947"/>
                <w:sz w:val="15"/>
              </w:rPr>
              <w:t>Low</w:t>
            </w:r>
          </w:p>
        </w:tc>
        <w:tc>
          <w:tcPr>
            <w:tcW w:w="2059" w:type="dxa"/>
            <w:vAlign w:val="center"/>
          </w:tcPr>
          <w:p>
            <w:pPr>
              <w:spacing w:after="0"/>
              <w:rPr>
                <w:color w:val="2E54A1" w:themeColor="accent1" w:themeShade="BF"/>
              </w:rPr>
            </w:pPr>
            <w:r>
              <w:rPr>
                <w:color w:val="213947"/>
                <w:sz w:val="15"/>
              </w:rPr>
              <w:t>Low</w:t>
            </w:r>
          </w:p>
        </w:tc>
        <w:tc>
          <w:tcPr>
            <w:tcW w:w="1368" w:type="dxa"/>
            <w:vAlign w:val="center"/>
          </w:tcPr>
          <w:p>
            <w:pPr>
              <w:spacing w:after="0"/>
              <w:rPr>
                <w:color w:val="2E54A1" w:themeColor="accent1" w:themeShade="BF"/>
              </w:rPr>
            </w:pPr>
            <w:r>
              <w:rPr>
                <w:color w:val="213947"/>
                <w:sz w:val="15"/>
              </w:rPr>
              <w:t>5,081</w:t>
            </w:r>
          </w:p>
        </w:tc>
        <w:tc>
          <w:tcPr>
            <w:tcW w:w="1598" w:type="dxa"/>
            <w:vAlign w:val="center"/>
          </w:tcPr>
          <w:p>
            <w:pPr>
              <w:spacing w:after="0"/>
              <w:rPr>
                <w:color w:val="2E54A1" w:themeColor="accent1" w:themeShade="BF"/>
              </w:rPr>
            </w:pPr>
            <w:r>
              <w:rPr>
                <w:color w:val="213947"/>
                <w:sz w:val="15"/>
              </w:rPr>
              <w:t>21.06%</w:t>
            </w:r>
          </w:p>
        </w:tc>
        <w:tc>
          <w:tcPr>
            <w:tcW w:w="1210" w:type="dxa"/>
            <w:vAlign w:val="center"/>
          </w:tcPr>
          <w:p>
            <w:pPr>
              <w:spacing w:after="0"/>
              <w:rPr>
                <w:color w:val="2E54A1" w:themeColor="accent1" w:themeShade="BF"/>
              </w:rPr>
            </w:pPr>
            <w:r>
              <w:rPr>
                <w:color w:val="213947"/>
                <w:sz w:val="15"/>
              </w:rPr>
              <w:t>2.61x</w:t>
            </w:r>
          </w:p>
        </w:tc>
      </w:tr>
      <w:tr>
        <w:trPr>
          <w:jc w:val="center"/>
        </w:trPr>
        <w:tc>
          <w:tcPr>
            <w:tcW w:w="1109" w:type="dxa"/>
            <w:shd w:val="clear" w:color="auto" w:fill="F2F6F8"/>
            <w:vAlign w:val="center"/>
          </w:tcPr>
          <w:p>
            <w:pPr>
              <w:spacing w:after="0"/>
              <w:rPr>
                <w:color w:val="2E54A1" w:themeColor="accent1" w:themeShade="BF"/>
              </w:rPr>
            </w:pPr>
            <w:r>
              <w:rPr>
                <w:color w:val="213947"/>
                <w:sz w:val="15"/>
              </w:rPr>
              <w:t>Low</w:t>
            </w:r>
          </w:p>
        </w:tc>
        <w:tc>
          <w:tcPr>
            <w:tcW w:w="1325" w:type="dxa"/>
            <w:shd w:val="clear" w:color="auto" w:fill="F2F6F8"/>
            <w:vAlign w:val="center"/>
          </w:tcPr>
          <w:p>
            <w:pPr>
              <w:spacing w:after="0"/>
              <w:rPr>
                <w:color w:val="2E54A1" w:themeColor="accent1" w:themeShade="BF"/>
              </w:rPr>
            </w:pPr>
            <w:r>
              <w:rPr>
                <w:color w:val="213947"/>
                <w:sz w:val="15"/>
              </w:rPr>
              <w:t>Missing</w:t>
            </w:r>
          </w:p>
        </w:tc>
        <w:tc>
          <w:tcPr>
            <w:tcW w:w="2059" w:type="dxa"/>
            <w:shd w:val="clear" w:color="auto" w:fill="F2F6F8"/>
            <w:vAlign w:val="center"/>
          </w:tcPr>
          <w:p>
            <w:pPr>
              <w:spacing w:after="0"/>
              <w:rPr>
                <w:color w:val="2E54A1" w:themeColor="accent1" w:themeShade="BF"/>
              </w:rPr>
            </w:pPr>
            <w:r>
              <w:rPr>
                <w:color w:val="213947"/>
                <w:sz w:val="15"/>
              </w:rPr>
              <w:t>Middle</w:t>
            </w:r>
          </w:p>
        </w:tc>
        <w:tc>
          <w:tcPr>
            <w:tcW w:w="1368" w:type="dxa"/>
            <w:shd w:val="clear" w:color="auto" w:fill="F2F6F8"/>
            <w:vAlign w:val="center"/>
          </w:tcPr>
          <w:p>
            <w:pPr>
              <w:spacing w:after="0"/>
              <w:rPr>
                <w:color w:val="2E54A1" w:themeColor="accent1" w:themeShade="BF"/>
              </w:rPr>
            </w:pPr>
            <w:r>
              <w:rPr>
                <w:color w:val="213947"/>
                <w:sz w:val="15"/>
              </w:rPr>
              <w:t>8,830</w:t>
            </w:r>
          </w:p>
        </w:tc>
        <w:tc>
          <w:tcPr>
            <w:tcW w:w="1598" w:type="dxa"/>
            <w:shd w:val="clear" w:color="auto" w:fill="F2F6F8"/>
            <w:vAlign w:val="center"/>
          </w:tcPr>
          <w:p>
            <w:pPr>
              <w:spacing w:after="0"/>
              <w:rPr>
                <w:color w:val="2E54A1" w:themeColor="accent1" w:themeShade="BF"/>
              </w:rPr>
            </w:pPr>
            <w:r>
              <w:rPr>
                <w:color w:val="213947"/>
                <w:sz w:val="15"/>
              </w:rPr>
              <w:t>17.20%</w:t>
            </w:r>
          </w:p>
        </w:tc>
        <w:tc>
          <w:tcPr>
            <w:tcW w:w="1210" w:type="dxa"/>
            <w:shd w:val="clear" w:color="auto" w:fill="F2F6F8"/>
            <w:vAlign w:val="center"/>
          </w:tcPr>
          <w:p>
            <w:pPr>
              <w:spacing w:after="0"/>
              <w:rPr>
                <w:color w:val="2E54A1" w:themeColor="accent1" w:themeShade="BF"/>
              </w:rPr>
            </w:pPr>
            <w:r>
              <w:rPr>
                <w:color w:val="213947"/>
                <w:sz w:val="15"/>
              </w:rPr>
              <w:t>2.13x</w:t>
            </w:r>
          </w:p>
        </w:tc>
      </w:tr>
      <w:tr>
        <w:trPr>
          <w:jc w:val="center"/>
        </w:trPr>
        <w:tc>
          <w:tcPr>
            <w:tcW w:w="1109" w:type="dxa"/>
            <w:vAlign w:val="center"/>
          </w:tcPr>
          <w:p>
            <w:pPr>
              <w:spacing w:after="0"/>
              <w:rPr>
                <w:color w:val="2E54A1" w:themeColor="accent1" w:themeShade="BF"/>
              </w:rPr>
            </w:pPr>
            <w:r>
              <w:rPr>
                <w:color w:val="213947"/>
                <w:sz w:val="15"/>
              </w:rPr>
              <w:t>Low</w:t>
            </w:r>
          </w:p>
        </w:tc>
        <w:tc>
          <w:tcPr>
            <w:tcW w:w="1325" w:type="dxa"/>
            <w:vAlign w:val="center"/>
          </w:tcPr>
          <w:p>
            <w:pPr>
              <w:spacing w:after="0"/>
              <w:rPr>
                <w:color w:val="2E54A1" w:themeColor="accent1" w:themeShade="BF"/>
              </w:rPr>
            </w:pPr>
            <w:r>
              <w:rPr>
                <w:color w:val="213947"/>
                <w:sz w:val="15"/>
              </w:rPr>
              <w:t>Missing</w:t>
            </w:r>
          </w:p>
        </w:tc>
        <w:tc>
          <w:tcPr>
            <w:tcW w:w="2059" w:type="dxa"/>
            <w:vAlign w:val="center"/>
          </w:tcPr>
          <w:p>
            <w:pPr>
              <w:spacing w:after="0"/>
              <w:rPr>
                <w:color w:val="2E54A1" w:themeColor="accent1" w:themeShade="BF"/>
              </w:rPr>
            </w:pPr>
            <w:r>
              <w:rPr>
                <w:color w:val="213947"/>
                <w:sz w:val="15"/>
              </w:rPr>
              <w:t>High</w:t>
            </w:r>
          </w:p>
        </w:tc>
        <w:tc>
          <w:tcPr>
            <w:tcW w:w="1368" w:type="dxa"/>
            <w:vAlign w:val="center"/>
          </w:tcPr>
          <w:p>
            <w:pPr>
              <w:spacing w:after="0"/>
              <w:rPr>
                <w:color w:val="2E54A1" w:themeColor="accent1" w:themeShade="BF"/>
              </w:rPr>
            </w:pPr>
            <w:r>
              <w:rPr>
                <w:color w:val="213947"/>
                <w:sz w:val="15"/>
              </w:rPr>
              <w:t>4,236</w:t>
            </w:r>
          </w:p>
        </w:tc>
        <w:tc>
          <w:tcPr>
            <w:tcW w:w="1598" w:type="dxa"/>
            <w:vAlign w:val="center"/>
          </w:tcPr>
          <w:p>
            <w:pPr>
              <w:spacing w:after="0"/>
              <w:rPr>
                <w:color w:val="2E54A1" w:themeColor="accent1" w:themeShade="BF"/>
              </w:rPr>
            </w:pPr>
            <w:r>
              <w:rPr>
                <w:color w:val="213947"/>
                <w:sz w:val="15"/>
              </w:rPr>
              <w:t>15.18%</w:t>
            </w:r>
          </w:p>
        </w:tc>
        <w:tc>
          <w:tcPr>
            <w:tcW w:w="1210" w:type="dxa"/>
            <w:vAlign w:val="center"/>
          </w:tcPr>
          <w:p>
            <w:pPr>
              <w:spacing w:after="0"/>
              <w:rPr>
                <w:color w:val="2E54A1" w:themeColor="accent1" w:themeShade="BF"/>
              </w:rPr>
            </w:pPr>
            <w:r>
              <w:rPr>
                <w:color w:val="213947"/>
                <w:sz w:val="15"/>
              </w:rPr>
              <w:t>1.88x</w:t>
            </w:r>
          </w:p>
        </w:tc>
      </w:tr>
      <w:tr>
        <w:trPr>
          <w:jc w:val="center"/>
        </w:trPr>
        <w:tc>
          <w:tcPr>
            <w:tcW w:w="1109" w:type="dxa"/>
            <w:shd w:val="clear" w:color="auto" w:fill="F2F6F8"/>
            <w:vAlign w:val="center"/>
          </w:tcPr>
          <w:p>
            <w:pPr>
              <w:spacing w:after="0"/>
              <w:rPr>
                <w:color w:val="2E54A1" w:themeColor="accent1" w:themeShade="BF"/>
              </w:rPr>
            </w:pPr>
            <w:r>
              <w:rPr>
                <w:color w:val="213947"/>
                <w:sz w:val="15"/>
              </w:rPr>
              <w:t>Low</w:t>
            </w:r>
          </w:p>
        </w:tc>
        <w:tc>
          <w:tcPr>
            <w:tcW w:w="1325" w:type="dxa"/>
            <w:shd w:val="clear" w:color="auto" w:fill="F2F6F8"/>
            <w:vAlign w:val="center"/>
          </w:tcPr>
          <w:p>
            <w:pPr>
              <w:spacing w:after="0"/>
              <w:rPr>
                <w:color w:val="2E54A1" w:themeColor="accent1" w:themeShade="BF"/>
              </w:rPr>
            </w:pPr>
            <w:r>
              <w:rPr>
                <w:color w:val="213947"/>
                <w:sz w:val="15"/>
              </w:rPr>
              <w:t>Missing</w:t>
            </w:r>
          </w:p>
        </w:tc>
        <w:tc>
          <w:tcPr>
            <w:tcW w:w="2059" w:type="dxa"/>
            <w:shd w:val="clear" w:color="auto" w:fill="F2F6F8"/>
            <w:vAlign w:val="center"/>
          </w:tcPr>
          <w:p>
            <w:pPr>
              <w:spacing w:after="0"/>
              <w:rPr>
                <w:color w:val="2E54A1" w:themeColor="accent1" w:themeShade="BF"/>
              </w:rPr>
            </w:pPr>
            <w:r>
              <w:rPr>
                <w:color w:val="213947"/>
                <w:sz w:val="15"/>
              </w:rPr>
              <w:t>Low</w:t>
            </w:r>
          </w:p>
        </w:tc>
        <w:tc>
          <w:tcPr>
            <w:tcW w:w="1368" w:type="dxa"/>
            <w:shd w:val="clear" w:color="auto" w:fill="F2F6F8"/>
            <w:vAlign w:val="center"/>
          </w:tcPr>
          <w:p>
            <w:pPr>
              <w:spacing w:after="0"/>
              <w:rPr>
                <w:color w:val="2E54A1" w:themeColor="accent1" w:themeShade="BF"/>
              </w:rPr>
            </w:pPr>
            <w:r>
              <w:rPr>
                <w:color w:val="213947"/>
                <w:sz w:val="15"/>
              </w:rPr>
              <w:t>4,219</w:t>
            </w:r>
          </w:p>
        </w:tc>
        <w:tc>
          <w:tcPr>
            <w:tcW w:w="1598" w:type="dxa"/>
            <w:shd w:val="clear" w:color="auto" w:fill="F2F6F8"/>
            <w:vAlign w:val="center"/>
          </w:tcPr>
          <w:p>
            <w:pPr>
              <w:spacing w:after="0"/>
              <w:rPr>
                <w:color w:val="2E54A1" w:themeColor="accent1" w:themeShade="BF"/>
              </w:rPr>
            </w:pPr>
            <w:r>
              <w:rPr>
                <w:color w:val="213947"/>
                <w:sz w:val="15"/>
              </w:rPr>
              <w:t>14.74%</w:t>
            </w:r>
          </w:p>
        </w:tc>
        <w:tc>
          <w:tcPr>
            <w:tcW w:w="1210" w:type="dxa"/>
            <w:shd w:val="clear" w:color="auto" w:fill="F2F6F8"/>
            <w:vAlign w:val="center"/>
          </w:tcPr>
          <w:p>
            <w:pPr>
              <w:spacing w:after="0"/>
              <w:rPr>
                <w:color w:val="2E54A1" w:themeColor="accent1" w:themeShade="BF"/>
              </w:rPr>
            </w:pPr>
            <w:r>
              <w:rPr>
                <w:color w:val="213947"/>
                <w:sz w:val="15"/>
              </w:rPr>
              <w:t>1.83x</w:t>
            </w:r>
          </w:p>
        </w:tc>
      </w:tr>
      <w:tr>
        <w:trPr>
          <w:jc w:val="center"/>
        </w:trPr>
        <w:tc>
          <w:tcPr>
            <w:tcW w:w="1109" w:type="dxa"/>
            <w:vAlign w:val="center"/>
          </w:tcPr>
          <w:p>
            <w:pPr>
              <w:spacing w:after="0"/>
              <w:rPr>
                <w:color w:val="2E54A1" w:themeColor="accent1" w:themeShade="BF"/>
              </w:rPr>
            </w:pPr>
            <w:r>
              <w:rPr>
                <w:color w:val="213947"/>
                <w:sz w:val="15"/>
              </w:rPr>
              <w:t>Middle</w:t>
            </w:r>
          </w:p>
        </w:tc>
        <w:tc>
          <w:tcPr>
            <w:tcW w:w="1325" w:type="dxa"/>
            <w:vAlign w:val="center"/>
          </w:tcPr>
          <w:p>
            <w:pPr>
              <w:spacing w:after="0"/>
              <w:rPr>
                <w:color w:val="2E54A1" w:themeColor="accent1" w:themeShade="BF"/>
              </w:rPr>
            </w:pPr>
            <w:r>
              <w:rPr>
                <w:color w:val="213947"/>
                <w:sz w:val="15"/>
              </w:rPr>
              <w:t>Low</w:t>
            </w:r>
          </w:p>
        </w:tc>
        <w:tc>
          <w:tcPr>
            <w:tcW w:w="2059" w:type="dxa"/>
            <w:vAlign w:val="center"/>
          </w:tcPr>
          <w:p>
            <w:pPr>
              <w:spacing w:after="0"/>
              <w:rPr>
                <w:color w:val="2E54A1" w:themeColor="accent1" w:themeShade="BF"/>
              </w:rPr>
            </w:pPr>
            <w:r>
              <w:rPr>
                <w:color w:val="213947"/>
                <w:sz w:val="15"/>
              </w:rPr>
              <w:t>Middle</w:t>
            </w:r>
          </w:p>
        </w:tc>
        <w:tc>
          <w:tcPr>
            <w:tcW w:w="1368" w:type="dxa"/>
            <w:vAlign w:val="center"/>
          </w:tcPr>
          <w:p>
            <w:pPr>
              <w:spacing w:after="0"/>
              <w:rPr>
                <w:color w:val="2E54A1" w:themeColor="accent1" w:themeShade="BF"/>
              </w:rPr>
            </w:pPr>
            <w:r>
              <w:rPr>
                <w:color w:val="213947"/>
                <w:sz w:val="15"/>
              </w:rPr>
              <w:t>16,115</w:t>
            </w:r>
          </w:p>
        </w:tc>
        <w:tc>
          <w:tcPr>
            <w:tcW w:w="1598" w:type="dxa"/>
            <w:vAlign w:val="center"/>
          </w:tcPr>
          <w:p>
            <w:pPr>
              <w:spacing w:after="0"/>
              <w:rPr>
                <w:color w:val="2E54A1" w:themeColor="accent1" w:themeShade="BF"/>
              </w:rPr>
            </w:pPr>
            <w:r>
              <w:rPr>
                <w:color w:val="213947"/>
                <w:sz w:val="15"/>
              </w:rPr>
              <w:t>14.10%</w:t>
            </w:r>
          </w:p>
        </w:tc>
        <w:tc>
          <w:tcPr>
            <w:tcW w:w="1210" w:type="dxa"/>
            <w:vAlign w:val="center"/>
          </w:tcPr>
          <w:p>
            <w:pPr>
              <w:spacing w:after="0"/>
              <w:rPr>
                <w:color w:val="2E54A1" w:themeColor="accent1" w:themeShade="BF"/>
              </w:rPr>
            </w:pPr>
            <w:r>
              <w:rPr>
                <w:color w:val="213947"/>
                <w:sz w:val="15"/>
              </w:rPr>
              <w:t>1.75x</w:t>
            </w:r>
          </w:p>
        </w:tc>
      </w:tr>
      <w:tr>
        <w:trPr>
          <w:jc w:val="center"/>
        </w:trPr>
        <w:tc>
          <w:tcPr>
            <w:tcW w:w="1109" w:type="dxa"/>
            <w:shd w:val="clear" w:color="auto" w:fill="F2F6F8"/>
            <w:vAlign w:val="center"/>
          </w:tcPr>
          <w:p>
            <w:pPr>
              <w:spacing w:after="0"/>
              <w:rPr>
                <w:color w:val="2E54A1" w:themeColor="accent1" w:themeShade="BF"/>
              </w:rPr>
            </w:pPr>
            <w:r>
              <w:rPr>
                <w:color w:val="213947"/>
                <w:sz w:val="15"/>
              </w:rPr>
              <w:t>Middle</w:t>
            </w:r>
          </w:p>
        </w:tc>
        <w:tc>
          <w:tcPr>
            <w:tcW w:w="1325" w:type="dxa"/>
            <w:shd w:val="clear" w:color="auto" w:fill="F2F6F8"/>
            <w:vAlign w:val="center"/>
          </w:tcPr>
          <w:p>
            <w:pPr>
              <w:spacing w:after="0"/>
              <w:rPr>
                <w:color w:val="2E54A1" w:themeColor="accent1" w:themeShade="BF"/>
              </w:rPr>
            </w:pPr>
            <w:r>
              <w:rPr>
                <w:color w:val="213947"/>
                <w:sz w:val="15"/>
              </w:rPr>
              <w:t>Low</w:t>
            </w:r>
          </w:p>
        </w:tc>
        <w:tc>
          <w:tcPr>
            <w:tcW w:w="2059" w:type="dxa"/>
            <w:shd w:val="clear" w:color="auto" w:fill="F2F6F8"/>
            <w:vAlign w:val="center"/>
          </w:tcPr>
          <w:p>
            <w:pPr>
              <w:spacing w:after="0"/>
              <w:rPr>
                <w:color w:val="2E54A1" w:themeColor="accent1" w:themeShade="BF"/>
              </w:rPr>
            </w:pPr>
            <w:r>
              <w:rPr>
                <w:color w:val="213947"/>
                <w:sz w:val="15"/>
              </w:rPr>
              <w:t>High</w:t>
            </w:r>
          </w:p>
        </w:tc>
        <w:tc>
          <w:tcPr>
            <w:tcW w:w="1368" w:type="dxa"/>
            <w:shd w:val="clear" w:color="auto" w:fill="F2F6F8"/>
            <w:vAlign w:val="center"/>
          </w:tcPr>
          <w:p>
            <w:pPr>
              <w:spacing w:after="0"/>
              <w:rPr>
                <w:color w:val="2E54A1" w:themeColor="accent1" w:themeShade="BF"/>
              </w:rPr>
            </w:pPr>
            <w:r>
              <w:rPr>
                <w:color w:val="213947"/>
                <w:sz w:val="15"/>
              </w:rPr>
              <w:t>6,168</w:t>
            </w:r>
          </w:p>
        </w:tc>
        <w:tc>
          <w:tcPr>
            <w:tcW w:w="1598" w:type="dxa"/>
            <w:shd w:val="clear" w:color="auto" w:fill="F2F6F8"/>
            <w:vAlign w:val="center"/>
          </w:tcPr>
          <w:p>
            <w:pPr>
              <w:spacing w:after="0"/>
              <w:rPr>
                <w:color w:val="2E54A1" w:themeColor="accent1" w:themeShade="BF"/>
              </w:rPr>
            </w:pPr>
            <w:r>
              <w:rPr>
                <w:color w:val="213947"/>
                <w:sz w:val="15"/>
              </w:rPr>
              <w:t>12.60%</w:t>
            </w:r>
          </w:p>
        </w:tc>
        <w:tc>
          <w:tcPr>
            <w:tcW w:w="1210" w:type="dxa"/>
            <w:shd w:val="clear" w:color="auto" w:fill="F2F6F8"/>
            <w:vAlign w:val="center"/>
          </w:tcPr>
          <w:p>
            <w:pPr>
              <w:spacing w:after="0"/>
              <w:rPr>
                <w:color w:val="2E54A1" w:themeColor="accent1" w:themeShade="BF"/>
              </w:rPr>
            </w:pPr>
            <w:r>
              <w:rPr>
                <w:color w:val="213947"/>
                <w:sz w:val="15"/>
              </w:rPr>
              <w:t>1.56x</w:t>
            </w:r>
          </w:p>
        </w:tc>
      </w:tr>
      <w:tr>
        <w:trPr>
          <w:jc w:val="center"/>
        </w:trPr>
        <w:tc>
          <w:tcPr>
            <w:tcW w:w="1109" w:type="dxa"/>
            <w:vAlign w:val="center"/>
          </w:tcPr>
          <w:p>
            <w:pPr>
              <w:spacing w:after="0"/>
              <w:rPr>
                <w:color w:val="2E54A1" w:themeColor="accent1" w:themeShade="BF"/>
              </w:rPr>
            </w:pPr>
            <w:r>
              <w:rPr>
                <w:color w:val="213947"/>
                <w:sz w:val="15"/>
              </w:rPr>
              <w:t>Middle</w:t>
            </w:r>
          </w:p>
        </w:tc>
        <w:tc>
          <w:tcPr>
            <w:tcW w:w="1325" w:type="dxa"/>
            <w:vAlign w:val="center"/>
          </w:tcPr>
          <w:p>
            <w:pPr>
              <w:spacing w:after="0"/>
              <w:rPr>
                <w:color w:val="2E54A1" w:themeColor="accent1" w:themeShade="BF"/>
              </w:rPr>
            </w:pPr>
            <w:r>
              <w:rPr>
                <w:color w:val="213947"/>
                <w:sz w:val="15"/>
              </w:rPr>
              <w:t>Low</w:t>
            </w:r>
          </w:p>
        </w:tc>
        <w:tc>
          <w:tcPr>
            <w:tcW w:w="2059" w:type="dxa"/>
            <w:vAlign w:val="center"/>
          </w:tcPr>
          <w:p>
            <w:pPr>
              <w:spacing w:after="0"/>
              <w:rPr>
                <w:color w:val="2E54A1" w:themeColor="accent1" w:themeShade="BF"/>
              </w:rPr>
            </w:pPr>
            <w:r>
              <w:rPr>
                <w:color w:val="213947"/>
                <w:sz w:val="15"/>
              </w:rPr>
              <w:t>Low</w:t>
            </w:r>
          </w:p>
        </w:tc>
        <w:tc>
          <w:tcPr>
            <w:tcW w:w="1368" w:type="dxa"/>
            <w:vAlign w:val="center"/>
          </w:tcPr>
          <w:p>
            <w:pPr>
              <w:spacing w:after="0"/>
              <w:rPr>
                <w:color w:val="2E54A1" w:themeColor="accent1" w:themeShade="BF"/>
              </w:rPr>
            </w:pPr>
            <w:r>
              <w:rPr>
                <w:color w:val="213947"/>
                <w:sz w:val="15"/>
              </w:rPr>
              <w:t>9,040</w:t>
            </w:r>
          </w:p>
        </w:tc>
        <w:tc>
          <w:tcPr>
            <w:tcW w:w="1598" w:type="dxa"/>
            <w:vAlign w:val="center"/>
          </w:tcPr>
          <w:p>
            <w:pPr>
              <w:spacing w:after="0"/>
              <w:rPr>
                <w:color w:val="2E54A1" w:themeColor="accent1" w:themeShade="BF"/>
              </w:rPr>
            </w:pPr>
            <w:r>
              <w:rPr>
                <w:color w:val="213947"/>
                <w:sz w:val="15"/>
              </w:rPr>
              <w:t>11.86%</w:t>
            </w:r>
          </w:p>
        </w:tc>
        <w:tc>
          <w:tcPr>
            <w:tcW w:w="1210" w:type="dxa"/>
            <w:vAlign w:val="center"/>
          </w:tcPr>
          <w:p>
            <w:pPr>
              <w:spacing w:after="0"/>
              <w:rPr>
                <w:color w:val="2E54A1" w:themeColor="accent1" w:themeShade="BF"/>
              </w:rPr>
            </w:pPr>
            <w:r>
              <w:rPr>
                <w:color w:val="213947"/>
                <w:sz w:val="15"/>
              </w:rPr>
              <w:t>1.47x</w:t>
            </w:r>
          </w:p>
        </w:tc>
      </w:tr>
      <w:tr>
        <w:trPr>
          <w:jc w:val="center"/>
        </w:trPr>
        <w:tc>
          <w:tcPr>
            <w:tcW w:w="1109" w:type="dxa"/>
            <w:shd w:val="clear" w:color="auto" w:fill="F2F6F8"/>
            <w:vAlign w:val="center"/>
          </w:tcPr>
          <w:p>
            <w:pPr>
              <w:spacing w:after="0"/>
              <w:rPr>
                <w:color w:val="2E54A1" w:themeColor="accent1" w:themeShade="BF"/>
              </w:rPr>
            </w:pPr>
            <w:r>
              <w:rPr>
                <w:color w:val="213947"/>
                <w:sz w:val="15"/>
              </w:rPr>
              <w:t>Low</w:t>
            </w:r>
          </w:p>
        </w:tc>
        <w:tc>
          <w:tcPr>
            <w:tcW w:w="1325" w:type="dxa"/>
            <w:shd w:val="clear" w:color="auto" w:fill="F2F6F8"/>
            <w:vAlign w:val="center"/>
          </w:tcPr>
          <w:p>
            <w:pPr>
              <w:spacing w:after="0"/>
              <w:rPr>
                <w:color w:val="2E54A1" w:themeColor="accent1" w:themeShade="BF"/>
              </w:rPr>
            </w:pPr>
            <w:r>
              <w:rPr>
                <w:color w:val="213947"/>
                <w:sz w:val="15"/>
              </w:rPr>
              <w:t>Middle</w:t>
            </w:r>
          </w:p>
        </w:tc>
        <w:tc>
          <w:tcPr>
            <w:tcW w:w="2059" w:type="dxa"/>
            <w:shd w:val="clear" w:color="auto" w:fill="F2F6F8"/>
            <w:vAlign w:val="center"/>
          </w:tcPr>
          <w:p>
            <w:pPr>
              <w:spacing w:after="0"/>
              <w:rPr>
                <w:color w:val="2E54A1" w:themeColor="accent1" w:themeShade="BF"/>
              </w:rPr>
            </w:pPr>
            <w:r>
              <w:rPr>
                <w:color w:val="213947"/>
                <w:sz w:val="15"/>
              </w:rPr>
              <w:t>Middle</w:t>
            </w:r>
          </w:p>
        </w:tc>
        <w:tc>
          <w:tcPr>
            <w:tcW w:w="1368" w:type="dxa"/>
            <w:shd w:val="clear" w:color="auto" w:fill="F2F6F8"/>
            <w:vAlign w:val="center"/>
          </w:tcPr>
          <w:p>
            <w:pPr>
              <w:spacing w:after="0"/>
              <w:rPr>
                <w:color w:val="2E54A1" w:themeColor="accent1" w:themeShade="BF"/>
              </w:rPr>
            </w:pPr>
            <w:r>
              <w:rPr>
                <w:color w:val="213947"/>
                <w:sz w:val="15"/>
              </w:rPr>
              <w:t>14,310</w:t>
            </w:r>
          </w:p>
        </w:tc>
        <w:tc>
          <w:tcPr>
            <w:tcW w:w="1598" w:type="dxa"/>
            <w:shd w:val="clear" w:color="auto" w:fill="F2F6F8"/>
            <w:vAlign w:val="center"/>
          </w:tcPr>
          <w:p>
            <w:pPr>
              <w:spacing w:after="0"/>
              <w:rPr>
                <w:color w:val="2E54A1" w:themeColor="accent1" w:themeShade="BF"/>
              </w:rPr>
            </w:pPr>
            <w:r>
              <w:rPr>
                <w:color w:val="213947"/>
                <w:sz w:val="15"/>
              </w:rPr>
              <w:t>11.67%</w:t>
            </w:r>
          </w:p>
        </w:tc>
        <w:tc>
          <w:tcPr>
            <w:tcW w:w="1210" w:type="dxa"/>
            <w:shd w:val="clear" w:color="auto" w:fill="F2F6F8"/>
            <w:vAlign w:val="center"/>
          </w:tcPr>
          <w:p>
            <w:pPr>
              <w:spacing w:after="0"/>
              <w:rPr>
                <w:color w:val="2E54A1" w:themeColor="accent1" w:themeShade="BF"/>
              </w:rPr>
            </w:pPr>
            <w:r>
              <w:rPr>
                <w:color w:val="213947"/>
                <w:sz w:val="15"/>
              </w:rPr>
              <w:t>1.45x</w:t>
            </w:r>
          </w:p>
        </w:tc>
      </w:tr>
    </w:tbl>
    <w:p>
      <w:pPr>
        <w:spacing w:after="20"/>
      </w:pPr>
    </w:p>
    <w:p>
      <w:pPr>
        <w:spacing w:after="120"/>
      </w:pPr>
      <w:r>
        <w:t>其中 E2:Low + E3:Low + CIR:Middle 组共有9,454条申请、2,392条TARGET=1；观察比例25.30%，是全样本8.07%的3.13倍；Wilson 95%区间下界为24.44%。这属于最需要后续做样本外复核的候选组合之一。</w:t>
      </w:r>
    </w:p>
    <w:p>
      <w:pPr>
        <w:spacing w:after="120"/>
      </w:pPr>
      <w:r>
        <w:t>候选筛选标准在分析前固定：每单元样本量≥500，观察风险率≥1.40×总体，且该组标签比例的Wilson 95%置信区间下界高于总体比例。符合门槛的三维组合为10组，完整信息保存在Excel和 outputs/tables/candidate_high_risk_interactions.csv。门槛不等于严格显著性测试，也没有多重比较校正；同一份数据发现和展示组合可能带来乐观偏差。</w:t>
      </w:r>
    </w:p>
    <w:p>
      <w:pPr>
        <w:spacing w:after="120"/>
      </w:pPr>
      <w:r>
        <w:t>特别注意：在两个匿名外部分数都偏低时，信用额收入比的Middle分组并非“额度最高”的分组，却观察到比High分组更高的TARGET率；说明关系并非严格单调，不能草率归纳为“额度收入比越高风险越高”。</w:t>
      </w:r>
    </w:p>
    <w:p>
      <w:pPr>
        <w:pStyle w:val="3"/>
        <w:spacing w:before="240" w:after="140"/>
      </w:pPr>
      <w:r>
        <w:t>A.6 对第二阶段的可执行衔接</w:t>
      </w:r>
    </w:p>
    <w:p>
      <w:pPr>
        <w:pStyle w:val="4"/>
        <w:spacing w:after="120"/>
      </w:pPr>
      <w:r>
        <w:t>优先复核EXT_SOURCE_3、EXT_SOURCE_2及多变量叠加信号，再以业务可解释性和稳定性筛选候选特征；对缺失较高的EXT_SOURCE_1审慎设立缺失标志与分组分析。</w:t>
      </w:r>
    </w:p>
    <w:p>
      <w:pPr>
        <w:pStyle w:val="4"/>
        <w:spacing w:after="120"/>
      </w:pPr>
      <w:r>
        <w:t>对年龄/性别等个人属性仅作为描述性及公平性审核因素，真实审批中应适用法律、内部政策及模型治理约束；避免把敏感属性排名直接转成自动拒绝规则。</w:t>
      </w:r>
    </w:p>
    <w:p>
      <w:pPr>
        <w:pStyle w:val="4"/>
        <w:spacing w:after="120"/>
      </w:pPr>
      <w:r>
        <w:t>必须先按客户及时间隔离训练/验证/测试；在训练折拟合分箱与WOE映射，再转换验证集和测试集，防止标签泄漏与评估乐观偏差。</w:t>
      </w:r>
    </w:p>
    <w:p>
      <w:pPr>
        <w:pStyle w:val="4"/>
        <w:spacing w:after="120"/>
      </w:pPr>
      <w:r>
        <w:t>补充六张历史明细表、核验客户关联和时间截断后重算特征；仅在阶段二训练LR/LightGBM并报告测试集AUC、KS及校准性能。</w:t>
      </w:r>
    </w:p>
    <w:p>
      <w:pPr>
        <w:pStyle w:val="4"/>
        <w:spacing w:after="120"/>
      </w:pPr>
      <w:r>
        <w:t>推送GitHub时将README、src、tests、outputs置于仓库根目录，Word/PDF/Excel集中归档于reports；原始大CSV不提交仓库。</w:t>
      </w:r>
    </w:p>
    <w:p>
      <w:pPr>
        <w:spacing w:after="120"/>
      </w:pPr>
      <w:r>
        <w:t>可复现文件：src/phase1_woe_iv.py；outputs/tables/iv_numeric_ranking.csv、woe_iv_all_numeric_bins.csv、cross_ext2_ext3.csv、cross_ext2_ext3_credit_income.csv、candidate_high_risk_interactions.csv；outputs/figures/10–12；tests/test_phase1_woe_iv.py。与原先的字段质量及EDA代码同属本次交付，不包括未提供的历史明细表。</w:t>
      </w:r>
    </w:p>
    <w:p>
      <w:bookmarkStart w:id="0" w:name="_GoBack"/>
      <w:bookmarkEnd w:id="0"/>
    </w:p>
    <w:sectPr>
      <w:headerReference r:id="rId5" w:type="default"/>
      <w:footerReference r:id="rId6" w:type="default"/>
      <w:pgSz w:w="11906" w:h="16838"/>
      <w:pgMar w:top="1162" w:right="1134" w:bottom="992"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E50D7"/>
    <w:multiLevelType w:val="singleLevel"/>
    <w:tmpl w:val="8B7E50D7"/>
    <w:lvl w:ilvl="0" w:tentative="0">
      <w:start w:val="1"/>
      <w:numFmt w:val="decimal"/>
      <w:suff w:val="space"/>
      <w:lvlText w:val="[%1]"/>
      <w:lvlJc w:val="left"/>
    </w:lvl>
  </w:abstractNum>
  <w:abstractNum w:abstractNumId="1">
    <w:nsid w:val="F9DE728D"/>
    <w:multiLevelType w:val="singleLevel"/>
    <w:tmpl w:val="F9DE728D"/>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4FF62DD"/>
    <w:rsid w:val="B4FF6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93" w:lineRule="auto"/>
    </w:pPr>
    <w:rPr>
      <w:rFonts w:ascii="Noto Sans CJK SC" w:hAnsi="Noto Sans CJK SC" w:eastAsia="Noto Sans CJK SC" w:cstheme="minorBidi"/>
      <w:sz w:val="18"/>
      <w:szCs w:val="22"/>
      <w:lang w:val="en-US" w:eastAsia="en-US" w:bidi="ar-SA"/>
    </w:rPr>
  </w:style>
  <w:style w:type="paragraph" w:styleId="2">
    <w:name w:val="heading 1"/>
    <w:basedOn w:val="1"/>
    <w:next w:val="1"/>
    <w:qFormat/>
    <w:uiPriority w:val="9"/>
    <w:pPr>
      <w:keepNext/>
      <w:keepLines/>
      <w:spacing w:before="260" w:after="140"/>
      <w:outlineLvl w:val="0"/>
    </w:pPr>
    <w:rPr>
      <w:rFonts w:asciiTheme="majorHAnsi" w:hAnsiTheme="majorHAnsi" w:eastAsiaTheme="majorEastAsia" w:cstheme="majorBidi"/>
      <w:b/>
      <w:bCs/>
      <w:color w:val="17365D"/>
      <w:sz w:val="30"/>
      <w:szCs w:val="28"/>
    </w:rPr>
  </w:style>
  <w:style w:type="paragraph" w:styleId="3">
    <w:name w:val="heading 2"/>
    <w:basedOn w:val="1"/>
    <w:next w:val="1"/>
    <w:unhideWhenUsed/>
    <w:qFormat/>
    <w:uiPriority w:val="9"/>
    <w:pPr>
      <w:keepNext/>
      <w:keepLines/>
      <w:spacing w:before="260" w:after="140"/>
      <w:outlineLvl w:val="1"/>
    </w:pPr>
    <w:rPr>
      <w:rFonts w:asciiTheme="majorHAnsi" w:hAnsiTheme="majorHAnsi" w:eastAsiaTheme="majorEastAsia" w:cstheme="majorBidi"/>
      <w:b/>
      <w:bCs/>
      <w:color w:val="17365D"/>
      <w:sz w:val="22"/>
      <w:szCs w:val="26"/>
    </w:rPr>
  </w:style>
  <w:style w:type="character" w:default="1" w:styleId="11">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paragraph" w:styleId="5">
    <w:name w:val="footer"/>
    <w:basedOn w:val="1"/>
    <w:unhideWhenUsed/>
    <w:uiPriority w:val="99"/>
    <w:pPr>
      <w:tabs>
        <w:tab w:val="center" w:pos="4680"/>
        <w:tab w:val="right" w:pos="9360"/>
      </w:tabs>
      <w:spacing w:after="0" w:line="240" w:lineRule="auto"/>
    </w:pPr>
  </w:style>
  <w:style w:type="paragraph" w:styleId="6">
    <w:name w:val="header"/>
    <w:basedOn w:val="1"/>
    <w:unhideWhenUsed/>
    <w:uiPriority w:val="99"/>
    <w:pPr>
      <w:tabs>
        <w:tab w:val="center" w:pos="4680"/>
        <w:tab w:val="right" w:pos="9360"/>
      </w:tabs>
      <w:spacing w:after="0" w:line="240" w:lineRule="auto"/>
    </w:pPr>
  </w:style>
  <w:style w:type="paragraph" w:styleId="7">
    <w:name w:val="Title"/>
    <w:basedOn w:val="1"/>
    <w:next w:val="1"/>
    <w:qFormat/>
    <w:uiPriority w:val="10"/>
    <w:pPr>
      <w:pBdr>
        <w:bottom w:val="single" w:color="4874CB" w:themeColor="accent1" w:sz="8" w:space="4"/>
      </w:pBdr>
      <w:spacing w:before="260" w:after="140" w:line="240" w:lineRule="auto"/>
      <w:contextualSpacing/>
    </w:pPr>
    <w:rPr>
      <w:rFonts w:asciiTheme="majorHAnsi" w:hAnsiTheme="majorHAnsi" w:eastAsiaTheme="majorEastAsia" w:cstheme="majorBidi"/>
      <w:b/>
      <w:color w:val="17365D"/>
      <w:spacing w:val="5"/>
      <w:kern w:val="28"/>
      <w:sz w:val="48"/>
      <w:szCs w:val="52"/>
    </w:rPr>
  </w:style>
  <w:style w:type="table" w:styleId="9">
    <w:name w:val="Table Grid"/>
    <w:basedOn w:val="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0">
    <w:name w:val="Light Shading Accent 1"/>
    <w:basedOn w:val="8"/>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2026-10-18T18:28:00Z</dcterms:created>
  <dc:creator>Yg</dc:creator>
  <cp:lastModifiedBy>Yg</cp:lastModifiedBy>
  <dcterms:modified xsi:type="dcterms:W3CDTF">2026-10-18T18:31:18Z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DBCF7CF04E2C5216329FD46A30206172_41</vt:lpwstr>
  </property>
</Properties>
</file>