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pBdr>
          <w:top w:val="single" w:color="E8B84B" w:sz="24" w:space="0"/>
        </w:pBdr>
        <w:spacing w:after="0" w:before="0"/>
        <w:jc w:val="center"/>
      </w:pPr>
      <w:r>
        <w:rPr>
          <w:sz w:val="8"/>
          <w:szCs w:val="8"/>
        </w:rPr>
        <w:t xml:space="preserve"/>
      </w:r>
    </w:p>
    <w:p>
      <w:pPr>
        <w:spacing w:after="0" w:before="160"/>
      </w:pPr>
      <w:r>
        <w:t xml:space="preserve"/>
      </w:r>
    </w:p>
    <w:p>
      <w:pPr>
        <w:spacing w:after="60" w:before="0"/>
        <w:jc w:val="center"/>
      </w:pPr>
      <w:r>
        <w:rPr>
          <w:rFonts w:ascii="Arial" w:cs="Arial" w:eastAsia="Arial" w:hAnsi="Arial"/>
          <w:b/>
          <w:bCs/>
          <w:color w:val="1F3864"/>
          <w:sz w:val="60"/>
          <w:szCs w:val="60"/>
        </w:rPr>
        <w:t xml:space="preserve">STARK INDUSTRIES</w:t>
      </w:r>
    </w:p>
    <w:p>
      <w:pPr>
        <w:spacing w:after="60" w:before="0"/>
        <w:jc w:val="center"/>
      </w:pPr>
      <w:r>
        <w:rPr>
          <w:rFonts w:ascii="Arial" w:cs="Arial" w:eastAsia="Arial" w:hAnsi="Arial"/>
          <w:b/>
          <w:bCs/>
          <w:color w:val="2E5FA3"/>
          <w:sz w:val="40"/>
          <w:szCs w:val="40"/>
        </w:rPr>
        <w:t xml:space="preserve">Information Security Policy</w:t>
      </w:r>
    </w:p>
    <w:p>
      <w:pPr>
        <w:pBdr>
          <w:bottom w:val="single" w:color="E8B84B" w:sz="24" w:space="0"/>
        </w:pBdr>
        <w:spacing w:after="0" w:before="0"/>
        <w:jc w:val="center"/>
      </w:pPr>
      <w:r>
        <w:rPr>
          <w:sz w:val="8"/>
          <w:szCs w:val="8"/>
        </w:rPr>
        <w:t xml:space="preserve"/>
      </w:r>
    </w:p>
    <w:p>
      <w:pPr>
        <w:spacing w:after="0" w:before="140"/>
      </w:pPr>
      <w:r>
        <w:t xml:space="preserve"/>
      </w:r>
    </w:p>
    <w:p>
      <w:pPr>
        <w:spacing w:after="0" w:before="0"/>
        <w:jc w:val="center"/>
      </w:pPr>
      <w:r>
        <w:rPr>
          <w:rFonts w:ascii="Arial" w:cs="Arial" w:eastAsia="Arial" w:hAnsi="Arial"/>
          <w:i/>
          <w:iCs/>
          <w:color w:val="777777"/>
          <w:sz w:val="19"/>
          <w:szCs w:val="19"/>
        </w:rPr>
        <w:t xml:space="preserve">ISO/IEC 27001:2022  •  MS-ISMS-POL-001  •  Version 1.0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Title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Information Security Policy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ID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MS-ISMS-POL-001</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Owner</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Prepared by</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ISO/IEC 27001:2022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Review Cycle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Applicable Regulation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Kenya Data Protection Act 2019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Classification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Internal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Effective Date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Next Review</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2027</w:t>
            </w:r>
          </w:p>
        </w:tc>
      </w:tr>
    </w:tbl>
    <w:p>
      <w:pPr>
        <w:spacing w:after="0" w:before="360"/>
      </w:pPr>
      <w:r>
        <w:t xml:space="preserve"/>
      </w:r>
    </w:p>
    <w:p>
      <w:pPr>
        <w:pBdr>
          <w:top w:val="single" w:color="2E5FA3" w:sz="4" w:space="6"/>
        </w:pBdr>
        <w:spacing w:after="0" w:before="120"/>
        <w:jc w:val="center"/>
      </w:pPr>
      <w:r>
        <w:rPr>
          <w:rFonts w:ascii="Arial" w:cs="Arial" w:eastAsia="Arial" w:hAnsi="Arial"/>
          <w:i/>
          <w:iCs/>
          <w:color w:val="888888"/>
          <w:sz w:val="18"/>
          <w:szCs w:val="18"/>
        </w:rPr>
        <w:t xml:space="preserve">Prepared by Michael's Security  •  Managed Security Services</w:t>
      </w:r>
    </w:p>
    <w:p>
      <w:pPr>
        <w:sectPr>
          <w:pgSz w:w="12240" w:h="15840" w:orient="portrait"/>
          <w:pgMar w:top="1440" w:right="1440" w:bottom="1440" w:left="1440" w:header="708" w:footer="708" w:gutter="0"/>
          <w:pgNumType/>
          <w:docGrid w:linePitch="360"/>
        </w:sectPr>
      </w:pPr>
    </w:p>
    <w:p>
      <w:pPr>
        <w:pStyle w:val="Heading1"/>
        <w:pBdr>
          <w:bottom w:val="single" w:color="2E5FA3" w:sz="6" w:space="1"/>
        </w:pBdr>
        <w:spacing w:after="120" w:before="32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Initial release</w:t>
            </w:r>
          </w:p>
        </w:tc>
      </w:tr>
    </w:tbl>
    <w:p>
      <w:pPr>
        <w:spacing w:after="0" w:before="160"/>
      </w:pPr>
      <w:r>
        <w:t xml:space="preserve"/>
      </w:r>
    </w:p>
    <w:p>
      <w:pPr>
        <w:pStyle w:val="Heading1"/>
        <w:pBdr>
          <w:bottom w:val="single" w:color="2E5FA3" w:sz="6" w:space="1"/>
        </w:pBdr>
        <w:spacing w:after="120" w:before="320"/>
      </w:pPr>
      <w:r>
        <w:rPr>
          <w:rFonts w:ascii="Arial" w:cs="Arial" w:eastAsia="Arial" w:hAnsi="Arial"/>
          <w:b/>
          <w:bCs/>
          <w:color w:val="1F3864"/>
          <w:sz w:val="28"/>
          <w:szCs w:val="28"/>
        </w:rPr>
        <w:t xml:space="preserve">1.  Purpose</w:t>
      </w:r>
    </w:p>
    <w:p>
      <w:pPr>
        <w:spacing w:after="80" w:before="80"/>
        <w:jc w:val="left"/>
      </w:pPr>
      <w:r>
        <w:rPr>
          <w:rFonts w:ascii="Arial" w:cs="Arial" w:eastAsia="Arial" w:hAnsi="Arial"/>
          <w:b w:val="false"/>
          <w:bCs w:val="false"/>
          <w:i w:val="false"/>
          <w:iCs w:val="false"/>
          <w:color w:val="444444"/>
          <w:sz w:val="20"/>
          <w:szCs w:val="20"/>
        </w:rPr>
        <w:t xml:space="preserve">This Information Security Policy establishes the strategic commitment of Stark Industries to protecting the confidentiality, integrity, and availability (CIA) of its information assets. It sets the overarching framework within which all subsidiary information security policies, procedures, and controls are developed and maintained.</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This policy supports compliance with ISO/IEC 27001:2022 and the Kenya Data Protection Act 2019 (KDPA 2019), ensuring that personal data processed by the organisation is safeguarded against unauthorised access, loss, or disclosure.</w:t>
      </w:r>
    </w:p>
    <w:p>
      <w:pPr>
        <w:pStyle w:val="Heading1"/>
        <w:pBdr>
          <w:bottom w:val="single" w:color="2E5FA3" w:sz="6" w:space="1"/>
        </w:pBdr>
        <w:spacing w:after="120" w:before="320"/>
      </w:pPr>
      <w:r>
        <w:rPr>
          <w:rFonts w:ascii="Arial" w:cs="Arial" w:eastAsia="Arial" w:hAnsi="Arial"/>
          <w:b/>
          <w:bCs/>
          <w:color w:val="1F3864"/>
          <w:sz w:val="28"/>
          <w:szCs w:val="28"/>
        </w:rPr>
        <w:t xml:space="preserve">2.  Scope</w:t>
      </w:r>
    </w:p>
    <w:p>
      <w:pPr>
        <w:spacing w:after="80" w:before="80"/>
        <w:jc w:val="left"/>
      </w:pPr>
      <w:r>
        <w:rPr>
          <w:rFonts w:ascii="Arial" w:cs="Arial" w:eastAsia="Arial" w:hAnsi="Arial"/>
          <w:b w:val="false"/>
          <w:bCs w:val="false"/>
          <w:i w:val="false"/>
          <w:iCs w:val="false"/>
          <w:color w:val="444444"/>
          <w:sz w:val="20"/>
          <w:szCs w:val="20"/>
        </w:rPr>
        <w:t xml:space="preserve">This policy applies to:</w:t>
      </w:r>
    </w:p>
    <w:p>
      <w:pPr>
        <w:pStyle w:val="ListParagraph"/>
        <w:numPr>
          <w:ilvl w:val="0"/>
          <w:numId w:val="2"/>
        </w:numPr>
        <w:spacing w:after="60" w:before="60"/>
      </w:pPr>
      <w:r>
        <w:rPr>
          <w:rFonts w:ascii="Arial" w:cs="Arial" w:eastAsia="Arial" w:hAnsi="Arial"/>
          <w:color w:val="444444"/>
          <w:sz w:val="20"/>
          <w:szCs w:val="20"/>
        </w:rPr>
        <w:t xml:space="preserve">All information assets owned, controlled, or processed by Stark Industries, regardless of format (digital or physical).</w:t>
      </w:r>
    </w:p>
    <w:p>
      <w:pPr>
        <w:pStyle w:val="ListParagraph"/>
        <w:numPr>
          <w:ilvl w:val="0"/>
          <w:numId w:val="2"/>
        </w:numPr>
        <w:spacing w:after="60" w:before="60"/>
      </w:pPr>
      <w:r>
        <w:rPr>
          <w:rFonts w:ascii="Arial" w:cs="Arial" w:eastAsia="Arial" w:hAnsi="Arial"/>
          <w:color w:val="444444"/>
          <w:sz w:val="20"/>
          <w:szCs w:val="20"/>
        </w:rPr>
        <w:t xml:space="preserve">All employees, contractors, consultants, temporary staff, and third-party service providers who access Stark Industries systems, networks, or data.</w:t>
      </w:r>
    </w:p>
    <w:p>
      <w:pPr>
        <w:pStyle w:val="ListParagraph"/>
        <w:numPr>
          <w:ilvl w:val="0"/>
          <w:numId w:val="2"/>
        </w:numPr>
        <w:spacing w:after="60" w:before="60"/>
      </w:pPr>
      <w:r>
        <w:rPr>
          <w:rFonts w:ascii="Arial" w:cs="Arial" w:eastAsia="Arial" w:hAnsi="Arial"/>
          <w:color w:val="444444"/>
          <w:sz w:val="20"/>
          <w:szCs w:val="20"/>
        </w:rPr>
        <w:t xml:space="preserve">All locations and environments in which Stark Industries conducts business, including on-premises, remote, and cloud-hosted infrastructure.</w:t>
      </w:r>
    </w:p>
    <w:p>
      <w:pPr>
        <w:pStyle w:val="ListParagraph"/>
        <w:numPr>
          <w:ilvl w:val="0"/>
          <w:numId w:val="2"/>
        </w:numPr>
        <w:spacing w:after="60" w:before="60"/>
      </w:pPr>
      <w:r>
        <w:rPr>
          <w:rFonts w:ascii="Arial" w:cs="Arial" w:eastAsia="Arial" w:hAnsi="Arial"/>
          <w:color w:val="444444"/>
          <w:sz w:val="20"/>
          <w:szCs w:val="20"/>
        </w:rPr>
        <w:t xml:space="preserve">All third-party systems that interface with Stark Industries information assets under contractual agreement.</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Exclusions, where applicable, shall be documented in the Statement of Applicability (MS-ISMS-SOA-003).</w:t>
      </w:r>
    </w:p>
    <w:p>
      <w:pPr>
        <w:pStyle w:val="Heading1"/>
        <w:pBdr>
          <w:bottom w:val="single" w:color="2E5FA3" w:sz="6" w:space="1"/>
        </w:pBdr>
        <w:spacing w:after="120" w:before="320"/>
      </w:pPr>
      <w:r>
        <w:rPr>
          <w:rFonts w:ascii="Arial" w:cs="Arial" w:eastAsia="Arial" w:hAnsi="Arial"/>
          <w:b/>
          <w:bCs/>
          <w:color w:val="1F3864"/>
          <w:sz w:val="28"/>
          <w:szCs w:val="28"/>
        </w:rPr>
        <w:t xml:space="preserve">3.  Policy Objectives</w:t>
      </w:r>
    </w:p>
    <w:p>
      <w:pPr>
        <w:spacing w:after="80" w:before="80"/>
        <w:jc w:val="left"/>
      </w:pPr>
      <w:r>
        <w:rPr>
          <w:rFonts w:ascii="Arial" w:cs="Arial" w:eastAsia="Arial" w:hAnsi="Arial"/>
          <w:b w:val="false"/>
          <w:bCs w:val="false"/>
          <w:i w:val="false"/>
          <w:iCs w:val="false"/>
          <w:color w:val="444444"/>
          <w:sz w:val="20"/>
          <w:szCs w:val="20"/>
        </w:rPr>
        <w:t xml:space="preserve">Stark Industries is committed to the following information security objectives:</w:t>
      </w:r>
    </w:p>
    <w:p>
      <w:pPr>
        <w:pStyle w:val="ListParagraph"/>
        <w:numPr>
          <w:ilvl w:val="0"/>
          <w:numId w:val="2"/>
        </w:numPr>
        <w:spacing w:after="60" w:before="60"/>
      </w:pPr>
      <w:r>
        <w:rPr>
          <w:rFonts w:ascii="Arial" w:cs="Arial" w:eastAsia="Arial" w:hAnsi="Arial"/>
          <w:color w:val="444444"/>
          <w:sz w:val="20"/>
          <w:szCs w:val="20"/>
        </w:rPr>
        <w:t xml:space="preserve">Confidentiality: Ensure information is accessible only to authorised individuals, in line with defined classification levels.</w:t>
      </w:r>
    </w:p>
    <w:p>
      <w:pPr>
        <w:pStyle w:val="ListParagraph"/>
        <w:numPr>
          <w:ilvl w:val="0"/>
          <w:numId w:val="2"/>
        </w:numPr>
        <w:spacing w:after="60" w:before="60"/>
      </w:pPr>
      <w:r>
        <w:rPr>
          <w:rFonts w:ascii="Arial" w:cs="Arial" w:eastAsia="Arial" w:hAnsi="Arial"/>
          <w:color w:val="444444"/>
          <w:sz w:val="20"/>
          <w:szCs w:val="20"/>
        </w:rPr>
        <w:t xml:space="preserve">Integrity: Protect information from unauthorised modification and ensure accuracy and completeness of data and processing methods.</w:t>
      </w:r>
    </w:p>
    <w:p>
      <w:pPr>
        <w:pStyle w:val="ListParagraph"/>
        <w:numPr>
          <w:ilvl w:val="0"/>
          <w:numId w:val="2"/>
        </w:numPr>
        <w:spacing w:after="60" w:before="60"/>
      </w:pPr>
      <w:r>
        <w:rPr>
          <w:rFonts w:ascii="Arial" w:cs="Arial" w:eastAsia="Arial" w:hAnsi="Arial"/>
          <w:color w:val="444444"/>
          <w:sz w:val="20"/>
          <w:szCs w:val="20"/>
        </w:rPr>
        <w:t xml:space="preserve">Availability: Ensure authorised users have reliable and timely access to information and associated assets when required.</w:t>
      </w:r>
    </w:p>
    <w:p>
      <w:pPr>
        <w:pStyle w:val="ListParagraph"/>
        <w:numPr>
          <w:ilvl w:val="0"/>
          <w:numId w:val="2"/>
        </w:numPr>
        <w:spacing w:after="60" w:before="60"/>
      </w:pPr>
      <w:r>
        <w:rPr>
          <w:rFonts w:ascii="Arial" w:cs="Arial" w:eastAsia="Arial" w:hAnsi="Arial"/>
          <w:color w:val="444444"/>
          <w:sz w:val="20"/>
          <w:szCs w:val="20"/>
        </w:rPr>
        <w:t xml:space="preserve">Legal and Regulatory Compliance: Meet obligations under the Kenya Data Protection Act 2019, ISO/IEC 27001:2022, and any applicable contractual requirements.</w:t>
      </w:r>
    </w:p>
    <w:p>
      <w:pPr>
        <w:pStyle w:val="ListParagraph"/>
        <w:numPr>
          <w:ilvl w:val="0"/>
          <w:numId w:val="2"/>
        </w:numPr>
        <w:spacing w:after="60" w:before="60"/>
      </w:pPr>
      <w:r>
        <w:rPr>
          <w:rFonts w:ascii="Arial" w:cs="Arial" w:eastAsia="Arial" w:hAnsi="Arial"/>
          <w:color w:val="444444"/>
          <w:sz w:val="20"/>
          <w:szCs w:val="20"/>
        </w:rPr>
        <w:t xml:space="preserve">Continual Improvement: Regularly review and improve the effectiveness of the ISMS through audits, risk assessments, and management reviews.</w:t>
      </w:r>
    </w:p>
    <w:p>
      <w:pPr>
        <w:pStyle w:val="Heading1"/>
        <w:pBdr>
          <w:bottom w:val="single" w:color="2E5FA3" w:sz="6" w:space="1"/>
        </w:pBdr>
        <w:spacing w:after="120" w:before="320"/>
      </w:pPr>
      <w:r>
        <w:rPr>
          <w:rFonts w:ascii="Arial" w:cs="Arial" w:eastAsia="Arial" w:hAnsi="Arial"/>
          <w:b/>
          <w:bCs/>
          <w:color w:val="1F3864"/>
          <w:sz w:val="28"/>
          <w:szCs w:val="28"/>
        </w:rPr>
        <w:t xml:space="preserve">4.  Information Security Management System (ISMS)</w:t>
      </w:r>
    </w:p>
    <w:p>
      <w:pPr>
        <w:spacing w:after="80" w:before="80"/>
        <w:jc w:val="left"/>
      </w:pPr>
      <w:r>
        <w:rPr>
          <w:rFonts w:ascii="Arial" w:cs="Arial" w:eastAsia="Arial" w:hAnsi="Arial"/>
          <w:b w:val="false"/>
          <w:bCs w:val="false"/>
          <w:i w:val="false"/>
          <w:iCs w:val="false"/>
          <w:color w:val="444444"/>
          <w:sz w:val="20"/>
          <w:szCs w:val="20"/>
        </w:rPr>
        <w:t xml:space="preserve">Stark Industries maintains an Information Security Management System (ISMS) aligned with ISO/IEC 27001:2022. The ISMS provides a systematic approach to managing sensitive company and client information. It encompasses:</w:t>
      </w:r>
    </w:p>
    <w:p>
      <w:pPr>
        <w:pStyle w:val="ListParagraph"/>
        <w:numPr>
          <w:ilvl w:val="0"/>
          <w:numId w:val="2"/>
        </w:numPr>
        <w:spacing w:after="60" w:before="60"/>
      </w:pPr>
      <w:r>
        <w:rPr>
          <w:rFonts w:ascii="Arial" w:cs="Arial" w:eastAsia="Arial" w:hAnsi="Arial"/>
          <w:color w:val="444444"/>
          <w:sz w:val="20"/>
          <w:szCs w:val="20"/>
        </w:rPr>
        <w:t xml:space="preserve">A defined scope statement identifying the boundaries of the ISMS.</w:t>
      </w:r>
    </w:p>
    <w:p>
      <w:pPr>
        <w:pStyle w:val="ListParagraph"/>
        <w:numPr>
          <w:ilvl w:val="0"/>
          <w:numId w:val="2"/>
        </w:numPr>
        <w:spacing w:after="60" w:before="60"/>
      </w:pPr>
      <w:r>
        <w:rPr>
          <w:rFonts w:ascii="Arial" w:cs="Arial" w:eastAsia="Arial" w:hAnsi="Arial"/>
          <w:color w:val="444444"/>
          <w:sz w:val="20"/>
          <w:szCs w:val="20"/>
        </w:rPr>
        <w:t xml:space="preserve">A risk assessment and treatment methodology for identifying, evaluating, and addressing information security risks (MS-ISMS-RISK-002).</w:t>
      </w:r>
    </w:p>
    <w:p>
      <w:pPr>
        <w:pStyle w:val="ListParagraph"/>
        <w:numPr>
          <w:ilvl w:val="0"/>
          <w:numId w:val="2"/>
        </w:numPr>
        <w:spacing w:after="60" w:before="60"/>
      </w:pPr>
      <w:r>
        <w:rPr>
          <w:rFonts w:ascii="Arial" w:cs="Arial" w:eastAsia="Arial" w:hAnsi="Arial"/>
          <w:color w:val="444444"/>
          <w:sz w:val="20"/>
          <w:szCs w:val="20"/>
        </w:rPr>
        <w:t xml:space="preserve">A Statement of Applicability documenting all ISO/IEC 27001:2022 Annex A controls and their applicability status (MS-ISMS-SOA-003).</w:t>
      </w:r>
    </w:p>
    <w:p>
      <w:pPr>
        <w:pStyle w:val="ListParagraph"/>
        <w:numPr>
          <w:ilvl w:val="0"/>
          <w:numId w:val="2"/>
        </w:numPr>
        <w:spacing w:after="60" w:before="60"/>
      </w:pPr>
      <w:r>
        <w:rPr>
          <w:rFonts w:ascii="Arial" w:cs="Arial" w:eastAsia="Arial" w:hAnsi="Arial"/>
          <w:color w:val="444444"/>
          <w:sz w:val="20"/>
          <w:szCs w:val="20"/>
        </w:rPr>
        <w:t xml:space="preserve">A comprehensive set of supporting policies, procedures, and guidelines covering access control, incident response, business continuity, supplier security, and employee awareness.</w:t>
      </w:r>
    </w:p>
    <w:p>
      <w:pPr>
        <w:pStyle w:val="ListParagraph"/>
        <w:numPr>
          <w:ilvl w:val="0"/>
          <w:numId w:val="2"/>
        </w:numPr>
        <w:spacing w:after="60" w:before="60"/>
      </w:pPr>
      <w:r>
        <w:rPr>
          <w:rFonts w:ascii="Arial" w:cs="Arial" w:eastAsia="Arial" w:hAnsi="Arial"/>
          <w:color w:val="444444"/>
          <w:sz w:val="20"/>
          <w:szCs w:val="20"/>
        </w:rPr>
        <w:t xml:space="preserve">Internal audit cycles and management reviews to verify ISMS effectiveness.</w:t>
      </w:r>
    </w:p>
    <w:p>
      <w:pPr>
        <w:pStyle w:val="Heading1"/>
        <w:pBdr>
          <w:bottom w:val="single" w:color="2E5FA3" w:sz="6" w:space="1"/>
        </w:pBdr>
        <w:spacing w:after="120" w:before="320"/>
      </w:pPr>
      <w:r>
        <w:rPr>
          <w:rFonts w:ascii="Arial" w:cs="Arial" w:eastAsia="Arial" w:hAnsi="Arial"/>
          <w:b/>
          <w:bCs/>
          <w:color w:val="1F3864"/>
          <w:sz w:val="28"/>
          <w:szCs w:val="28"/>
        </w:rPr>
        <w:t xml:space="preserve">5.  Roles and Responsibilities</w:t>
      </w:r>
    </w:p>
    <w:p>
      <w:pPr>
        <w:spacing w:after="80" w:before="80"/>
        <w:jc w:val="left"/>
      </w:pPr>
      <w:r>
        <w:rPr>
          <w:rFonts w:ascii="Arial" w:cs="Arial" w:eastAsia="Arial" w:hAnsi="Arial"/>
          <w:b w:val="false"/>
          <w:bCs w:val="false"/>
          <w:i w:val="false"/>
          <w:iCs w:val="false"/>
          <w:color w:val="444444"/>
          <w:sz w:val="20"/>
          <w:szCs w:val="20"/>
        </w:rPr>
        <w:t xml:space="preserve">The following table defines information security responsibilities within Stark Industries. Michael's Security serves as the appointed external security advisor and auditor.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c>
          <w:tcPr>
            <w:tcW w:type="dxa" w:w="3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3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Responsibility</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Authority</w:t>
            </w:r>
          </w:p>
        </w:tc>
      </w:tr>
      <w:tr>
        <w:tc>
          <w:tcPr>
            <w:tcW w:type="dxa" w:w="3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CISO / Equivalent</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Overall accountability for the ISMS; approves policy.</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Accountable</w:t>
            </w:r>
          </w:p>
        </w:tc>
      </w:tr>
      <w:tr>
        <w:tc>
          <w:tcPr>
            <w:tcW w:type="dxa" w:w="3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 Security Team</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Implements and monitors security controls; manages exceptions.</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Responsible</w:t>
            </w:r>
          </w:p>
        </w:tc>
      </w:tr>
      <w:tr>
        <w:tc>
          <w:tcPr>
            <w:tcW w:type="dxa" w:w="3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Department Managers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Ensure staff compliance; report incidents and exceptions.</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Consulted</w:t>
            </w:r>
          </w:p>
        </w:tc>
      </w:tr>
      <w:tr>
        <w:tc>
          <w:tcPr>
            <w:tcW w:type="dxa" w:w="3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Employees &amp; Contractors</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Comply with policy; complete required security training.</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Informed</w:t>
            </w:r>
          </w:p>
        </w:tc>
      </w:tr>
      <w:tr>
        <w:tc>
          <w:tcPr>
            <w:tcW w:type="dxa" w:w="3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 (MSSP)</w:t>
            </w:r>
          </w:p>
        </w:tc>
        <w:tc>
          <w:tcPr>
            <w:tcW w:type="dxa" w:w="3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Provides advisory, audit, and managed security services.</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Consulted / Auditor</w:t>
            </w:r>
          </w:p>
        </w:tc>
      </w:tr>
    </w:tbl>
    <w:p>
      <w:pPr>
        <w:pStyle w:val="Heading1"/>
        <w:pBdr>
          <w:bottom w:val="single" w:color="2E5FA3" w:sz="6" w:space="1"/>
        </w:pBdr>
        <w:spacing w:after="120" w:before="320"/>
      </w:pPr>
      <w:r>
        <w:rPr>
          <w:rFonts w:ascii="Arial" w:cs="Arial" w:eastAsia="Arial" w:hAnsi="Arial"/>
          <w:b/>
          <w:bCs/>
          <w:color w:val="1F3864"/>
          <w:sz w:val="28"/>
          <w:szCs w:val="28"/>
        </w:rPr>
        <w:t xml:space="preserve">6.  Information Classification</w:t>
      </w:r>
    </w:p>
    <w:p>
      <w:pPr>
        <w:spacing w:after="80" w:before="80"/>
        <w:jc w:val="left"/>
      </w:pPr>
      <w:r>
        <w:rPr>
          <w:rFonts w:ascii="Arial" w:cs="Arial" w:eastAsia="Arial" w:hAnsi="Arial"/>
          <w:b w:val="false"/>
          <w:bCs w:val="false"/>
          <w:i w:val="false"/>
          <w:iCs w:val="false"/>
          <w:color w:val="444444"/>
          <w:sz w:val="20"/>
          <w:szCs w:val="20"/>
        </w:rPr>
        <w:t xml:space="preserve">All information assets shall be classified according to the following scheme, consistent with the Asset Register (MS-ISMS-ASSET-004):</w:t>
      </w:r>
    </w:p>
    <w:p>
      <w:pPr>
        <w:pStyle w:val="ListParagraph"/>
        <w:numPr>
          <w:ilvl w:val="0"/>
          <w:numId w:val="2"/>
        </w:numPr>
        <w:spacing w:after="60" w:before="60"/>
      </w:pPr>
      <w:r>
        <w:rPr>
          <w:rFonts w:ascii="Arial" w:cs="Arial" w:eastAsia="Arial" w:hAnsi="Arial"/>
          <w:color w:val="444444"/>
          <w:sz w:val="20"/>
          <w:szCs w:val="20"/>
        </w:rPr>
        <w:t xml:space="preserve">Public: Information approved for unrestricted public disclosure (e.g., marketing material, published reports).</w:t>
      </w:r>
    </w:p>
    <w:p>
      <w:pPr>
        <w:pStyle w:val="ListParagraph"/>
        <w:numPr>
          <w:ilvl w:val="0"/>
          <w:numId w:val="2"/>
        </w:numPr>
        <w:spacing w:after="60" w:before="60"/>
      </w:pPr>
      <w:r>
        <w:rPr>
          <w:rFonts w:ascii="Arial" w:cs="Arial" w:eastAsia="Arial" w:hAnsi="Arial"/>
          <w:color w:val="444444"/>
          <w:sz w:val="20"/>
          <w:szCs w:val="20"/>
        </w:rPr>
        <w:t xml:space="preserve">Internal: Information for internal use only; not for external distribution without authorisation.</w:t>
      </w:r>
    </w:p>
    <w:p>
      <w:pPr>
        <w:pStyle w:val="ListParagraph"/>
        <w:numPr>
          <w:ilvl w:val="0"/>
          <w:numId w:val="2"/>
        </w:numPr>
        <w:spacing w:after="60" w:before="60"/>
      </w:pPr>
      <w:r>
        <w:rPr>
          <w:rFonts w:ascii="Arial" w:cs="Arial" w:eastAsia="Arial" w:hAnsi="Arial"/>
          <w:color w:val="444444"/>
          <w:sz w:val="20"/>
          <w:szCs w:val="20"/>
        </w:rPr>
        <w:t xml:space="preserve">Confidential: Sensitive business or personal data; access restricted to authorised personnel with a defined need.</w:t>
      </w:r>
    </w:p>
    <w:p>
      <w:pPr>
        <w:pStyle w:val="ListParagraph"/>
        <w:numPr>
          <w:ilvl w:val="0"/>
          <w:numId w:val="2"/>
        </w:numPr>
        <w:spacing w:after="60" w:before="60"/>
      </w:pPr>
      <w:r>
        <w:rPr>
          <w:rFonts w:ascii="Arial" w:cs="Arial" w:eastAsia="Arial" w:hAnsi="Arial"/>
          <w:color w:val="444444"/>
          <w:sz w:val="20"/>
          <w:szCs w:val="20"/>
        </w:rPr>
        <w:t xml:space="preserve">Restricted: Highly sensitive information (e.g., credentials, cryptographic keys, personal data under KDPA 2019); access strictly controlled with audit logging.</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Information must be handled, stored, transmitted, and disposed of in accordance with its classification level.</w:t>
      </w:r>
    </w:p>
    <w:p>
      <w:pPr>
        <w:pStyle w:val="Heading1"/>
        <w:pBdr>
          <w:bottom w:val="single" w:color="2E5FA3" w:sz="6" w:space="1"/>
        </w:pBdr>
        <w:spacing w:after="120" w:before="320"/>
      </w:pPr>
      <w:r>
        <w:rPr>
          <w:rFonts w:ascii="Arial" w:cs="Arial" w:eastAsia="Arial" w:hAnsi="Arial"/>
          <w:b/>
          <w:bCs/>
          <w:color w:val="1F3864"/>
          <w:sz w:val="28"/>
          <w:szCs w:val="28"/>
        </w:rPr>
        <w:t xml:space="preserve">7.  Risk Management</w:t>
      </w:r>
    </w:p>
    <w:p>
      <w:pPr>
        <w:spacing w:after="80" w:before="80"/>
        <w:jc w:val="left"/>
      </w:pPr>
      <w:r>
        <w:rPr>
          <w:rFonts w:ascii="Arial" w:cs="Arial" w:eastAsia="Arial" w:hAnsi="Arial"/>
          <w:b w:val="false"/>
          <w:bCs w:val="false"/>
          <w:i w:val="false"/>
          <w:iCs w:val="false"/>
          <w:color w:val="444444"/>
          <w:sz w:val="20"/>
          <w:szCs w:val="20"/>
        </w:rPr>
        <w:t xml:space="preserve">Stark Industries adopts a risk-based approach to information security. Risks to information assets shall be:</w:t>
      </w:r>
    </w:p>
    <w:p>
      <w:pPr>
        <w:pStyle w:val="ListParagraph"/>
        <w:numPr>
          <w:ilvl w:val="0"/>
          <w:numId w:val="2"/>
        </w:numPr>
        <w:spacing w:after="60" w:before="60"/>
      </w:pPr>
      <w:r>
        <w:rPr>
          <w:rFonts w:ascii="Arial" w:cs="Arial" w:eastAsia="Arial" w:hAnsi="Arial"/>
          <w:color w:val="444444"/>
          <w:sz w:val="20"/>
          <w:szCs w:val="20"/>
        </w:rPr>
        <w:t xml:space="preserve">Identified through periodic risk assessments conducted at least annually, or following significant organisational, technological, or threat landscape changes.</w:t>
      </w:r>
    </w:p>
    <w:p>
      <w:pPr>
        <w:pStyle w:val="ListParagraph"/>
        <w:numPr>
          <w:ilvl w:val="0"/>
          <w:numId w:val="2"/>
        </w:numPr>
        <w:spacing w:after="60" w:before="60"/>
      </w:pPr>
      <w:r>
        <w:rPr>
          <w:rFonts w:ascii="Arial" w:cs="Arial" w:eastAsia="Arial" w:hAnsi="Arial"/>
          <w:color w:val="444444"/>
          <w:sz w:val="20"/>
          <w:szCs w:val="20"/>
        </w:rPr>
        <w:t xml:space="preserve">Evaluated using the Likelihood x Impact matrix defined in the Risk Assessment and Treatment Methodology (MS-ISMS-RISK-002).</w:t>
      </w:r>
    </w:p>
    <w:p>
      <w:pPr>
        <w:pStyle w:val="ListParagraph"/>
        <w:numPr>
          <w:ilvl w:val="0"/>
          <w:numId w:val="2"/>
        </w:numPr>
        <w:spacing w:after="60" w:before="60"/>
      </w:pPr>
      <w:r>
        <w:rPr>
          <w:rFonts w:ascii="Arial" w:cs="Arial" w:eastAsia="Arial" w:hAnsi="Arial"/>
          <w:color w:val="444444"/>
          <w:sz w:val="20"/>
          <w:szCs w:val="20"/>
        </w:rPr>
        <w:t xml:space="preserve">Treated through one or more of the following options: mitigate, transfer, accept, or avoid.</w:t>
      </w:r>
    </w:p>
    <w:p>
      <w:pPr>
        <w:pStyle w:val="ListParagraph"/>
        <w:numPr>
          <w:ilvl w:val="0"/>
          <w:numId w:val="2"/>
        </w:numPr>
        <w:spacing w:after="60" w:before="60"/>
      </w:pPr>
      <w:r>
        <w:rPr>
          <w:rFonts w:ascii="Arial" w:cs="Arial" w:eastAsia="Arial" w:hAnsi="Arial"/>
          <w:color w:val="444444"/>
          <w:sz w:val="20"/>
          <w:szCs w:val="20"/>
        </w:rPr>
        <w:t xml:space="preserve">Recorded in the Risk Register and monitored through to resolution or acceptance.</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The organisation's risk appetite is defined as: risks rated Medium or above require documented treatment plans. Risks rated High or Critical must be escalated to senior management within five (5) business days of identification.</w:t>
      </w:r>
    </w:p>
    <w:p>
      <w:pPr>
        <w:pStyle w:val="Heading1"/>
        <w:pBdr>
          <w:bottom w:val="single" w:color="2E5FA3" w:sz="6" w:space="1"/>
        </w:pBdr>
        <w:spacing w:after="120" w:before="320"/>
      </w:pPr>
      <w:r>
        <w:rPr>
          <w:rFonts w:ascii="Arial" w:cs="Arial" w:eastAsia="Arial" w:hAnsi="Arial"/>
          <w:b/>
          <w:bCs/>
          <w:color w:val="1F3864"/>
          <w:sz w:val="28"/>
          <w:szCs w:val="28"/>
        </w:rPr>
        <w:t xml:space="preserve">8.  Legal and Regulatory Compliance</w:t>
      </w:r>
    </w:p>
    <w:p>
      <w:pPr>
        <w:spacing w:after="80" w:before="80"/>
        <w:jc w:val="left"/>
      </w:pPr>
      <w:r>
        <w:rPr>
          <w:rFonts w:ascii="Arial" w:cs="Arial" w:eastAsia="Arial" w:hAnsi="Arial"/>
          <w:b w:val="false"/>
          <w:bCs w:val="false"/>
          <w:i w:val="false"/>
          <w:iCs w:val="false"/>
          <w:color w:val="444444"/>
          <w:sz w:val="20"/>
          <w:szCs w:val="20"/>
        </w:rPr>
        <w:t xml:space="preserve">Stark Industries recognises its legal obligations under:</w:t>
      </w:r>
    </w:p>
    <w:p>
      <w:pPr>
        <w:pStyle w:val="ListParagraph"/>
        <w:numPr>
          <w:ilvl w:val="0"/>
          <w:numId w:val="2"/>
        </w:numPr>
        <w:spacing w:after="60" w:before="60"/>
      </w:pPr>
      <w:r>
        <w:rPr>
          <w:rFonts w:ascii="Arial" w:cs="Arial" w:eastAsia="Arial" w:hAnsi="Arial"/>
          <w:color w:val="444444"/>
          <w:sz w:val="20"/>
          <w:szCs w:val="20"/>
        </w:rPr>
        <w:t xml:space="preserve">Kenya Data Protection Act 2019 (KDPA 2019): The organisation shall implement appropriate technical and organisational measures to secure personal data (Section 41). Any personal data breach must be reported to the Office of the Data Protection Commissioner (ODPC) within seventy-two (72) hours of discovery.</w:t>
      </w:r>
    </w:p>
    <w:p>
      <w:pPr>
        <w:pStyle w:val="ListParagraph"/>
        <w:numPr>
          <w:ilvl w:val="0"/>
          <w:numId w:val="2"/>
        </w:numPr>
        <w:spacing w:after="60" w:before="60"/>
      </w:pPr>
      <w:r>
        <w:rPr>
          <w:rFonts w:ascii="Arial" w:cs="Arial" w:eastAsia="Arial" w:hAnsi="Arial"/>
          <w:color w:val="444444"/>
          <w:sz w:val="20"/>
          <w:szCs w:val="20"/>
        </w:rPr>
        <w:t xml:space="preserve">ISO/IEC 27001:2022: Compliance with all applicable Annex A controls, as detailed in the Statement of Applicability.</w:t>
      </w:r>
    </w:p>
    <w:p>
      <w:pPr>
        <w:pStyle w:val="ListParagraph"/>
        <w:numPr>
          <w:ilvl w:val="0"/>
          <w:numId w:val="2"/>
        </w:numPr>
        <w:spacing w:after="60" w:before="60"/>
      </w:pPr>
      <w:r>
        <w:rPr>
          <w:rFonts w:ascii="Arial" w:cs="Arial" w:eastAsia="Arial" w:hAnsi="Arial"/>
          <w:color w:val="444444"/>
          <w:sz w:val="20"/>
          <w:szCs w:val="20"/>
        </w:rPr>
        <w:t xml:space="preserve">Contractual Obligations: Security requirements imposed by clients, partners, and regulators shall be identified, documented, and complied with.</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The CISO (or equivalent) is responsible for maintaining an up-to-date register of applicable legal and regulatory requirements.</w:t>
      </w:r>
    </w:p>
    <w:p>
      <w:pPr>
        <w:pStyle w:val="Heading1"/>
        <w:pBdr>
          <w:bottom w:val="single" w:color="2E5FA3" w:sz="6" w:space="1"/>
        </w:pBdr>
        <w:spacing w:after="120" w:before="320"/>
      </w:pPr>
      <w:r>
        <w:rPr>
          <w:rFonts w:ascii="Arial" w:cs="Arial" w:eastAsia="Arial" w:hAnsi="Arial"/>
          <w:b/>
          <w:bCs/>
          <w:color w:val="1F3864"/>
          <w:sz w:val="28"/>
          <w:szCs w:val="28"/>
        </w:rPr>
        <w:t xml:space="preserve">9.  Security Awareness and Training</w:t>
      </w:r>
    </w:p>
    <w:p>
      <w:pPr>
        <w:spacing w:after="80" w:before="80"/>
        <w:jc w:val="left"/>
      </w:pPr>
      <w:r>
        <w:rPr>
          <w:rFonts w:ascii="Arial" w:cs="Arial" w:eastAsia="Arial" w:hAnsi="Arial"/>
          <w:b w:val="false"/>
          <w:bCs w:val="false"/>
          <w:i w:val="false"/>
          <w:iCs w:val="false"/>
          <w:color w:val="444444"/>
          <w:sz w:val="20"/>
          <w:szCs w:val="20"/>
        </w:rPr>
        <w:t xml:space="preserve">All personnel with access to Stark Industries information assets shall:</w:t>
      </w:r>
    </w:p>
    <w:p>
      <w:pPr>
        <w:pStyle w:val="ListParagraph"/>
        <w:numPr>
          <w:ilvl w:val="0"/>
          <w:numId w:val="2"/>
        </w:numPr>
        <w:spacing w:after="60" w:before="60"/>
      </w:pPr>
      <w:r>
        <w:rPr>
          <w:rFonts w:ascii="Arial" w:cs="Arial" w:eastAsia="Arial" w:hAnsi="Arial"/>
          <w:color w:val="444444"/>
          <w:sz w:val="20"/>
          <w:szCs w:val="20"/>
        </w:rPr>
        <w:t xml:space="preserve">Complete security awareness training upon onboarding, and at minimum annually thereafter.</w:t>
      </w:r>
    </w:p>
    <w:p>
      <w:pPr>
        <w:pStyle w:val="ListParagraph"/>
        <w:numPr>
          <w:ilvl w:val="0"/>
          <w:numId w:val="2"/>
        </w:numPr>
        <w:spacing w:after="60" w:before="60"/>
      </w:pPr>
      <w:r>
        <w:rPr>
          <w:rFonts w:ascii="Arial" w:cs="Arial" w:eastAsia="Arial" w:hAnsi="Arial"/>
          <w:color w:val="444444"/>
          <w:sz w:val="20"/>
          <w:szCs w:val="20"/>
        </w:rPr>
        <w:t xml:space="preserve">Be made aware of this Information Security Policy and their individual obligations under it.</w:t>
      </w:r>
    </w:p>
    <w:p>
      <w:pPr>
        <w:pStyle w:val="ListParagraph"/>
        <w:numPr>
          <w:ilvl w:val="0"/>
          <w:numId w:val="2"/>
        </w:numPr>
        <w:spacing w:after="60" w:before="60"/>
      </w:pPr>
      <w:r>
        <w:rPr>
          <w:rFonts w:ascii="Arial" w:cs="Arial" w:eastAsia="Arial" w:hAnsi="Arial"/>
          <w:color w:val="444444"/>
          <w:sz w:val="20"/>
          <w:szCs w:val="20"/>
        </w:rPr>
        <w:t xml:space="preserve">Receive role-specific training where access to sensitive or restricted data is required.</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Training requirements and completion tracking are governed by the Security Awareness Training Policy (MS-ISMS-TRAIN-009).</w:t>
      </w:r>
    </w:p>
    <w:p>
      <w:pPr>
        <w:pStyle w:val="Heading1"/>
        <w:pBdr>
          <w:bottom w:val="single" w:color="2E5FA3" w:sz="6" w:space="1"/>
        </w:pBdr>
        <w:spacing w:after="120" w:before="320"/>
      </w:pPr>
      <w:r>
        <w:rPr>
          <w:rFonts w:ascii="Arial" w:cs="Arial" w:eastAsia="Arial" w:hAnsi="Arial"/>
          <w:b/>
          <w:bCs/>
          <w:color w:val="1F3864"/>
          <w:sz w:val="28"/>
          <w:szCs w:val="28"/>
        </w:rPr>
        <w:t xml:space="preserve">10.  Incident Management</w:t>
      </w:r>
    </w:p>
    <w:p>
      <w:pPr>
        <w:spacing w:after="80" w:before="80"/>
        <w:jc w:val="left"/>
      </w:pPr>
      <w:r>
        <w:rPr>
          <w:rFonts w:ascii="Arial" w:cs="Arial" w:eastAsia="Arial" w:hAnsi="Arial"/>
          <w:b w:val="false"/>
          <w:bCs w:val="false"/>
          <w:i w:val="false"/>
          <w:iCs w:val="false"/>
          <w:color w:val="444444"/>
          <w:sz w:val="20"/>
          <w:szCs w:val="20"/>
        </w:rPr>
        <w:t xml:space="preserve">Any actual or suspected information security incident - including data breaches, malware infections, unauthorised access, or loss of equipment - must be reported immediately to the IT/Security Team.</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Incident response procedures, escalation paths, and regulatory notification timelines (including KDPA 72-hour breach notification) are detailed in the Incident Response Plan (MS-ISMS-IRP-005).</w:t>
      </w:r>
    </w:p>
    <w:p>
      <w:pPr>
        <w:pStyle w:val="Heading1"/>
        <w:pBdr>
          <w:bottom w:val="single" w:color="2E5FA3" w:sz="6" w:space="1"/>
        </w:pBdr>
        <w:spacing w:after="120" w:before="320"/>
      </w:pPr>
      <w:r>
        <w:rPr>
          <w:rFonts w:ascii="Arial" w:cs="Arial" w:eastAsia="Arial" w:hAnsi="Arial"/>
          <w:b/>
          <w:bCs/>
          <w:color w:val="1F3864"/>
          <w:sz w:val="28"/>
          <w:szCs w:val="28"/>
        </w:rPr>
        <w:t xml:space="preserve">11.  Business Continuity</w:t>
      </w:r>
    </w:p>
    <w:p>
      <w:pPr>
        <w:spacing w:after="80" w:before="80"/>
        <w:jc w:val="left"/>
      </w:pPr>
      <w:r>
        <w:rPr>
          <w:rFonts w:ascii="Arial" w:cs="Arial" w:eastAsia="Arial" w:hAnsi="Arial"/>
          <w:b w:val="false"/>
          <w:bCs w:val="false"/>
          <w:i w:val="false"/>
          <w:iCs w:val="false"/>
          <w:color w:val="444444"/>
          <w:sz w:val="20"/>
          <w:szCs w:val="20"/>
        </w:rPr>
        <w:t xml:space="preserve">Stark Industries shall maintain business continuity plans to ensure the continued availability of critical information systems and services in the event of a disruptive incident. Recovery Time Objectives (RTOs) and Recovery Point Objectives (RPOs) are defined in the Business Continuity Plan (MS-ISMS-BCP-007).</w:t>
      </w:r>
    </w:p>
    <w:p>
      <w:pPr>
        <w:pStyle w:val="Heading1"/>
        <w:pBdr>
          <w:bottom w:val="single" w:color="2E5FA3" w:sz="6" w:space="1"/>
        </w:pBdr>
        <w:spacing w:after="120" w:before="320"/>
      </w:pPr>
      <w:r>
        <w:rPr>
          <w:rFonts w:ascii="Arial" w:cs="Arial" w:eastAsia="Arial" w:hAnsi="Arial"/>
          <w:b/>
          <w:bCs/>
          <w:color w:val="1F3864"/>
          <w:sz w:val="28"/>
          <w:szCs w:val="28"/>
        </w:rPr>
        <w:t xml:space="preserve">12.  Third-Party and Supplier Security</w:t>
      </w:r>
    </w:p>
    <w:p>
      <w:pPr>
        <w:spacing w:after="80" w:before="80"/>
        <w:jc w:val="left"/>
      </w:pPr>
      <w:r>
        <w:rPr>
          <w:rFonts w:ascii="Arial" w:cs="Arial" w:eastAsia="Arial" w:hAnsi="Arial"/>
          <w:b w:val="false"/>
          <w:bCs w:val="false"/>
          <w:i w:val="false"/>
          <w:iCs w:val="false"/>
          <w:color w:val="444444"/>
          <w:sz w:val="20"/>
          <w:szCs w:val="20"/>
        </w:rPr>
        <w:t xml:space="preserve">All third-party service providers and suppliers with access to Stark Industries information assets or systems shall:</w:t>
      </w:r>
    </w:p>
    <w:p>
      <w:pPr>
        <w:pStyle w:val="ListParagraph"/>
        <w:numPr>
          <w:ilvl w:val="0"/>
          <w:numId w:val="2"/>
        </w:numPr>
        <w:spacing w:after="60" w:before="60"/>
      </w:pPr>
      <w:r>
        <w:rPr>
          <w:rFonts w:ascii="Arial" w:cs="Arial" w:eastAsia="Arial" w:hAnsi="Arial"/>
          <w:color w:val="444444"/>
          <w:sz w:val="20"/>
          <w:szCs w:val="20"/>
        </w:rPr>
        <w:t xml:space="preserve">Be subject to a security assessment prior to engagement.</w:t>
      </w:r>
    </w:p>
    <w:p>
      <w:pPr>
        <w:pStyle w:val="ListParagraph"/>
        <w:numPr>
          <w:ilvl w:val="0"/>
          <w:numId w:val="2"/>
        </w:numPr>
        <w:spacing w:after="60" w:before="60"/>
      </w:pPr>
      <w:r>
        <w:rPr>
          <w:rFonts w:ascii="Arial" w:cs="Arial" w:eastAsia="Arial" w:hAnsi="Arial"/>
          <w:color w:val="444444"/>
          <w:sz w:val="20"/>
          <w:szCs w:val="20"/>
        </w:rPr>
        <w:t xml:space="preserve">Agree to contractual security obligations consistent with this policy.</w:t>
      </w:r>
    </w:p>
    <w:p>
      <w:pPr>
        <w:pStyle w:val="ListParagraph"/>
        <w:numPr>
          <w:ilvl w:val="0"/>
          <w:numId w:val="2"/>
        </w:numPr>
        <w:spacing w:after="60" w:before="60"/>
      </w:pPr>
      <w:r>
        <w:rPr>
          <w:rFonts w:ascii="Arial" w:cs="Arial" w:eastAsia="Arial" w:hAnsi="Arial"/>
          <w:color w:val="444444"/>
          <w:sz w:val="20"/>
          <w:szCs w:val="20"/>
        </w:rPr>
        <w:t xml:space="preserve">Be monitored for ongoing compliance throughout the term of engagement.</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Requirements are detailed in the Supplier Security Policy (MS-ISMS-SUP-008).</w:t>
      </w:r>
    </w:p>
    <w:p>
      <w:pPr>
        <w:pStyle w:val="Heading1"/>
        <w:pBdr>
          <w:bottom w:val="single" w:color="2E5FA3" w:sz="6" w:space="1"/>
        </w:pBdr>
        <w:spacing w:after="120" w:before="320"/>
      </w:pPr>
      <w:r>
        <w:rPr>
          <w:rFonts w:ascii="Arial" w:cs="Arial" w:eastAsia="Arial" w:hAnsi="Arial"/>
          <w:b/>
          <w:bCs/>
          <w:color w:val="1F3864"/>
          <w:sz w:val="28"/>
          <w:szCs w:val="28"/>
        </w:rPr>
        <w:t xml:space="preserve">13.  Policy Exceptions</w:t>
      </w:r>
    </w:p>
    <w:p>
      <w:pPr>
        <w:spacing w:after="80" w:before="80"/>
        <w:jc w:val="left"/>
      </w:pPr>
      <w:r>
        <w:rPr>
          <w:rFonts w:ascii="Arial" w:cs="Arial" w:eastAsia="Arial" w:hAnsi="Arial"/>
          <w:b w:val="false"/>
          <w:bCs w:val="false"/>
          <w:i w:val="false"/>
          <w:iCs w:val="false"/>
          <w:color w:val="444444"/>
          <w:sz w:val="20"/>
          <w:szCs w:val="20"/>
        </w:rPr>
        <w:t xml:space="preserve">Any exception to this policy must be formally requested, documented, and approved by the CISO (or equivalent) and the relevant department head. Exceptions shall be:</w:t>
      </w:r>
    </w:p>
    <w:p>
      <w:pPr>
        <w:pStyle w:val="ListParagraph"/>
        <w:numPr>
          <w:ilvl w:val="0"/>
          <w:numId w:val="2"/>
        </w:numPr>
        <w:spacing w:after="60" w:before="60"/>
      </w:pPr>
      <w:r>
        <w:rPr>
          <w:rFonts w:ascii="Arial" w:cs="Arial" w:eastAsia="Arial" w:hAnsi="Arial"/>
          <w:color w:val="444444"/>
          <w:sz w:val="20"/>
          <w:szCs w:val="20"/>
        </w:rPr>
        <w:t xml:space="preserve">Time-bound with a defined expiry date.</w:t>
      </w:r>
    </w:p>
    <w:p>
      <w:pPr>
        <w:pStyle w:val="ListParagraph"/>
        <w:numPr>
          <w:ilvl w:val="0"/>
          <w:numId w:val="2"/>
        </w:numPr>
        <w:spacing w:after="60" w:before="60"/>
      </w:pPr>
      <w:r>
        <w:rPr>
          <w:rFonts w:ascii="Arial" w:cs="Arial" w:eastAsia="Arial" w:hAnsi="Arial"/>
          <w:color w:val="444444"/>
          <w:sz w:val="20"/>
          <w:szCs w:val="20"/>
        </w:rPr>
        <w:t xml:space="preserve">Risk-assessed to determine compensating controls.</w:t>
      </w:r>
    </w:p>
    <w:p>
      <w:pPr>
        <w:pStyle w:val="ListParagraph"/>
        <w:numPr>
          <w:ilvl w:val="0"/>
          <w:numId w:val="2"/>
        </w:numPr>
        <w:spacing w:after="60" w:before="60"/>
      </w:pPr>
      <w:r>
        <w:rPr>
          <w:rFonts w:ascii="Arial" w:cs="Arial" w:eastAsia="Arial" w:hAnsi="Arial"/>
          <w:color w:val="444444"/>
          <w:sz w:val="20"/>
          <w:szCs w:val="20"/>
        </w:rPr>
        <w:t xml:space="preserve">Recorded in the ISMS risk register and reviewed at the next scheduled audit.</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Unapproved deviations from this policy constitute a non-conformity under the ISMS and may result in disciplinary action.</w:t>
      </w:r>
    </w:p>
    <w:p>
      <w:pPr>
        <w:pStyle w:val="Heading1"/>
        <w:pBdr>
          <w:bottom w:val="single" w:color="2E5FA3" w:sz="6" w:space="1"/>
        </w:pBdr>
        <w:spacing w:after="120" w:before="320"/>
      </w:pPr>
      <w:r>
        <w:rPr>
          <w:rFonts w:ascii="Arial" w:cs="Arial" w:eastAsia="Arial" w:hAnsi="Arial"/>
          <w:b/>
          <w:bCs/>
          <w:color w:val="1F3864"/>
          <w:sz w:val="28"/>
          <w:szCs w:val="28"/>
        </w:rPr>
        <w:t xml:space="preserve">14.  Policy Violations</w:t>
      </w:r>
    </w:p>
    <w:p>
      <w:pPr>
        <w:spacing w:after="80" w:before="80"/>
        <w:jc w:val="left"/>
      </w:pPr>
      <w:r>
        <w:rPr>
          <w:rFonts w:ascii="Arial" w:cs="Arial" w:eastAsia="Arial" w:hAnsi="Arial"/>
          <w:b w:val="false"/>
          <w:bCs w:val="false"/>
          <w:i w:val="false"/>
          <w:iCs w:val="false"/>
          <w:color w:val="444444"/>
          <w:sz w:val="20"/>
          <w:szCs w:val="20"/>
        </w:rPr>
        <w:t xml:space="preserve">Violations of this policy, whether deliberate or through negligence, are treated seriously. Consequences may include:</w:t>
      </w:r>
    </w:p>
    <w:p>
      <w:pPr>
        <w:pStyle w:val="ListParagraph"/>
        <w:numPr>
          <w:ilvl w:val="0"/>
          <w:numId w:val="2"/>
        </w:numPr>
        <w:spacing w:after="60" w:before="60"/>
      </w:pPr>
      <w:r>
        <w:rPr>
          <w:rFonts w:ascii="Arial" w:cs="Arial" w:eastAsia="Arial" w:hAnsi="Arial"/>
          <w:color w:val="444444"/>
          <w:sz w:val="20"/>
          <w:szCs w:val="20"/>
        </w:rPr>
        <w:t xml:space="preserve">Formal written warning.</w:t>
      </w:r>
    </w:p>
    <w:p>
      <w:pPr>
        <w:pStyle w:val="ListParagraph"/>
        <w:numPr>
          <w:ilvl w:val="0"/>
          <w:numId w:val="2"/>
        </w:numPr>
        <w:spacing w:after="60" w:before="60"/>
      </w:pPr>
      <w:r>
        <w:rPr>
          <w:rFonts w:ascii="Arial" w:cs="Arial" w:eastAsia="Arial" w:hAnsi="Arial"/>
          <w:color w:val="444444"/>
          <w:sz w:val="20"/>
          <w:szCs w:val="20"/>
        </w:rPr>
        <w:t xml:space="preserve">Restriction or revocation of access privileges.</w:t>
      </w:r>
    </w:p>
    <w:p>
      <w:pPr>
        <w:pStyle w:val="ListParagraph"/>
        <w:numPr>
          <w:ilvl w:val="0"/>
          <w:numId w:val="2"/>
        </w:numPr>
        <w:spacing w:after="60" w:before="60"/>
      </w:pPr>
      <w:r>
        <w:rPr>
          <w:rFonts w:ascii="Arial" w:cs="Arial" w:eastAsia="Arial" w:hAnsi="Arial"/>
          <w:color w:val="444444"/>
          <w:sz w:val="20"/>
          <w:szCs w:val="20"/>
        </w:rPr>
        <w:t xml:space="preserve">Disciplinary action up to and including termination of employment or contract.</w:t>
      </w:r>
    </w:p>
    <w:p>
      <w:pPr>
        <w:pStyle w:val="ListParagraph"/>
        <w:numPr>
          <w:ilvl w:val="0"/>
          <w:numId w:val="2"/>
        </w:numPr>
        <w:spacing w:after="60" w:before="60"/>
      </w:pPr>
      <w:r>
        <w:rPr>
          <w:rFonts w:ascii="Arial" w:cs="Arial" w:eastAsia="Arial" w:hAnsi="Arial"/>
          <w:color w:val="444444"/>
          <w:sz w:val="20"/>
          <w:szCs w:val="20"/>
        </w:rPr>
        <w:t xml:space="preserve">Referral to law enforcement authorities where criminal conduct is suspected.</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Potential violations should be reported to the IT/Security Team or the CISO without fear of retaliation.</w:t>
      </w:r>
    </w:p>
    <w:p>
      <w:pPr>
        <w:pStyle w:val="Heading1"/>
        <w:pBdr>
          <w:bottom w:val="single" w:color="2E5FA3" w:sz="6" w:space="1"/>
        </w:pBdr>
        <w:spacing w:after="120" w:before="320"/>
      </w:pPr>
      <w:r>
        <w:rPr>
          <w:rFonts w:ascii="Arial" w:cs="Arial" w:eastAsia="Arial" w:hAnsi="Arial"/>
          <w:b/>
          <w:bCs/>
          <w:color w:val="1F3864"/>
          <w:sz w:val="28"/>
          <w:szCs w:val="28"/>
        </w:rPr>
        <w:t xml:space="preserve">15.  Policy Review and Approval</w:t>
      </w:r>
    </w:p>
    <w:p>
      <w:pPr>
        <w:spacing w:after="80" w:before="80"/>
        <w:jc w:val="left"/>
      </w:pPr>
      <w:r>
        <w:rPr>
          <w:rFonts w:ascii="Arial" w:cs="Arial" w:eastAsia="Arial" w:hAnsi="Arial"/>
          <w:b w:val="false"/>
          <w:bCs w:val="false"/>
          <w:i w:val="false"/>
          <w:iCs w:val="false"/>
          <w:color w:val="444444"/>
          <w:sz w:val="20"/>
          <w:szCs w:val="20"/>
        </w:rPr>
        <w:t xml:space="preserve">This policy shall be reviewed at least annually, or following:</w:t>
      </w:r>
    </w:p>
    <w:p>
      <w:pPr>
        <w:pStyle w:val="ListParagraph"/>
        <w:numPr>
          <w:ilvl w:val="0"/>
          <w:numId w:val="2"/>
        </w:numPr>
        <w:spacing w:after="60" w:before="60"/>
      </w:pPr>
      <w:r>
        <w:rPr>
          <w:rFonts w:ascii="Arial" w:cs="Arial" w:eastAsia="Arial" w:hAnsi="Arial"/>
          <w:color w:val="444444"/>
          <w:sz w:val="20"/>
          <w:szCs w:val="20"/>
        </w:rPr>
        <w:t xml:space="preserve">Significant changes to the organisation's information systems or business processes.</w:t>
      </w:r>
    </w:p>
    <w:p>
      <w:pPr>
        <w:pStyle w:val="ListParagraph"/>
        <w:numPr>
          <w:ilvl w:val="0"/>
          <w:numId w:val="2"/>
        </w:numPr>
        <w:spacing w:after="60" w:before="60"/>
      </w:pPr>
      <w:r>
        <w:rPr>
          <w:rFonts w:ascii="Arial" w:cs="Arial" w:eastAsia="Arial" w:hAnsi="Arial"/>
          <w:color w:val="444444"/>
          <w:sz w:val="20"/>
          <w:szCs w:val="20"/>
        </w:rPr>
        <w:t xml:space="preserve">A major information security incident or audit finding.</w:t>
      </w:r>
    </w:p>
    <w:p>
      <w:pPr>
        <w:pStyle w:val="ListParagraph"/>
        <w:numPr>
          <w:ilvl w:val="0"/>
          <w:numId w:val="2"/>
        </w:numPr>
        <w:spacing w:after="60" w:before="60"/>
      </w:pPr>
      <w:r>
        <w:rPr>
          <w:rFonts w:ascii="Arial" w:cs="Arial" w:eastAsia="Arial" w:hAnsi="Arial"/>
          <w:color w:val="444444"/>
          <w:sz w:val="20"/>
          <w:szCs w:val="20"/>
        </w:rPr>
        <w:t xml:space="preserve">Changes to applicable legislation or regulatory requirements.</w:t>
      </w:r>
    </w:p>
    <w:p>
      <w:pPr>
        <w:pStyle w:val="ListParagraph"/>
        <w:numPr>
          <w:ilvl w:val="0"/>
          <w:numId w:val="2"/>
        </w:numPr>
        <w:spacing w:after="60" w:before="60"/>
      </w:pPr>
      <w:r>
        <w:rPr>
          <w:rFonts w:ascii="Arial" w:cs="Arial" w:eastAsia="Arial" w:hAnsi="Arial"/>
          <w:color w:val="444444"/>
          <w:sz w:val="20"/>
          <w:szCs w:val="20"/>
        </w:rPr>
        <w:t xml:space="preserve">Material changes to the threat landscape as determined by the CISO.</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This policy has been reviewed and approved by senior management. All staff are required to read, understand, and comply with this policy.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Approved by</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Title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[Authorised Signatory]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Chief Executive Officer / CISO</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MSSP - Security Advisor</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bl>
    <w:p>
      <w:pPr>
        <w:spacing w:after="0" w:before="200"/>
      </w:pPr>
      <w:r>
        <w:t xml:space="preserve"/>
      </w:r>
    </w:p>
    <w:p>
      <w:pPr>
        <w:spacing w:after="80" w:before="80"/>
        <w:jc w:val="center"/>
      </w:pPr>
      <w:r>
        <w:rPr>
          <w:rFonts w:ascii="Arial" w:cs="Arial" w:eastAsia="Arial" w:hAnsi="Arial"/>
          <w:b w:val="false"/>
          <w:bCs w:val="false"/>
          <w:i/>
          <w:iCs/>
          <w:color w:val="AAAAAA"/>
          <w:sz w:val="20"/>
          <w:szCs w:val="20"/>
        </w:rPr>
        <w:t xml:space="preserve">End of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888888"/>
        <w:sz w:val="16"/>
        <w:szCs w:val="16"/>
      </w:rPr>
      <w:t xml:space="preserve">Prepared by Michael's Security  |  ISO/IEC 27001:2022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before="0"/>
    </w:pPr>
    <w:r>
      <w:rPr>
        <w:rFonts w:ascii="Arial" w:cs="Arial" w:eastAsia="Arial" w:hAnsi="Arial"/>
        <w:b/>
        <w:bCs/>
        <w:color w:val="1F3864"/>
        <w:sz w:val="18"/>
        <w:szCs w:val="18"/>
      </w:rPr>
      <w:t xml:space="preserve">Stark Industries</w:t>
    </w:r>
    <w:r>
      <w:rPr>
        <w:rFonts w:ascii="Arial" w:cs="Arial" w:eastAsia="Arial" w:hAnsi="Arial"/>
        <w:color w:val="888888"/>
        <w:sz w:val="16"/>
        <w:szCs w:val="16"/>
      </w:rPr>
      <w:t xml:space="preserve">	Information Security Policy  |  MS-ISMS-POL-001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2026-05-06T10:13:29.527Z</dcterms:created>
  <dcterms:modified xsi:type="dcterms:W3CDTF">2026-05-06T10:13:29.528Z</dcterms:modified>
</cp:coreProperties>
</file>

<file path=docProps/custom.xml><?xml version="1.0" encoding="utf-8"?>
<Properties xmlns="http://schemas.openxmlformats.org/officeDocument/2006/custom-properties" xmlns:vt="http://schemas.openxmlformats.org/officeDocument/2006/docPropsVTypes"/>
</file>