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Risk Assessment &amp; Treatment Methodology</w:t>
      </w:r>
    </w:p>
    <w:p>
      <w:pPr>
        <w:pBdr>
          <w:bottom w:val="single" w:color="E8B84B" w:sz="24" w:space="0"/>
        </w:pBdr>
        <w:spacing w:after="0" w:before="0"/>
        <w:jc w:val="center"/>
      </w:pPr>
      <w:r>
        <w:rPr>
          <w:sz w:val="8"/>
          <w:szCs w:val="8"/>
        </w:rPr>
        <w:t xml:space="preserve"/>
      </w:r>
    </w:p>
    <w:p>
      <w:pPr>
        <w:spacing w:after="0" w:before="140"/>
      </w:pPr>
      <w:r>
        <w:t xml:space="preserve"/>
      </w:r>
    </w:p>
    <w:p>
      <w:pPr>
        <w:jc w:val="center"/>
      </w:pPr>
      <w:r>
        <w:rPr>
          <w:rFonts w:ascii="Arial" w:cs="Arial" w:eastAsia="Arial" w:hAnsi="Arial"/>
          <w:i/>
          <w:iCs/>
          <w:color w:val="777777"/>
          <w:sz w:val="19"/>
          <w:szCs w:val="19"/>
        </w:rPr>
        <w:t xml:space="preserve">ISO/IEC 27001:2022  •  MS-ISMS-RISK-002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Risk Assessment &amp; Treatment Methodology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MS-ISMS-RISK-002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Annex A Controls</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6.1.2, 6.1.3, 8.2, 8.3</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Confidential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document defines the methodology used by Stark Industries to identify, assess, evaluate, and treat information security risks within its Information Security Management System (ISMS). It provides a consistent, repeatable, and auditable approach to risk management in alignment with ISO/IEC 27001:2022 clauses 6.1.2, 6.1.3, 8.2, and 8.3, and ensures risks to personal data are managed in accordance with the Kenya Data Protection Act 2019 (Section 41).</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methodology applies to:</w:t>
      </w:r>
    </w:p>
    <w:p>
      <w:pPr>
        <w:pStyle w:val="ListParagraph"/>
        <w:numPr>
          <w:ilvl w:val="0"/>
          <w:numId w:val="2"/>
        </w:numPr>
        <w:spacing w:after="60" w:before="60"/>
      </w:pPr>
      <w:r>
        <w:rPr>
          <w:rFonts w:ascii="Arial" w:cs="Arial" w:eastAsia="Arial" w:hAnsi="Arial"/>
          <w:color w:val="444444"/>
          <w:sz w:val="20"/>
          <w:szCs w:val="20"/>
        </w:rPr>
        <w:t xml:space="preserve">All information assets within the ISMS scope, as catalogued in the Asset Register (MS-ISMS-ASSET-004).</w:t>
      </w:r>
    </w:p>
    <w:p>
      <w:pPr>
        <w:pStyle w:val="ListParagraph"/>
        <w:numPr>
          <w:ilvl w:val="0"/>
          <w:numId w:val="2"/>
        </w:numPr>
        <w:spacing w:after="60" w:before="60"/>
      </w:pPr>
      <w:r>
        <w:rPr>
          <w:rFonts w:ascii="Arial" w:cs="Arial" w:eastAsia="Arial" w:hAnsi="Arial"/>
          <w:color w:val="444444"/>
          <w:sz w:val="20"/>
          <w:szCs w:val="20"/>
        </w:rPr>
        <w:t xml:space="preserve">All threats and vulnerabilities that could impact the confidentiality, integrity, or availability of those assets.</w:t>
      </w:r>
    </w:p>
    <w:p>
      <w:pPr>
        <w:pStyle w:val="ListParagraph"/>
        <w:numPr>
          <w:ilvl w:val="0"/>
          <w:numId w:val="2"/>
        </w:numPr>
        <w:spacing w:after="60" w:before="60"/>
      </w:pPr>
      <w:r>
        <w:rPr>
          <w:rFonts w:ascii="Arial" w:cs="Arial" w:eastAsia="Arial" w:hAnsi="Arial"/>
          <w:color w:val="444444"/>
          <w:sz w:val="20"/>
          <w:szCs w:val="20"/>
        </w:rPr>
        <w:t xml:space="preserve">All personnel responsible for identifying, owning, and treating risks.</w:t>
      </w:r>
    </w:p>
    <w:p>
      <w:pPr>
        <w:pStyle w:val="ListParagraph"/>
        <w:numPr>
          <w:ilvl w:val="0"/>
          <w:numId w:val="2"/>
        </w:numPr>
        <w:spacing w:after="60" w:before="60"/>
      </w:pPr>
      <w:r>
        <w:rPr>
          <w:rFonts w:ascii="Arial" w:cs="Arial" w:eastAsia="Arial" w:hAnsi="Arial"/>
          <w:color w:val="444444"/>
          <w:sz w:val="20"/>
          <w:szCs w:val="20"/>
        </w:rPr>
        <w:t xml:space="preserve">Risk assessments conducted by Stark Industries and those performed by Michael's Security (MSSP) on Stark Industries' behalf.</w:t>
      </w:r>
    </w:p>
    <w:p>
      <w:pPr>
        <w:pStyle w:val="Heading1"/>
        <w:pBdr>
          <w:bottom w:val="single" w:color="2E5FA3" w:sz="6" w:space="1"/>
        </w:pBdr>
        <w:spacing w:after="120" w:before="320"/>
      </w:pPr>
      <w:r>
        <w:rPr>
          <w:rFonts w:ascii="Arial" w:cs="Arial" w:eastAsia="Arial" w:hAnsi="Arial"/>
          <w:b/>
          <w:bCs/>
          <w:color w:val="1F3864"/>
          <w:sz w:val="28"/>
          <w:szCs w:val="28"/>
        </w:rPr>
        <w:t xml:space="preserve">3.  Risk Assessment Process</w:t>
      </w:r>
    </w:p>
    <w:p>
      <w:pPr>
        <w:pStyle w:val="Heading2"/>
        <w:spacing w:after="80" w:before="200"/>
      </w:pPr>
      <w:r>
        <w:rPr>
          <w:rFonts w:ascii="Arial" w:cs="Arial" w:eastAsia="Arial" w:hAnsi="Arial"/>
          <w:b/>
          <w:bCs/>
          <w:color w:val="2E5FA3"/>
          <w:sz w:val="24"/>
          <w:szCs w:val="24"/>
        </w:rPr>
        <w:t xml:space="preserve">3.1  Overview</w:t>
      </w:r>
    </w:p>
    <w:p>
      <w:pPr>
        <w:spacing w:after="80" w:before="80"/>
        <w:jc w:val="left"/>
      </w:pPr>
      <w:r>
        <w:rPr>
          <w:rFonts w:ascii="Arial" w:cs="Arial" w:eastAsia="Arial" w:hAnsi="Arial"/>
          <w:b w:val="false"/>
          <w:bCs w:val="false"/>
          <w:i w:val="false"/>
          <w:iCs w:val="false"/>
          <w:color w:val="444444"/>
          <w:sz w:val="20"/>
          <w:szCs w:val="20"/>
        </w:rPr>
        <w:t xml:space="preserve">Stark Industries adopts an asset-based risk identification approach. The process follows five steps:</w:t>
      </w:r>
    </w:p>
    <w:p>
      <w:pPr>
        <w:pStyle w:val="ListParagraph"/>
        <w:numPr>
          <w:ilvl w:val="0"/>
          <w:numId w:val="2"/>
        </w:numPr>
        <w:spacing w:after="60" w:before="60"/>
      </w:pPr>
      <w:r>
        <w:rPr>
          <w:rFonts w:ascii="Arial" w:cs="Arial" w:eastAsia="Arial" w:hAnsi="Arial"/>
          <w:color w:val="444444"/>
          <w:sz w:val="20"/>
          <w:szCs w:val="20"/>
        </w:rPr>
        <w:t xml:space="preserve">Step 1 — Asset Identification: Identify assets within scope using the Asset Register.</w:t>
      </w:r>
    </w:p>
    <w:p>
      <w:pPr>
        <w:pStyle w:val="ListParagraph"/>
        <w:numPr>
          <w:ilvl w:val="0"/>
          <w:numId w:val="2"/>
        </w:numPr>
        <w:spacing w:after="60" w:before="60"/>
      </w:pPr>
      <w:r>
        <w:rPr>
          <w:rFonts w:ascii="Arial" w:cs="Arial" w:eastAsia="Arial" w:hAnsi="Arial"/>
          <w:color w:val="444444"/>
          <w:sz w:val="20"/>
          <w:szCs w:val="20"/>
        </w:rPr>
        <w:t xml:space="preserve">Step 2 — Threat and Vulnerability Identification: Identify threats (what could go wrong) and vulnerabilities (weaknesses that could be exploited) for each asset.</w:t>
      </w:r>
    </w:p>
    <w:p>
      <w:pPr>
        <w:pStyle w:val="ListParagraph"/>
        <w:numPr>
          <w:ilvl w:val="0"/>
          <w:numId w:val="2"/>
        </w:numPr>
        <w:spacing w:after="60" w:before="60"/>
      </w:pPr>
      <w:r>
        <w:rPr>
          <w:rFonts w:ascii="Arial" w:cs="Arial" w:eastAsia="Arial" w:hAnsi="Arial"/>
          <w:color w:val="444444"/>
          <w:sz w:val="20"/>
          <w:szCs w:val="20"/>
        </w:rPr>
        <w:t xml:space="preserve">Step 3 — Likelihood Assessment: Estimate the likelihood of a threat exploiting a vulnerability on a 1–5 scale.</w:t>
      </w:r>
    </w:p>
    <w:p>
      <w:pPr>
        <w:pStyle w:val="ListParagraph"/>
        <w:numPr>
          <w:ilvl w:val="0"/>
          <w:numId w:val="2"/>
        </w:numPr>
        <w:spacing w:after="60" w:before="60"/>
      </w:pPr>
      <w:r>
        <w:rPr>
          <w:rFonts w:ascii="Arial" w:cs="Arial" w:eastAsia="Arial" w:hAnsi="Arial"/>
          <w:color w:val="444444"/>
          <w:sz w:val="20"/>
          <w:szCs w:val="20"/>
        </w:rPr>
        <w:t xml:space="preserve">Step 4 — Impact Assessment: Estimate the impact on Stark Industries (financial, operational, legal, reputational) on a 1–5 scale.</w:t>
      </w:r>
    </w:p>
    <w:p>
      <w:pPr>
        <w:pStyle w:val="ListParagraph"/>
        <w:numPr>
          <w:ilvl w:val="0"/>
          <w:numId w:val="2"/>
        </w:numPr>
        <w:spacing w:after="60" w:before="60"/>
      </w:pPr>
      <w:r>
        <w:rPr>
          <w:rFonts w:ascii="Arial" w:cs="Arial" w:eastAsia="Arial" w:hAnsi="Arial"/>
          <w:color w:val="444444"/>
          <w:sz w:val="20"/>
          <w:szCs w:val="20"/>
        </w:rPr>
        <w:t xml:space="preserve">Step 5 — Risk Rating: Calculate the risk rating using the Likelihood x Impact matrix (Section 4).</w:t>
      </w:r>
    </w:p>
    <w:p>
      <w:pPr>
        <w:pStyle w:val="Heading2"/>
        <w:spacing w:after="80" w:before="200"/>
      </w:pPr>
      <w:r>
        <w:rPr>
          <w:rFonts w:ascii="Arial" w:cs="Arial" w:eastAsia="Arial" w:hAnsi="Arial"/>
          <w:b/>
          <w:bCs/>
          <w:color w:val="2E5FA3"/>
          <w:sz w:val="24"/>
          <w:szCs w:val="24"/>
        </w:rPr>
        <w:t xml:space="preserve">3.2  Likelihood Scale</w:t>
      </w:r>
    </w:p>
    <w:p>
      <w:pPr>
        <w:spacing w:after="80" w:before="80"/>
        <w:jc w:val="left"/>
      </w:pPr>
      <w:r>
        <w:rPr>
          <w:rFonts w:ascii="Arial" w:cs="Arial" w:eastAsia="Arial" w:hAnsi="Arial"/>
          <w:b w:val="false"/>
          <w:bCs w:val="false"/>
          <w:i w:val="false"/>
          <w:iCs w:val="false"/>
          <w:color w:val="444444"/>
          <w:sz w:val="20"/>
          <w:szCs w:val="20"/>
        </w:rPr>
        <w:t xml:space="preserve">Likelihood reflects the probability of a threat event occurring within a 12-month period:</w:t>
      </w:r>
    </w:p>
    <w:p>
      <w:pPr>
        <w:pStyle w:val="ListParagraph"/>
        <w:numPr>
          <w:ilvl w:val="0"/>
          <w:numId w:val="2"/>
        </w:numPr>
        <w:spacing w:after="60" w:before="60"/>
      </w:pPr>
      <w:r>
        <w:rPr>
          <w:rFonts w:ascii="Arial" w:cs="Arial" w:eastAsia="Arial" w:hAnsi="Arial"/>
          <w:color w:val="444444"/>
          <w:sz w:val="20"/>
          <w:szCs w:val="20"/>
        </w:rPr>
        <w:t xml:space="preserve">1 — Rare: Very unlikely; no known precedent in similar organisations.</w:t>
      </w:r>
    </w:p>
    <w:p>
      <w:pPr>
        <w:pStyle w:val="ListParagraph"/>
        <w:numPr>
          <w:ilvl w:val="0"/>
          <w:numId w:val="2"/>
        </w:numPr>
        <w:spacing w:after="60" w:before="60"/>
      </w:pPr>
      <w:r>
        <w:rPr>
          <w:rFonts w:ascii="Arial" w:cs="Arial" w:eastAsia="Arial" w:hAnsi="Arial"/>
          <w:color w:val="444444"/>
          <w:sz w:val="20"/>
          <w:szCs w:val="20"/>
        </w:rPr>
        <w:t xml:space="preserve">2 — Unlikely: Low probability; has occurred in the industry but not expected.</w:t>
      </w:r>
    </w:p>
    <w:p>
      <w:pPr>
        <w:pStyle w:val="ListParagraph"/>
        <w:numPr>
          <w:ilvl w:val="0"/>
          <w:numId w:val="2"/>
        </w:numPr>
        <w:spacing w:after="60" w:before="60"/>
      </w:pPr>
      <w:r>
        <w:rPr>
          <w:rFonts w:ascii="Arial" w:cs="Arial" w:eastAsia="Arial" w:hAnsi="Arial"/>
          <w:color w:val="444444"/>
          <w:sz w:val="20"/>
          <w:szCs w:val="20"/>
        </w:rPr>
        <w:t xml:space="preserve">3 — Possible: Moderate probability; plausible given current threat landscape.</w:t>
      </w:r>
    </w:p>
    <w:p>
      <w:pPr>
        <w:pStyle w:val="ListParagraph"/>
        <w:numPr>
          <w:ilvl w:val="0"/>
          <w:numId w:val="2"/>
        </w:numPr>
        <w:spacing w:after="60" w:before="60"/>
      </w:pPr>
      <w:r>
        <w:rPr>
          <w:rFonts w:ascii="Arial" w:cs="Arial" w:eastAsia="Arial" w:hAnsi="Arial"/>
          <w:color w:val="444444"/>
          <w:sz w:val="20"/>
          <w:szCs w:val="20"/>
        </w:rPr>
        <w:t xml:space="preserve">4 — Likely: High probability; expected to occur based on current controls and threat intelligence.</w:t>
      </w:r>
    </w:p>
    <w:p>
      <w:pPr>
        <w:pStyle w:val="ListParagraph"/>
        <w:numPr>
          <w:ilvl w:val="0"/>
          <w:numId w:val="2"/>
        </w:numPr>
        <w:spacing w:after="60" w:before="60"/>
      </w:pPr>
      <w:r>
        <w:rPr>
          <w:rFonts w:ascii="Arial" w:cs="Arial" w:eastAsia="Arial" w:hAnsi="Arial"/>
          <w:color w:val="444444"/>
          <w:sz w:val="20"/>
          <w:szCs w:val="20"/>
        </w:rPr>
        <w:t xml:space="preserve">5 — Almost Certain: Near-certain; threat is active and current controls are insufficient.</w:t>
      </w:r>
    </w:p>
    <w:p>
      <w:pPr>
        <w:pStyle w:val="Heading2"/>
        <w:spacing w:after="80" w:before="200"/>
      </w:pPr>
      <w:r>
        <w:rPr>
          <w:rFonts w:ascii="Arial" w:cs="Arial" w:eastAsia="Arial" w:hAnsi="Arial"/>
          <w:b/>
          <w:bCs/>
          <w:color w:val="2E5FA3"/>
          <w:sz w:val="24"/>
          <w:szCs w:val="24"/>
        </w:rPr>
        <w:t xml:space="preserve">3.3  Impact Scale</w:t>
      </w:r>
    </w:p>
    <w:p>
      <w:pPr>
        <w:spacing w:after="80" w:before="80"/>
        <w:jc w:val="left"/>
      </w:pPr>
      <w:r>
        <w:rPr>
          <w:rFonts w:ascii="Arial" w:cs="Arial" w:eastAsia="Arial" w:hAnsi="Arial"/>
          <w:b w:val="false"/>
          <w:bCs w:val="false"/>
          <w:i w:val="false"/>
          <w:iCs w:val="false"/>
          <w:color w:val="444444"/>
          <w:sz w:val="20"/>
          <w:szCs w:val="20"/>
        </w:rPr>
        <w:t xml:space="preserve">Impact reflects the severity of consequences if the risk materialises:</w:t>
      </w:r>
    </w:p>
    <w:p>
      <w:pPr>
        <w:pStyle w:val="ListParagraph"/>
        <w:numPr>
          <w:ilvl w:val="0"/>
          <w:numId w:val="2"/>
        </w:numPr>
        <w:spacing w:after="60" w:before="60"/>
      </w:pPr>
      <w:r>
        <w:rPr>
          <w:rFonts w:ascii="Arial" w:cs="Arial" w:eastAsia="Arial" w:hAnsi="Arial"/>
          <w:color w:val="444444"/>
          <w:sz w:val="20"/>
          <w:szCs w:val="20"/>
        </w:rPr>
        <w:t xml:space="preserve">1 — Negligible: Minimal disruption; no data loss; no regulatory exposure; resolved internally.</w:t>
      </w:r>
    </w:p>
    <w:p>
      <w:pPr>
        <w:pStyle w:val="ListParagraph"/>
        <w:numPr>
          <w:ilvl w:val="0"/>
          <w:numId w:val="2"/>
        </w:numPr>
        <w:spacing w:after="60" w:before="60"/>
      </w:pPr>
      <w:r>
        <w:rPr>
          <w:rFonts w:ascii="Arial" w:cs="Arial" w:eastAsia="Arial" w:hAnsi="Arial"/>
          <w:color w:val="444444"/>
          <w:sz w:val="20"/>
          <w:szCs w:val="20"/>
        </w:rPr>
        <w:t xml:space="preserve">2 — Minor: Limited disruption; minor data exposure; low financial loss; reputational impact contained.</w:t>
      </w:r>
    </w:p>
    <w:p>
      <w:pPr>
        <w:pStyle w:val="ListParagraph"/>
        <w:numPr>
          <w:ilvl w:val="0"/>
          <w:numId w:val="2"/>
        </w:numPr>
        <w:spacing w:after="60" w:before="60"/>
      </w:pPr>
      <w:r>
        <w:rPr>
          <w:rFonts w:ascii="Arial" w:cs="Arial" w:eastAsia="Arial" w:hAnsi="Arial"/>
          <w:color w:val="444444"/>
          <w:sz w:val="20"/>
          <w:szCs w:val="20"/>
        </w:rPr>
        <w:t xml:space="preserve">3 — Moderate: Significant disruption; moderate data breach; regulatory investigation possible; measurable financial impact.</w:t>
      </w:r>
    </w:p>
    <w:p>
      <w:pPr>
        <w:pStyle w:val="ListParagraph"/>
        <w:numPr>
          <w:ilvl w:val="0"/>
          <w:numId w:val="2"/>
        </w:numPr>
        <w:spacing w:after="60" w:before="60"/>
      </w:pPr>
      <w:r>
        <w:rPr>
          <w:rFonts w:ascii="Arial" w:cs="Arial" w:eastAsia="Arial" w:hAnsi="Arial"/>
          <w:color w:val="444444"/>
          <w:sz w:val="20"/>
          <w:szCs w:val="20"/>
        </w:rPr>
        <w:t xml:space="preserve">4 — Major: Serious disruption to critical systems; significant personal data breach; ODPC notification required; major financial or legal exposure.</w:t>
      </w:r>
    </w:p>
    <w:p>
      <w:pPr>
        <w:pStyle w:val="ListParagraph"/>
        <w:numPr>
          <w:ilvl w:val="0"/>
          <w:numId w:val="2"/>
        </w:numPr>
        <w:spacing w:after="60" w:before="60"/>
      </w:pPr>
      <w:r>
        <w:rPr>
          <w:rFonts w:ascii="Arial" w:cs="Arial" w:eastAsia="Arial" w:hAnsi="Arial"/>
          <w:color w:val="444444"/>
          <w:sz w:val="20"/>
          <w:szCs w:val="20"/>
        </w:rPr>
        <w:t xml:space="preserve">5 — Catastrophic: Extended outage of all critical systems; mass personal data breach; criminal investigation; existential financial or reputational threat.</w:t>
      </w:r>
    </w:p>
    <w:p>
      <w:pPr>
        <w:pStyle w:val="Heading1"/>
        <w:pBdr>
          <w:bottom w:val="single" w:color="2E5FA3" w:sz="6" w:space="1"/>
        </w:pBdr>
        <w:spacing w:after="120" w:before="320"/>
      </w:pPr>
      <w:r>
        <w:rPr>
          <w:rFonts w:ascii="Arial" w:cs="Arial" w:eastAsia="Arial" w:hAnsi="Arial"/>
          <w:b/>
          <w:bCs/>
          <w:color w:val="1F3864"/>
          <w:sz w:val="28"/>
          <w:szCs w:val="28"/>
        </w:rPr>
        <w:t xml:space="preserve">4.  Risk Rating Matrix (Likelihood x Impact)</w:t>
      </w:r>
    </w:p>
    <w:p>
      <w:pPr>
        <w:spacing w:after="80" w:before="80"/>
        <w:jc w:val="left"/>
      </w:pPr>
      <w:r>
        <w:rPr>
          <w:rFonts w:ascii="Arial" w:cs="Arial" w:eastAsia="Arial" w:hAnsi="Arial"/>
          <w:b w:val="false"/>
          <w:bCs w:val="false"/>
          <w:i w:val="false"/>
          <w:iCs w:val="false"/>
          <w:color w:val="444444"/>
          <w:sz w:val="20"/>
          <w:szCs w:val="20"/>
        </w:rPr>
        <w:t xml:space="preserve">The risk rating is determined by multiplying Likelihood x Impact and mapping to the following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Likelihood \ Impact</w:t>
            </w:r>
          </w:p>
        </w:tc>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1 - Negligible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2 - Minor</w:t>
            </w:r>
          </w:p>
        </w:tc>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3 - Moderate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4 - Major</w:t>
            </w:r>
          </w:p>
        </w:tc>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5 - Catastrophic</w:t>
            </w:r>
          </w:p>
        </w:tc>
      </w:tr>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5 - Almost Certain</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r>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4 - Likely</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r>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3 - Possible</w:t>
            </w:r>
          </w:p>
        </w:tc>
        <w:tc>
          <w:tcPr>
            <w:tcW w:type="dxa" w:w="15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MEDIUM</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r>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2 - Unlikely</w:t>
            </w:r>
          </w:p>
        </w:tc>
        <w:tc>
          <w:tcPr>
            <w:tcW w:type="dxa" w:w="1500"/>
            <w:tcBorders>
              <w:top w:val="single" w:color="BBBBBB" w:sz="1"/>
              <w:left w:val="single" w:color="BBBBBB" w:sz="1"/>
              <w:bottom w:val="single" w:color="BBBBBB" w:sz="1"/>
              <w:right w:val="single" w:color="BBBBBB" w:sz="1"/>
            </w:tcBorders>
            <w:shd w:fill="D9EAD3" w:val="clear"/>
            <w:tcMar>
              <w:top w:type="dxa" w:w="80"/>
              <w:left w:type="dxa" w:w="100"/>
              <w:bottom w:type="dxa" w:w="80"/>
              <w:right w:type="dxa" w:w="100"/>
            </w:tcMar>
          </w:tcPr>
          <w:p>
            <w:pPr>
              <w:jc w:val="center"/>
            </w:pPr>
            <w:r>
              <w:rPr>
                <w:rFonts w:ascii="Arial" w:cs="Arial" w:eastAsia="Arial" w:hAnsi="Arial"/>
                <w:b/>
                <w:bCs/>
                <w:color w:val="274E13"/>
                <w:sz w:val="16"/>
                <w:szCs w:val="16"/>
              </w:rPr>
              <w:t xml:space="preserve">LOW</w:t>
            </w:r>
          </w:p>
        </w:tc>
        <w:tc>
          <w:tcPr>
            <w:tcW w:type="dxa" w:w="15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MEDIUM</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4CCCC" w:val="clear"/>
            <w:tcMar>
              <w:top w:type="dxa" w:w="80"/>
              <w:left w:type="dxa" w:w="100"/>
              <w:bottom w:type="dxa" w:w="80"/>
              <w:right w:type="dxa" w:w="100"/>
            </w:tcMar>
          </w:tcPr>
          <w:p>
            <w:pPr>
              <w:jc w:val="center"/>
            </w:pPr>
            <w:r>
              <w:rPr>
                <w:rFonts w:ascii="Arial" w:cs="Arial" w:eastAsia="Arial" w:hAnsi="Arial"/>
                <w:b/>
                <w:bCs/>
                <w:color w:val="7B0000"/>
                <w:sz w:val="16"/>
                <w:szCs w:val="16"/>
              </w:rPr>
              <w:t xml:space="preserve">CRITICAL</w:t>
            </w:r>
          </w:p>
        </w:tc>
      </w:tr>
      <w:tr>
        <w:tc>
          <w:tcPr>
            <w:tcW w:type="dxa" w:w="1500"/>
            <w:tcBorders>
              <w:top w:val="single" w:color="BBBBBB" w:sz="1"/>
              <w:left w:val="single" w:color="BBBBBB" w:sz="1"/>
              <w:bottom w:val="single" w:color="BBBBBB" w:sz="1"/>
              <w:right w:val="single" w:color="BBBBBB" w:sz="1"/>
            </w:tcBorders>
            <w:shd w:fill="1F3864" w:val="clear"/>
            <w:tcMar>
              <w:top w:type="dxa" w:w="80"/>
              <w:left w:type="dxa" w:w="100"/>
              <w:bottom w:type="dxa" w:w="80"/>
              <w:right w:type="dxa" w:w="100"/>
            </w:tcMar>
          </w:tcPr>
          <w:p>
            <w:pPr>
              <w:jc w:val="center"/>
            </w:pPr>
            <w:r>
              <w:rPr>
                <w:rFonts w:ascii="Arial" w:cs="Arial" w:eastAsia="Arial" w:hAnsi="Arial"/>
                <w:b/>
                <w:bCs/>
                <w:color w:val="FFFFFF"/>
                <w:sz w:val="16"/>
                <w:szCs w:val="16"/>
              </w:rPr>
              <w:t xml:space="preserve">1 - Rare</w:t>
            </w:r>
          </w:p>
        </w:tc>
        <w:tc>
          <w:tcPr>
            <w:tcW w:type="dxa" w:w="1500"/>
            <w:tcBorders>
              <w:top w:val="single" w:color="BBBBBB" w:sz="1"/>
              <w:left w:val="single" w:color="BBBBBB" w:sz="1"/>
              <w:bottom w:val="single" w:color="BBBBBB" w:sz="1"/>
              <w:right w:val="single" w:color="BBBBBB" w:sz="1"/>
            </w:tcBorders>
            <w:shd w:fill="D9EAD3" w:val="clear"/>
            <w:tcMar>
              <w:top w:type="dxa" w:w="80"/>
              <w:left w:type="dxa" w:w="100"/>
              <w:bottom w:type="dxa" w:w="80"/>
              <w:right w:type="dxa" w:w="100"/>
            </w:tcMar>
          </w:tcPr>
          <w:p>
            <w:pPr>
              <w:jc w:val="center"/>
            </w:pPr>
            <w:r>
              <w:rPr>
                <w:rFonts w:ascii="Arial" w:cs="Arial" w:eastAsia="Arial" w:hAnsi="Arial"/>
                <w:b/>
                <w:bCs/>
                <w:color w:val="274E13"/>
                <w:sz w:val="16"/>
                <w:szCs w:val="16"/>
              </w:rPr>
              <w:t xml:space="preserve">LOW</w:t>
            </w:r>
          </w:p>
        </w:tc>
        <w:tc>
          <w:tcPr>
            <w:tcW w:type="dxa" w:w="1500"/>
            <w:tcBorders>
              <w:top w:val="single" w:color="BBBBBB" w:sz="1"/>
              <w:left w:val="single" w:color="BBBBBB" w:sz="1"/>
              <w:bottom w:val="single" w:color="BBBBBB" w:sz="1"/>
              <w:right w:val="single" w:color="BBBBBB" w:sz="1"/>
            </w:tcBorders>
            <w:shd w:fill="D9EAD3" w:val="clear"/>
            <w:tcMar>
              <w:top w:type="dxa" w:w="80"/>
              <w:left w:type="dxa" w:w="100"/>
              <w:bottom w:type="dxa" w:w="80"/>
              <w:right w:type="dxa" w:w="100"/>
            </w:tcMar>
          </w:tcPr>
          <w:p>
            <w:pPr>
              <w:jc w:val="center"/>
            </w:pPr>
            <w:r>
              <w:rPr>
                <w:rFonts w:ascii="Arial" w:cs="Arial" w:eastAsia="Arial" w:hAnsi="Arial"/>
                <w:b/>
                <w:bCs/>
                <w:color w:val="274E13"/>
                <w:sz w:val="16"/>
                <w:szCs w:val="16"/>
              </w:rPr>
              <w:t xml:space="preserve">LOW</w:t>
            </w:r>
          </w:p>
        </w:tc>
        <w:tc>
          <w:tcPr>
            <w:tcW w:type="dxa" w:w="150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MEDIUM</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c>
          <w:tcPr>
            <w:tcW w:type="dxa" w:w="1500"/>
            <w:tcBorders>
              <w:top w:val="single" w:color="BBBBBB" w:sz="1"/>
              <w:left w:val="single" w:color="BBBBBB" w:sz="1"/>
              <w:bottom w:val="single" w:color="BBBBBB" w:sz="1"/>
              <w:right w:val="single" w:color="BBBBBB" w:sz="1"/>
            </w:tcBorders>
            <w:shd w:fill="F9CB9C" w:val="clear"/>
            <w:tcMar>
              <w:top w:type="dxa" w:w="80"/>
              <w:left w:type="dxa" w:w="100"/>
              <w:bottom w:type="dxa" w:w="80"/>
              <w:right w:type="dxa" w:w="100"/>
            </w:tcMar>
          </w:tcPr>
          <w:p>
            <w:pPr>
              <w:jc w:val="center"/>
            </w:pPr>
            <w:r>
              <w:rPr>
                <w:rFonts w:ascii="Arial" w:cs="Arial" w:eastAsia="Arial" w:hAnsi="Arial"/>
                <w:b/>
                <w:bCs/>
                <w:color w:val="7D4F00"/>
                <w:sz w:val="16"/>
                <w:szCs w:val="16"/>
              </w:rPr>
              <w:t xml:space="preserve">HIGH</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Risk Rating Definitions:</w:t>
      </w:r>
    </w:p>
    <w:p>
      <w:pPr>
        <w:pStyle w:val="ListParagraph"/>
        <w:numPr>
          <w:ilvl w:val="0"/>
          <w:numId w:val="2"/>
        </w:numPr>
        <w:spacing w:after="60" w:before="60"/>
      </w:pPr>
      <w:r>
        <w:rPr>
          <w:rFonts w:ascii="Arial" w:cs="Arial" w:eastAsia="Arial" w:hAnsi="Arial"/>
          <w:color w:val="444444"/>
          <w:sz w:val="20"/>
          <w:szCs w:val="20"/>
        </w:rPr>
        <w:t xml:space="preserve">LOW (1–4): Acceptable risk; monitor and review annually. No formal treatment plan required.</w:t>
      </w:r>
    </w:p>
    <w:p>
      <w:pPr>
        <w:pStyle w:val="ListParagraph"/>
        <w:numPr>
          <w:ilvl w:val="0"/>
          <w:numId w:val="2"/>
        </w:numPr>
        <w:spacing w:after="60" w:before="60"/>
      </w:pPr>
      <w:r>
        <w:rPr>
          <w:rFonts w:ascii="Arial" w:cs="Arial" w:eastAsia="Arial" w:hAnsi="Arial"/>
          <w:color w:val="444444"/>
          <w:sz w:val="20"/>
          <w:szCs w:val="20"/>
        </w:rPr>
        <w:t xml:space="preserve">MEDIUM (5–9): Requires documented treatment plan; CISO must review. Treat within 90 days.</w:t>
      </w:r>
    </w:p>
    <w:p>
      <w:pPr>
        <w:pStyle w:val="ListParagraph"/>
        <w:numPr>
          <w:ilvl w:val="0"/>
          <w:numId w:val="2"/>
        </w:numPr>
        <w:spacing w:after="60" w:before="60"/>
      </w:pPr>
      <w:r>
        <w:rPr>
          <w:rFonts w:ascii="Arial" w:cs="Arial" w:eastAsia="Arial" w:hAnsi="Arial"/>
          <w:color w:val="444444"/>
          <w:sz w:val="20"/>
          <w:szCs w:val="20"/>
        </w:rPr>
        <w:t xml:space="preserve">HIGH (10–16): Priority treatment required; escalate to senior management within 5 business days. Treat within 30 days.</w:t>
      </w:r>
    </w:p>
    <w:p>
      <w:pPr>
        <w:pStyle w:val="ListParagraph"/>
        <w:numPr>
          <w:ilvl w:val="0"/>
          <w:numId w:val="2"/>
        </w:numPr>
        <w:spacing w:after="60" w:before="60"/>
      </w:pPr>
      <w:r>
        <w:rPr>
          <w:rFonts w:ascii="Arial" w:cs="Arial" w:eastAsia="Arial" w:hAnsi="Arial"/>
          <w:color w:val="444444"/>
          <w:sz w:val="20"/>
          <w:szCs w:val="20"/>
        </w:rPr>
        <w:t xml:space="preserve">CRITICAL (17–25): Immediate action required; CISO and CEO notified same day. Treat within 10 business days or formally accept with board sign-off.</w:t>
      </w:r>
    </w:p>
    <w:p>
      <w:pPr>
        <w:pStyle w:val="Heading1"/>
        <w:pBdr>
          <w:bottom w:val="single" w:color="2E5FA3" w:sz="6" w:space="1"/>
        </w:pBdr>
        <w:spacing w:after="120" w:before="320"/>
      </w:pPr>
      <w:r>
        <w:rPr>
          <w:rFonts w:ascii="Arial" w:cs="Arial" w:eastAsia="Arial" w:hAnsi="Arial"/>
          <w:b/>
          <w:bCs/>
          <w:color w:val="1F3864"/>
          <w:sz w:val="28"/>
          <w:szCs w:val="28"/>
        </w:rPr>
        <w:t xml:space="preserve">5.  Risk Appetite Statement</w:t>
      </w:r>
    </w:p>
    <w:p>
      <w:pPr>
        <w:spacing w:after="80" w:before="80"/>
        <w:jc w:val="left"/>
      </w:pPr>
      <w:r>
        <w:rPr>
          <w:rFonts w:ascii="Arial" w:cs="Arial" w:eastAsia="Arial" w:hAnsi="Arial"/>
          <w:b w:val="false"/>
          <w:bCs w:val="false"/>
          <w:i w:val="false"/>
          <w:iCs w:val="false"/>
          <w:color w:val="444444"/>
          <w:sz w:val="20"/>
          <w:szCs w:val="20"/>
        </w:rPr>
        <w:t xml:space="preserve">Stark Industries defines its risk appetite as follows:</w:t>
      </w:r>
    </w:p>
    <w:p>
      <w:pPr>
        <w:pStyle w:val="ListParagraph"/>
        <w:numPr>
          <w:ilvl w:val="0"/>
          <w:numId w:val="2"/>
        </w:numPr>
        <w:spacing w:after="60" w:before="60"/>
      </w:pPr>
      <w:r>
        <w:rPr>
          <w:rFonts w:ascii="Arial" w:cs="Arial" w:eastAsia="Arial" w:hAnsi="Arial"/>
          <w:color w:val="444444"/>
          <w:sz w:val="20"/>
          <w:szCs w:val="20"/>
        </w:rPr>
        <w:t xml:space="preserve">LOW risks: Accepted without formal treatment. Reviewed annually as part of the risk register cycle.</w:t>
      </w:r>
    </w:p>
    <w:p>
      <w:pPr>
        <w:pStyle w:val="ListParagraph"/>
        <w:numPr>
          <w:ilvl w:val="0"/>
          <w:numId w:val="2"/>
        </w:numPr>
        <w:spacing w:after="60" w:before="60"/>
      </w:pPr>
      <w:r>
        <w:rPr>
          <w:rFonts w:ascii="Arial" w:cs="Arial" w:eastAsia="Arial" w:hAnsi="Arial"/>
          <w:color w:val="444444"/>
          <w:sz w:val="20"/>
          <w:szCs w:val="20"/>
        </w:rPr>
        <w:t xml:space="preserve">MEDIUM risks: Require a documented treatment plan with an assigned owner and target completion date. CISO approval required to formally accept a Medium risk without treatment.</w:t>
      </w:r>
    </w:p>
    <w:p>
      <w:pPr>
        <w:pStyle w:val="ListParagraph"/>
        <w:numPr>
          <w:ilvl w:val="0"/>
          <w:numId w:val="2"/>
        </w:numPr>
        <w:spacing w:after="60" w:before="60"/>
      </w:pPr>
      <w:r>
        <w:rPr>
          <w:rFonts w:ascii="Arial" w:cs="Arial" w:eastAsia="Arial" w:hAnsi="Arial"/>
          <w:color w:val="444444"/>
          <w:sz w:val="20"/>
          <w:szCs w:val="20"/>
        </w:rPr>
        <w:t xml:space="preserve">HIGH risks: Must be treated or formally transferred. Acceptance of a High risk requires written sign-off by the CISO and relevant department head.</w:t>
      </w:r>
    </w:p>
    <w:p>
      <w:pPr>
        <w:pStyle w:val="ListParagraph"/>
        <w:numPr>
          <w:ilvl w:val="0"/>
          <w:numId w:val="2"/>
        </w:numPr>
        <w:spacing w:after="60" w:before="60"/>
      </w:pPr>
      <w:r>
        <w:rPr>
          <w:rFonts w:ascii="Arial" w:cs="Arial" w:eastAsia="Arial" w:hAnsi="Arial"/>
          <w:color w:val="444444"/>
          <w:sz w:val="20"/>
          <w:szCs w:val="20"/>
        </w:rPr>
        <w:t xml:space="preserve">CRITICAL risks: Must be treated immediately. No Critical risk may be accepted without CEO and board-level sign-off. Treatment plan must be in place within 10 business days.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organisation has zero tolerance for untreated risks involving unprotected personal data (Restricted classification) in excess of a MEDIUM rating, given obligations under the Kenya Data Protection Act 2019.</w:t>
      </w:r>
    </w:p>
    <w:p>
      <w:pPr>
        <w:pStyle w:val="Heading1"/>
        <w:pBdr>
          <w:bottom w:val="single" w:color="2E5FA3" w:sz="6" w:space="1"/>
        </w:pBdr>
        <w:spacing w:after="120" w:before="320"/>
      </w:pPr>
      <w:r>
        <w:rPr>
          <w:rFonts w:ascii="Arial" w:cs="Arial" w:eastAsia="Arial" w:hAnsi="Arial"/>
          <w:b/>
          <w:bCs/>
          <w:color w:val="1F3864"/>
          <w:sz w:val="28"/>
          <w:szCs w:val="28"/>
        </w:rPr>
        <w:t xml:space="preserve">6.  Risk Treatment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Treatment Option</w:t>
            </w:r>
          </w:p>
        </w:tc>
        <w:tc>
          <w:tcPr>
            <w:tcW w:type="dxa" w:w="4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c>
          <w:tcPr>
            <w:tcW w:type="dxa" w:w="3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w:t>
            </w:r>
          </w:p>
        </w:tc>
      </w:tr>
      <w:tr>
        <w:tc>
          <w:tcPr>
            <w:tcW w:type="dxa" w:w="2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4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Implement controls to reduce the likelihood or impact of the risk to an acceptable level.</w:t>
            </w:r>
          </w:p>
        </w:tc>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Deploy MFA to reduce likelihood of credential-based breach.</w:t>
            </w:r>
          </w:p>
        </w:tc>
      </w:tr>
      <w:tr>
        <w:tc>
          <w:tcPr>
            <w:tcW w:type="dxa" w:w="2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Transfer</w:t>
            </w:r>
          </w:p>
        </w:tc>
        <w:tc>
          <w:tcPr>
            <w:tcW w:type="dxa" w:w="4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Transfer the financial or operational risk to a third party via insurance or contractual obligation.</w:t>
            </w:r>
          </w:p>
        </w:tc>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Cyber liability insurance; contractual liability clauses with suppliers.</w:t>
            </w:r>
          </w:p>
        </w:tc>
      </w:tr>
      <w:tr>
        <w:tc>
          <w:tcPr>
            <w:tcW w:type="dxa" w:w="2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Accept</w:t>
            </w:r>
          </w:p>
        </w:tc>
        <w:tc>
          <w:tcPr>
            <w:tcW w:type="dxa" w:w="4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Formally acknowledge the risk and accept it within the defined risk appetite. Requires CISO sign-off for Medium and above.</w:t>
            </w:r>
          </w:p>
        </w:tc>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Accept minor residual risk after MFA deployment on low-value system.</w:t>
            </w:r>
          </w:p>
        </w:tc>
      </w:tr>
      <w:tr>
        <w:tc>
          <w:tcPr>
            <w:tcW w:type="dxa" w:w="2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Avoid</w:t>
            </w:r>
          </w:p>
        </w:tc>
        <w:tc>
          <w:tcPr>
            <w:tcW w:type="dxa" w:w="4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Eliminate the risk by discontinuing the activity or system that gives rise to it.</w:t>
            </w:r>
          </w:p>
        </w:tc>
        <w:tc>
          <w:tcPr>
            <w:tcW w:type="dxa" w:w="3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Decommission a legacy system that cannot be patched to an acceptable level.</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For each risk, the treatment option selected shall be documented in the Risk Register with: treatment action, assigned owner, target completion date, and residual risk rating (post-treatment). Residual risks rated MEDIUM or above require CISO sign-off.</w:t>
      </w:r>
    </w:p>
    <w:p>
      <w:pPr>
        <w:pStyle w:val="Heading1"/>
        <w:pBdr>
          <w:bottom w:val="single" w:color="2E5FA3" w:sz="6" w:space="1"/>
        </w:pBdr>
        <w:spacing w:after="120" w:before="320"/>
      </w:pPr>
      <w:r>
        <w:rPr>
          <w:rFonts w:ascii="Arial" w:cs="Arial" w:eastAsia="Arial" w:hAnsi="Arial"/>
          <w:b/>
          <w:bCs/>
          <w:color w:val="1F3864"/>
          <w:sz w:val="28"/>
          <w:szCs w:val="28"/>
        </w:rPr>
        <w:t xml:space="preserve">7.  Statement of Applicability (SoA) Linkage</w:t>
      </w:r>
    </w:p>
    <w:p>
      <w:pPr>
        <w:spacing w:after="80" w:before="80"/>
        <w:jc w:val="left"/>
      </w:pPr>
      <w:r>
        <w:rPr>
          <w:rFonts w:ascii="Arial" w:cs="Arial" w:eastAsia="Arial" w:hAnsi="Arial"/>
          <w:b w:val="false"/>
          <w:bCs w:val="false"/>
          <w:i w:val="false"/>
          <w:iCs w:val="false"/>
          <w:color w:val="444444"/>
          <w:sz w:val="20"/>
          <w:szCs w:val="20"/>
        </w:rPr>
        <w:t xml:space="preserve">Risk treatment decisions shall directly inform the selection and justification of ISO/IEC 27001:2022 Annex A controls in the Statement of Applicability (MS-ISMS-SOA-003). Specifically:</w:t>
      </w:r>
    </w:p>
    <w:p>
      <w:pPr>
        <w:pStyle w:val="ListParagraph"/>
        <w:numPr>
          <w:ilvl w:val="0"/>
          <w:numId w:val="2"/>
        </w:numPr>
        <w:spacing w:after="60" w:before="60"/>
      </w:pPr>
      <w:r>
        <w:rPr>
          <w:rFonts w:ascii="Arial" w:cs="Arial" w:eastAsia="Arial" w:hAnsi="Arial"/>
          <w:color w:val="444444"/>
          <w:sz w:val="20"/>
          <w:szCs w:val="20"/>
        </w:rPr>
        <w:t xml:space="preserve">Controls selected to mitigate identified risks shall be listed as Included in the SoA with the corresponding risk ID as justification.</w:t>
      </w:r>
    </w:p>
    <w:p>
      <w:pPr>
        <w:pStyle w:val="ListParagraph"/>
        <w:numPr>
          <w:ilvl w:val="0"/>
          <w:numId w:val="2"/>
        </w:numPr>
        <w:spacing w:after="60" w:before="60"/>
      </w:pPr>
      <w:r>
        <w:rPr>
          <w:rFonts w:ascii="Arial" w:cs="Arial" w:eastAsia="Arial" w:hAnsi="Arial"/>
          <w:color w:val="444444"/>
          <w:sz w:val="20"/>
          <w:szCs w:val="20"/>
        </w:rPr>
        <w:t xml:space="preserve">Controls not selected shall be justified as Excluded in the SoA, with reference to the risk assessment confirming the control is not applicable or that the risk is otherwise treated.</w:t>
      </w:r>
    </w:p>
    <w:p>
      <w:pPr>
        <w:pStyle w:val="ListParagraph"/>
        <w:numPr>
          <w:ilvl w:val="0"/>
          <w:numId w:val="2"/>
        </w:numPr>
        <w:spacing w:after="60" w:before="60"/>
      </w:pPr>
      <w:r>
        <w:rPr>
          <w:rFonts w:ascii="Arial" w:cs="Arial" w:eastAsia="Arial" w:hAnsi="Arial"/>
          <w:color w:val="444444"/>
          <w:sz w:val="20"/>
          <w:szCs w:val="20"/>
        </w:rPr>
        <w:t xml:space="preserve">The SoA shall be updated whenever the Risk Register changes materially.</w:t>
      </w:r>
    </w:p>
    <w:p>
      <w:pPr>
        <w:pStyle w:val="Heading1"/>
        <w:pBdr>
          <w:bottom w:val="single" w:color="2E5FA3" w:sz="6" w:space="1"/>
        </w:pBdr>
        <w:spacing w:after="120" w:before="320"/>
      </w:pPr>
      <w:r>
        <w:rPr>
          <w:rFonts w:ascii="Arial" w:cs="Arial" w:eastAsia="Arial" w:hAnsi="Arial"/>
          <w:b/>
          <w:bCs/>
          <w:color w:val="1F3864"/>
          <w:sz w:val="28"/>
          <w:szCs w:val="28"/>
        </w:rPr>
        <w:t xml:space="preserve">8.  Risk Assessment Schedule</w:t>
      </w:r>
    </w:p>
    <w:p>
      <w:pPr>
        <w:pStyle w:val="ListParagraph"/>
        <w:numPr>
          <w:ilvl w:val="0"/>
          <w:numId w:val="2"/>
        </w:numPr>
        <w:spacing w:after="60" w:before="60"/>
      </w:pPr>
      <w:r>
        <w:rPr>
          <w:rFonts w:ascii="Arial" w:cs="Arial" w:eastAsia="Arial" w:hAnsi="Arial"/>
          <w:color w:val="444444"/>
          <w:sz w:val="20"/>
          <w:szCs w:val="20"/>
        </w:rPr>
        <w:t xml:space="preserve">Full risk assessment: Conducted annually as part of the ISMS management review cycle.</w:t>
      </w:r>
    </w:p>
    <w:p>
      <w:pPr>
        <w:pStyle w:val="ListParagraph"/>
        <w:numPr>
          <w:ilvl w:val="0"/>
          <w:numId w:val="2"/>
        </w:numPr>
        <w:spacing w:after="60" w:before="60"/>
      </w:pPr>
      <w:r>
        <w:rPr>
          <w:rFonts w:ascii="Arial" w:cs="Arial" w:eastAsia="Arial" w:hAnsi="Arial"/>
          <w:color w:val="444444"/>
          <w:sz w:val="20"/>
          <w:szCs w:val="20"/>
        </w:rPr>
        <w:t xml:space="preserve">Triggered risk assessment: Required following any of: significant new system or service deployment, major organisational change, P1/P2 security incident, new regulatory requirement, or material change to the threat landscape.</w:t>
      </w:r>
    </w:p>
    <w:p>
      <w:pPr>
        <w:pStyle w:val="ListParagraph"/>
        <w:numPr>
          <w:ilvl w:val="0"/>
          <w:numId w:val="2"/>
        </w:numPr>
        <w:spacing w:after="60" w:before="60"/>
      </w:pPr>
      <w:r>
        <w:rPr>
          <w:rFonts w:ascii="Arial" w:cs="Arial" w:eastAsia="Arial" w:hAnsi="Arial"/>
          <w:color w:val="444444"/>
          <w:sz w:val="20"/>
          <w:szCs w:val="20"/>
        </w:rPr>
        <w:t xml:space="preserve">Continuous risk monitoring: Michael's Security (MSSP) provides ongoing threat intelligence and flags emerging risks to the CISO as part of managed security services.</w:t>
      </w:r>
    </w:p>
    <w:p>
      <w:pPr>
        <w:pStyle w:val="Heading1"/>
        <w:pBdr>
          <w:bottom w:val="single" w:color="2E5FA3" w:sz="6" w:space="1"/>
        </w:pBdr>
        <w:spacing w:after="120" w:before="320"/>
      </w:pPr>
      <w:r>
        <w:rPr>
          <w:rFonts w:ascii="Arial" w:cs="Arial" w:eastAsia="Arial" w:hAnsi="Arial"/>
          <w:b/>
          <w:bCs/>
          <w:color w:val="1F3864"/>
          <w:sz w:val="28"/>
          <w:szCs w:val="28"/>
        </w:rPr>
        <w:t xml:space="preserve">9.  Roles and Responsibilities</w:t>
      </w:r>
    </w:p>
    <w:p>
      <w:pPr>
        <w:pStyle w:val="ListParagraph"/>
        <w:numPr>
          <w:ilvl w:val="0"/>
          <w:numId w:val="2"/>
        </w:numPr>
        <w:spacing w:after="60" w:before="60"/>
      </w:pPr>
      <w:r>
        <w:rPr>
          <w:rFonts w:ascii="Arial" w:cs="Arial" w:eastAsia="Arial" w:hAnsi="Arial"/>
          <w:color w:val="444444"/>
          <w:sz w:val="20"/>
          <w:szCs w:val="20"/>
        </w:rPr>
        <w:t xml:space="preserve">CISO: Owns the risk management process; approves risk treatment decisions; presents risk summary to senior management at the annual ISMS review.</w:t>
      </w:r>
    </w:p>
    <w:p>
      <w:pPr>
        <w:pStyle w:val="ListParagraph"/>
        <w:numPr>
          <w:ilvl w:val="0"/>
          <w:numId w:val="2"/>
        </w:numPr>
        <w:spacing w:after="60" w:before="60"/>
      </w:pPr>
      <w:r>
        <w:rPr>
          <w:rFonts w:ascii="Arial" w:cs="Arial" w:eastAsia="Arial" w:hAnsi="Arial"/>
          <w:color w:val="444444"/>
          <w:sz w:val="20"/>
          <w:szCs w:val="20"/>
        </w:rPr>
        <w:t xml:space="preserve">IT/Security Team: Conducts technical risk assessments; implements technical treatment controls; maintains the Risk Register.</w:t>
      </w:r>
    </w:p>
    <w:p>
      <w:pPr>
        <w:pStyle w:val="ListParagraph"/>
        <w:numPr>
          <w:ilvl w:val="0"/>
          <w:numId w:val="2"/>
        </w:numPr>
        <w:spacing w:after="60" w:before="60"/>
      </w:pPr>
      <w:r>
        <w:rPr>
          <w:rFonts w:ascii="Arial" w:cs="Arial" w:eastAsia="Arial" w:hAnsi="Arial"/>
          <w:color w:val="444444"/>
          <w:sz w:val="20"/>
          <w:szCs w:val="20"/>
        </w:rPr>
        <w:t xml:space="preserve">Department Managers: Identify business-process risks within their area; own assigned risks in the Risk Register; report new risks to the IT/Security Team.</w:t>
      </w:r>
    </w:p>
    <w:p>
      <w:pPr>
        <w:pStyle w:val="ListParagraph"/>
        <w:numPr>
          <w:ilvl w:val="0"/>
          <w:numId w:val="2"/>
        </w:numPr>
        <w:spacing w:after="60" w:before="60"/>
      </w:pPr>
      <w:r>
        <w:rPr>
          <w:rFonts w:ascii="Arial" w:cs="Arial" w:eastAsia="Arial" w:hAnsi="Arial"/>
          <w:color w:val="444444"/>
          <w:sz w:val="20"/>
          <w:szCs w:val="20"/>
        </w:rPr>
        <w:t xml:space="preserve">Michael's Security (MSSP): Provides external threat intelligence; performs independent risk assessments; advises on control selection.</w:t>
      </w:r>
    </w:p>
    <w:p>
      <w:pPr>
        <w:pStyle w:val="ListParagraph"/>
        <w:numPr>
          <w:ilvl w:val="0"/>
          <w:numId w:val="2"/>
        </w:numPr>
        <w:spacing w:after="60" w:before="60"/>
      </w:pPr>
      <w:r>
        <w:rPr>
          <w:rFonts w:ascii="Arial" w:cs="Arial" w:eastAsia="Arial" w:hAnsi="Arial"/>
          <w:color w:val="444444"/>
          <w:sz w:val="20"/>
          <w:szCs w:val="20"/>
        </w:rPr>
        <w:t xml:space="preserve">All Staff: Report identified vulnerabilities or suspected risks to the IT/Security Team or CISO.</w:t>
      </w:r>
    </w:p>
    <w:p>
      <w:pPr>
        <w:pStyle w:val="Heading1"/>
        <w:pBdr>
          <w:bottom w:val="single" w:color="2E5FA3" w:sz="6" w:space="1"/>
        </w:pBdr>
        <w:spacing w:after="120" w:before="320"/>
      </w:pPr>
      <w:r>
        <w:rPr>
          <w:rFonts w:ascii="Arial" w:cs="Arial" w:eastAsia="Arial" w:hAnsi="Arial"/>
          <w:b/>
          <w:bCs/>
          <w:color w:val="1F3864"/>
          <w:sz w:val="28"/>
          <w:szCs w:val="28"/>
        </w:rPr>
        <w:t xml:space="preserve">10.  Risk Register — Sample Entries</w:t>
      </w:r>
    </w:p>
    <w:p>
      <w:pPr>
        <w:spacing w:after="80" w:before="80"/>
        <w:jc w:val="left"/>
      </w:pPr>
      <w:r>
        <w:rPr>
          <w:rFonts w:ascii="Arial" w:cs="Arial" w:eastAsia="Arial" w:hAnsi="Arial"/>
          <w:b w:val="false"/>
          <w:bCs w:val="false"/>
          <w:i w:val="false"/>
          <w:iCs w:val="false"/>
          <w:color w:val="444444"/>
          <w:sz w:val="20"/>
          <w:szCs w:val="20"/>
        </w:rPr>
        <w:t xml:space="preserve">The Risk Register is a living document maintained by the IT/Security Team. The following sample entries illustrate the register format and current identified risks. The full register is maintained separately and updated continuously.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1000"/>
        <w:gridCol w:w="1000"/>
        <w:gridCol w:w="1200"/>
        <w:gridCol w:w="800"/>
        <w:gridCol w:w="1160"/>
      </w:tblGrid>
      <w:tr>
        <w:tc>
          <w:tcPr>
            <w:tcW w:type="dxa" w:w="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ID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Asset / Area</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Description</w:t>
            </w:r>
          </w:p>
        </w:tc>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Likelihood
(1–5)</w:t>
            </w:r>
          </w:p>
        </w:tc>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Impact
(1–5)</w:t>
            </w:r>
          </w:p>
        </w:tc>
        <w:tc>
          <w:tcPr>
            <w:tcW w:type="dxa" w:w="1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Rating</w:t>
            </w:r>
          </w:p>
        </w:tc>
        <w:tc>
          <w:tcPr>
            <w:tcW w:type="dxa" w:w="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Treatment</w:t>
            </w:r>
          </w:p>
        </w:tc>
        <w:tc>
          <w:tcPr>
            <w:tcW w:type="dxa" w:w="1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Owner / Status</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R-001</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Customer Personal Data</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Unauthorised access to customer personal data via compromised credentials</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R-002</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Email System</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Phishing attack leading to account takeover and data exfiltration</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B0000"/>
                <w:sz w:val="20"/>
                <w:szCs w:val="20"/>
              </w:rPr>
              <w:t xml:space="preserve">CRITICAL</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Mgr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R-003</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Cloud Infrastructure</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Misconfigured cloud storage exposing confidential data publicly</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B0000"/>
                <w:sz w:val="20"/>
                <w:szCs w:val="20"/>
              </w:rPr>
              <w:t xml:space="preserve">CRITICAL</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Mgr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R-004</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Endpoints</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Ransomware infection via malicious attachment encrypting business data</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B0000"/>
                <w:sz w:val="20"/>
                <w:szCs w:val="20"/>
              </w:rPr>
              <w:t xml:space="preserve">CRITICAL</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Mgr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R-005</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Staff</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Insider threat — deliberate exfiltration of Restricted data by employee</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5</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R-006</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Third-Party Suppliers</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Supplier breach resulting in compromise of Stark Industries data</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Transfer</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Procurement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R-007</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Network</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Denial-of-service attack disrupting customer-facing services</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MEDIUM</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Mgr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R-008</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Physical</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Unauthorised physical access to server room or workstations</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Facilities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R-009</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Software</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Exploitation of unpatched vulnerability in production system</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3</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Mgr / Open</w:t>
            </w:r>
          </w:p>
        </w:tc>
      </w:tr>
      <w:tr>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R-010</w:t>
            </w:r>
          </w:p>
        </w:tc>
        <w:tc>
          <w:tcPr>
            <w:tcW w:type="dxa" w:w="16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Business Continuity</w:t>
            </w:r>
          </w:p>
        </w:tc>
        <w:tc>
          <w:tcPr>
            <w:tcW w:type="dxa" w:w="1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Extended outage of critical system beyond defined RTO</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2</w:t>
            </w:r>
          </w:p>
        </w:tc>
        <w:tc>
          <w:tcPr>
            <w:tcW w:type="dxa" w:w="1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center"/>
            </w:pPr>
            <w:r>
              <w:rPr>
                <w:rFonts w:ascii="Arial" w:cs="Arial" w:eastAsia="Arial" w:hAnsi="Arial"/>
                <w:b w:val="false"/>
                <w:bCs w:val="false"/>
                <w:color w:val="444444"/>
                <w:sz w:val="20"/>
                <w:szCs w:val="20"/>
              </w:rPr>
              <w:t xml:space="preserve">4</w:t>
            </w:r>
          </w:p>
        </w:tc>
        <w:tc>
          <w:tcPr>
            <w:tcW w:type="dxa" w:w="1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bCs/>
                <w:color w:val="7D4F00"/>
                <w:sz w:val="20"/>
                <w:szCs w:val="20"/>
              </w:rPr>
              <w:t xml:space="preserve">HIGH</w:t>
            </w:r>
          </w:p>
        </w:tc>
        <w:tc>
          <w:tcPr>
            <w:tcW w:type="dxa" w:w="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Mitigate</w:t>
            </w:r>
          </w:p>
        </w:tc>
        <w:tc>
          <w:tcPr>
            <w:tcW w:type="dxa" w:w="1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CISO / Open</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Risk Register is to be reviewed by the CISO monthly and formally at the annual ISMS management review. All risks with a target treatment date passed without resolution shall be escalated to senior management within 5 business days.</w:t>
      </w:r>
    </w:p>
    <w:p>
      <w:pPr>
        <w:pStyle w:val="Heading1"/>
        <w:pBdr>
          <w:bottom w:val="single" w:color="2E5FA3" w:sz="6" w:space="1"/>
        </w:pBdr>
        <w:spacing w:after="120" w:before="320"/>
      </w:pPr>
      <w:r>
        <w:rPr>
          <w:rFonts w:ascii="Arial" w:cs="Arial" w:eastAsia="Arial" w:hAnsi="Arial"/>
          <w:b/>
          <w:bCs/>
          <w:color w:val="1F3864"/>
          <w:sz w:val="28"/>
          <w:szCs w:val="28"/>
        </w:rPr>
        <w:t xml:space="preserve">11.  Documentation and Record Keeping</w:t>
      </w:r>
    </w:p>
    <w:p>
      <w:pPr>
        <w:spacing w:after="80" w:before="80"/>
        <w:jc w:val="left"/>
      </w:pPr>
      <w:r>
        <w:rPr>
          <w:rFonts w:ascii="Arial" w:cs="Arial" w:eastAsia="Arial" w:hAnsi="Arial"/>
          <w:b w:val="false"/>
          <w:bCs w:val="false"/>
          <w:i w:val="false"/>
          <w:iCs w:val="false"/>
          <w:color w:val="444444"/>
          <w:sz w:val="20"/>
          <w:szCs w:val="20"/>
        </w:rPr>
        <w:t xml:space="preserve">The following records shall be maintained as evidence of the risk management process for audit purposes:</w:t>
      </w:r>
    </w:p>
    <w:p>
      <w:pPr>
        <w:pStyle w:val="ListParagraph"/>
        <w:numPr>
          <w:ilvl w:val="0"/>
          <w:numId w:val="2"/>
        </w:numPr>
        <w:spacing w:after="60" w:before="60"/>
      </w:pPr>
      <w:r>
        <w:rPr>
          <w:rFonts w:ascii="Arial" w:cs="Arial" w:eastAsia="Arial" w:hAnsi="Arial"/>
          <w:color w:val="444444"/>
          <w:sz w:val="20"/>
          <w:szCs w:val="20"/>
        </w:rPr>
        <w:t xml:space="preserve">Completed Risk Register (current version + all prior versions retained for 3 years).</w:t>
      </w:r>
    </w:p>
    <w:p>
      <w:pPr>
        <w:pStyle w:val="ListParagraph"/>
        <w:numPr>
          <w:ilvl w:val="0"/>
          <w:numId w:val="2"/>
        </w:numPr>
        <w:spacing w:after="60" w:before="60"/>
      </w:pPr>
      <w:r>
        <w:rPr>
          <w:rFonts w:ascii="Arial" w:cs="Arial" w:eastAsia="Arial" w:hAnsi="Arial"/>
          <w:color w:val="444444"/>
          <w:sz w:val="20"/>
          <w:szCs w:val="20"/>
        </w:rPr>
        <w:t xml:space="preserve">Risk assessment worksheets for each assessment cycle.</w:t>
      </w:r>
    </w:p>
    <w:p>
      <w:pPr>
        <w:pStyle w:val="ListParagraph"/>
        <w:numPr>
          <w:ilvl w:val="0"/>
          <w:numId w:val="2"/>
        </w:numPr>
        <w:spacing w:after="60" w:before="60"/>
      </w:pPr>
      <w:r>
        <w:rPr>
          <w:rFonts w:ascii="Arial" w:cs="Arial" w:eastAsia="Arial" w:hAnsi="Arial"/>
          <w:color w:val="444444"/>
          <w:sz w:val="20"/>
          <w:szCs w:val="20"/>
        </w:rPr>
        <w:t xml:space="preserve">Risk treatment decisions and sign-off records (CISO / CEO where required).</w:t>
      </w:r>
    </w:p>
    <w:p>
      <w:pPr>
        <w:pStyle w:val="ListParagraph"/>
        <w:numPr>
          <w:ilvl w:val="0"/>
          <w:numId w:val="2"/>
        </w:numPr>
        <w:spacing w:after="60" w:before="60"/>
      </w:pPr>
      <w:r>
        <w:rPr>
          <w:rFonts w:ascii="Arial" w:cs="Arial" w:eastAsia="Arial" w:hAnsi="Arial"/>
          <w:color w:val="444444"/>
          <w:sz w:val="20"/>
          <w:szCs w:val="20"/>
        </w:rPr>
        <w:t xml:space="preserve">Post-treatment residual risk assessments.</w:t>
      </w:r>
    </w:p>
    <w:p>
      <w:pPr>
        <w:pStyle w:val="ListParagraph"/>
        <w:numPr>
          <w:ilvl w:val="0"/>
          <w:numId w:val="2"/>
        </w:numPr>
        <w:spacing w:after="60" w:before="60"/>
      </w:pPr>
      <w:r>
        <w:rPr>
          <w:rFonts w:ascii="Arial" w:cs="Arial" w:eastAsia="Arial" w:hAnsi="Arial"/>
          <w:color w:val="444444"/>
          <w:sz w:val="20"/>
          <w:szCs w:val="20"/>
        </w:rPr>
        <w:t xml:space="preserve">Minutes of risk review meetings.</w:t>
      </w:r>
    </w:p>
    <w:p>
      <w:pPr>
        <w:pStyle w:val="Heading1"/>
        <w:pBdr>
          <w:bottom w:val="single" w:color="2E5FA3" w:sz="6" w:space="1"/>
        </w:pBdr>
        <w:spacing w:after="120" w:before="320"/>
      </w:pPr>
      <w:r>
        <w:rPr>
          <w:rFonts w:ascii="Arial" w:cs="Arial" w:eastAsia="Arial" w:hAnsi="Arial"/>
          <w:b/>
          <w:bCs/>
          <w:color w:val="1F3864"/>
          <w:sz w:val="28"/>
          <w:szCs w:val="28"/>
        </w:rPr>
        <w:t xml:space="preserve">12.  Methodology Review</w:t>
      </w:r>
    </w:p>
    <w:p>
      <w:pPr>
        <w:spacing w:after="80" w:before="80"/>
        <w:jc w:val="left"/>
      </w:pPr>
      <w:r>
        <w:rPr>
          <w:rFonts w:ascii="Arial" w:cs="Arial" w:eastAsia="Arial" w:hAnsi="Arial"/>
          <w:b w:val="false"/>
          <w:bCs w:val="false"/>
          <w:i w:val="false"/>
          <w:iCs w:val="false"/>
          <w:color w:val="444444"/>
          <w:sz w:val="20"/>
          <w:szCs w:val="20"/>
        </w:rPr>
        <w:t xml:space="preserve">This methodology shall be reviewed annually by the CISO, or following any significant change to the organisation's risk environment, ISMS scope, or applicable legal requirements. Approved changes shall be reflected in an updated version of this document.</w:t>
      </w:r>
    </w:p>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Risk Assessment &amp; Treatment Methodology  |  MS-ISMS-RISK-002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2026-05-09T11:50:37.189Z</dcterms:created>
  <dcterms:modified xsi:type="dcterms:W3CDTF">2026-05-09T11:50:37.190Z</dcterms:modified>
</cp:coreProperties>
</file>

<file path=docProps/custom.xml><?xml version="1.0" encoding="utf-8"?>
<Properties xmlns="http://schemas.openxmlformats.org/officeDocument/2006/custom-properties" xmlns:vt="http://schemas.openxmlformats.org/officeDocument/2006/docPropsVTypes"/>
</file>