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pBdr>
          <w:top w:val="single" w:color="E8B84B" w:sz="24" w:space="0"/>
        </w:pBdr>
        <w:spacing w:after="0" w:before="0"/>
        <w:jc w:val="center"/>
      </w:pPr>
      <w:r>
        <w:rPr>
          <w:sz w:val="8"/>
          <w:szCs w:val="8"/>
        </w:rPr>
        <w:t xml:space="preserve"/>
      </w:r>
    </w:p>
    <w:p>
      <w:pPr>
        <w:spacing w:after="0" w:before="160"/>
      </w:pPr>
      <w:r>
        <w:t xml:space="preserve"/>
      </w:r>
    </w:p>
    <w:p>
      <w:pPr>
        <w:spacing w:after="60" w:before="0"/>
        <w:jc w:val="center"/>
      </w:pPr>
      <w:r>
        <w:rPr>
          <w:rFonts w:ascii="Arial" w:cs="Arial" w:eastAsia="Arial" w:hAnsi="Arial"/>
          <w:b/>
          <w:bCs/>
          <w:color w:val="1F3864"/>
          <w:sz w:val="60"/>
          <w:szCs w:val="60"/>
        </w:rPr>
        <w:t xml:space="preserve">STARK INDUSTRIES</w:t>
      </w:r>
    </w:p>
    <w:p>
      <w:pPr>
        <w:spacing w:after="60" w:before="0"/>
        <w:jc w:val="center"/>
      </w:pPr>
      <w:r>
        <w:rPr>
          <w:rFonts w:ascii="Arial" w:cs="Arial" w:eastAsia="Arial" w:hAnsi="Arial"/>
          <w:b/>
          <w:bCs/>
          <w:color w:val="2E5FA3"/>
          <w:sz w:val="40"/>
          <w:szCs w:val="40"/>
        </w:rPr>
        <w:t xml:space="preserve">Access Control Policy</w:t>
      </w:r>
    </w:p>
    <w:p>
      <w:pPr>
        <w:pBdr>
          <w:bottom w:val="single" w:color="E8B84B" w:sz="24" w:space="0"/>
        </w:pBdr>
        <w:spacing w:after="0" w:before="0"/>
        <w:jc w:val="center"/>
      </w:pPr>
      <w:r>
        <w:rPr>
          <w:sz w:val="8"/>
          <w:szCs w:val="8"/>
        </w:rPr>
        <w:t xml:space="preserve"/>
      </w:r>
    </w:p>
    <w:p>
      <w:pPr>
        <w:spacing w:after="0" w:before="140"/>
      </w:pPr>
      <w:r>
        <w:t xml:space="preserve"/>
      </w:r>
    </w:p>
    <w:p>
      <w:pPr>
        <w:jc w:val="center"/>
      </w:pPr>
      <w:r>
        <w:rPr>
          <w:rFonts w:ascii="Arial" w:cs="Arial" w:eastAsia="Arial" w:hAnsi="Arial"/>
          <w:i/>
          <w:iCs/>
          <w:color w:val="777777"/>
          <w:sz w:val="19"/>
          <w:szCs w:val="19"/>
        </w:rPr>
        <w:t xml:space="preserve">ISO/IEC 27001:2022  •  MS-ISMS-ACP-006  •  Version 1.0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Title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Access Control Policy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ID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MS-ISMS-ACP-006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Owner</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Prepared by</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ISO/IEC 27001:2022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Annex A Controls</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5.15, 5.16, 5.17, 5.18</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Applicable Regulation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Kenya Data Protection Act 2019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Classification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Internal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Effective Date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Next Review</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2027</w:t>
            </w:r>
          </w:p>
        </w:tc>
      </w:tr>
    </w:tbl>
    <w:p>
      <w:pPr>
        <w:spacing w:after="0" w:before="360"/>
      </w:pPr>
      <w:r>
        <w:t xml:space="preserve"/>
      </w:r>
    </w:p>
    <w:p>
      <w:pPr>
        <w:pBdr>
          <w:top w:val="single" w:color="2E5FA3" w:sz="4" w:space="6"/>
        </w:pBdr>
        <w:spacing w:after="0" w:before="120"/>
        <w:jc w:val="center"/>
      </w:pPr>
      <w:r>
        <w:rPr>
          <w:rFonts w:ascii="Arial" w:cs="Arial" w:eastAsia="Arial" w:hAnsi="Arial"/>
          <w:i/>
          <w:iCs/>
          <w:color w:val="888888"/>
          <w:sz w:val="18"/>
          <w:szCs w:val="18"/>
        </w:rPr>
        <w:t xml:space="preserve">Prepared by Michael's Security  •  Managed Security Services</w:t>
      </w:r>
    </w:p>
    <w:p>
      <w:pPr>
        <w:sectPr>
          <w:pgSz w:w="12240" w:h="15840" w:orient="portrait"/>
          <w:pgMar w:top="1440" w:right="1440" w:bottom="1440" w:left="1440" w:header="708" w:footer="708" w:gutter="0"/>
          <w:pgNumType/>
          <w:docGrid w:linePitch="360"/>
        </w:sectPr>
      </w:pPr>
    </w:p>
    <w:p>
      <w:pPr>
        <w:pStyle w:val="Heading1"/>
        <w:pBdr>
          <w:bottom w:val="single" w:color="2E5FA3" w:sz="6" w:space="1"/>
        </w:pBdr>
        <w:spacing w:after="120" w:before="32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Initial release</w:t>
            </w:r>
          </w:p>
        </w:tc>
      </w:tr>
    </w:tbl>
    <w:p>
      <w:pPr>
        <w:spacing w:after="0" w:before="160"/>
      </w:pPr>
      <w:r>
        <w:t xml:space="preserve"/>
      </w:r>
    </w:p>
    <w:p>
      <w:pPr>
        <w:pStyle w:val="Heading1"/>
        <w:pBdr>
          <w:bottom w:val="single" w:color="2E5FA3" w:sz="6" w:space="1"/>
        </w:pBdr>
        <w:spacing w:after="120" w:before="320"/>
      </w:pPr>
      <w:r>
        <w:rPr>
          <w:rFonts w:ascii="Arial" w:cs="Arial" w:eastAsia="Arial" w:hAnsi="Arial"/>
          <w:b/>
          <w:bCs/>
          <w:color w:val="1F3864"/>
          <w:sz w:val="28"/>
          <w:szCs w:val="28"/>
        </w:rPr>
        <w:t xml:space="preserve">1.  Purpose</w:t>
      </w:r>
    </w:p>
    <w:p>
      <w:pPr>
        <w:spacing w:after="80" w:before="80"/>
        <w:jc w:val="left"/>
      </w:pPr>
      <w:r>
        <w:rPr>
          <w:rFonts w:ascii="Arial" w:cs="Arial" w:eastAsia="Arial" w:hAnsi="Arial"/>
          <w:b w:val="false"/>
          <w:bCs w:val="false"/>
          <w:i w:val="false"/>
          <w:iCs w:val="false"/>
          <w:color w:val="444444"/>
          <w:sz w:val="20"/>
          <w:szCs w:val="20"/>
        </w:rPr>
        <w:t xml:space="preserve">This Access Control Policy defines the framework for managing access to Stark Industries information systems, networks, and data. It ensures that access rights are granted based on business need, the principle of least privilege, and the need-to-know principle, in alignment with ISO/IEC 27001:2022 Annex A controls 5.15 to 5.18 and the Kenya Data Protection Act 2019.</w:t>
      </w:r>
    </w:p>
    <w:p>
      <w:pPr>
        <w:pStyle w:val="Heading1"/>
        <w:pBdr>
          <w:bottom w:val="single" w:color="2E5FA3" w:sz="6" w:space="1"/>
        </w:pBdr>
        <w:spacing w:after="120" w:before="320"/>
      </w:pPr>
      <w:r>
        <w:rPr>
          <w:rFonts w:ascii="Arial" w:cs="Arial" w:eastAsia="Arial" w:hAnsi="Arial"/>
          <w:b/>
          <w:bCs/>
          <w:color w:val="1F3864"/>
          <w:sz w:val="28"/>
          <w:szCs w:val="28"/>
        </w:rPr>
        <w:t xml:space="preserve">2.  Scope</w:t>
      </w:r>
    </w:p>
    <w:p>
      <w:pPr>
        <w:spacing w:after="80" w:before="80"/>
        <w:jc w:val="left"/>
      </w:pPr>
      <w:r>
        <w:rPr>
          <w:rFonts w:ascii="Arial" w:cs="Arial" w:eastAsia="Arial" w:hAnsi="Arial"/>
          <w:b w:val="false"/>
          <w:bCs w:val="false"/>
          <w:i w:val="false"/>
          <w:iCs w:val="false"/>
          <w:color w:val="444444"/>
          <w:sz w:val="20"/>
          <w:szCs w:val="20"/>
        </w:rPr>
        <w:t xml:space="preserve">This policy applies to:</w:t>
      </w:r>
    </w:p>
    <w:p>
      <w:pPr>
        <w:pStyle w:val="ListParagraph"/>
        <w:numPr>
          <w:ilvl w:val="0"/>
          <w:numId w:val="2"/>
        </w:numPr>
        <w:spacing w:after="60" w:before="60"/>
      </w:pPr>
      <w:r>
        <w:rPr>
          <w:rFonts w:ascii="Arial" w:cs="Arial" w:eastAsia="Arial" w:hAnsi="Arial"/>
          <w:color w:val="444444"/>
          <w:sz w:val="20"/>
          <w:szCs w:val="20"/>
        </w:rPr>
        <w:t xml:space="preserve">All Stark Industries information systems, applications, networks, cloud services, and data repositories.</w:t>
      </w:r>
    </w:p>
    <w:p>
      <w:pPr>
        <w:pStyle w:val="ListParagraph"/>
        <w:numPr>
          <w:ilvl w:val="0"/>
          <w:numId w:val="2"/>
        </w:numPr>
        <w:spacing w:after="60" w:before="60"/>
      </w:pPr>
      <w:r>
        <w:rPr>
          <w:rFonts w:ascii="Arial" w:cs="Arial" w:eastAsia="Arial" w:hAnsi="Arial"/>
          <w:color w:val="444444"/>
          <w:sz w:val="20"/>
          <w:szCs w:val="20"/>
        </w:rPr>
        <w:t xml:space="preserve">All employees, contractors, consultants, and third-party users granted access to Stark Industries systems.</w:t>
      </w:r>
    </w:p>
    <w:p>
      <w:pPr>
        <w:pStyle w:val="ListParagraph"/>
        <w:numPr>
          <w:ilvl w:val="0"/>
          <w:numId w:val="2"/>
        </w:numPr>
        <w:spacing w:after="60" w:before="60"/>
      </w:pPr>
      <w:r>
        <w:rPr>
          <w:rFonts w:ascii="Arial" w:cs="Arial" w:eastAsia="Arial" w:hAnsi="Arial"/>
          <w:color w:val="444444"/>
          <w:sz w:val="20"/>
          <w:szCs w:val="20"/>
        </w:rPr>
        <w:t xml:space="preserve">All access methods including on-premises, remote, and cloud-based access.</w:t>
      </w:r>
    </w:p>
    <w:p>
      <w:pPr>
        <w:pStyle w:val="Heading1"/>
        <w:pBdr>
          <w:bottom w:val="single" w:color="2E5FA3" w:sz="6" w:space="1"/>
        </w:pBdr>
        <w:spacing w:after="120" w:before="320"/>
      </w:pPr>
      <w:r>
        <w:rPr>
          <w:rFonts w:ascii="Arial" w:cs="Arial" w:eastAsia="Arial" w:hAnsi="Arial"/>
          <w:b/>
          <w:bCs/>
          <w:color w:val="1F3864"/>
          <w:sz w:val="28"/>
          <w:szCs w:val="28"/>
        </w:rPr>
        <w:t xml:space="preserve">3.  Access Control Principles</w:t>
      </w:r>
    </w:p>
    <w:p>
      <w:pPr>
        <w:pStyle w:val="Heading2"/>
        <w:spacing w:after="80" w:before="200"/>
      </w:pPr>
      <w:r>
        <w:rPr>
          <w:rFonts w:ascii="Arial" w:cs="Arial" w:eastAsia="Arial" w:hAnsi="Arial"/>
          <w:b/>
          <w:bCs/>
          <w:color w:val="2E5FA3"/>
          <w:sz w:val="24"/>
          <w:szCs w:val="24"/>
        </w:rPr>
        <w:t xml:space="preserve">3.1  Least Privilege</w:t>
      </w:r>
    </w:p>
    <w:p>
      <w:pPr>
        <w:spacing w:after="80" w:before="80"/>
        <w:jc w:val="left"/>
      </w:pPr>
      <w:r>
        <w:rPr>
          <w:rFonts w:ascii="Arial" w:cs="Arial" w:eastAsia="Arial" w:hAnsi="Arial"/>
          <w:b w:val="false"/>
          <w:bCs w:val="false"/>
          <w:i w:val="false"/>
          <w:iCs w:val="false"/>
          <w:color w:val="444444"/>
          <w:sz w:val="20"/>
          <w:szCs w:val="20"/>
        </w:rPr>
        <w:t xml:space="preserve">Users shall be granted the minimum level of access required to perform their job functions. Access rights shall be reviewed and adjusted when roles change or responsibilities are reallocated.</w:t>
      </w:r>
    </w:p>
    <w:p>
      <w:pPr>
        <w:pStyle w:val="Heading2"/>
        <w:spacing w:after="80" w:before="200"/>
      </w:pPr>
      <w:r>
        <w:rPr>
          <w:rFonts w:ascii="Arial" w:cs="Arial" w:eastAsia="Arial" w:hAnsi="Arial"/>
          <w:b/>
          <w:bCs/>
          <w:color w:val="2E5FA3"/>
          <w:sz w:val="24"/>
          <w:szCs w:val="24"/>
        </w:rPr>
        <w:t xml:space="preserve">3.2  Need-to-Know</w:t>
      </w:r>
    </w:p>
    <w:p>
      <w:pPr>
        <w:spacing w:after="80" w:before="80"/>
        <w:jc w:val="left"/>
      </w:pPr>
      <w:r>
        <w:rPr>
          <w:rFonts w:ascii="Arial" w:cs="Arial" w:eastAsia="Arial" w:hAnsi="Arial"/>
          <w:b w:val="false"/>
          <w:bCs w:val="false"/>
          <w:i w:val="false"/>
          <w:iCs w:val="false"/>
          <w:color w:val="444444"/>
          <w:sz w:val="20"/>
          <w:szCs w:val="20"/>
        </w:rPr>
        <w:t xml:space="preserve">Access to sensitive or classified information shall be restricted to individuals who require it to fulfil specific job responsibilities. Classification levels defined in the Asset Register (MS-ISMS-ASSET-004) govern access tiers.</w:t>
      </w:r>
    </w:p>
    <w:p>
      <w:pPr>
        <w:pStyle w:val="Heading2"/>
        <w:spacing w:after="80" w:before="200"/>
      </w:pPr>
      <w:r>
        <w:rPr>
          <w:rFonts w:ascii="Arial" w:cs="Arial" w:eastAsia="Arial" w:hAnsi="Arial"/>
          <w:b/>
          <w:bCs/>
          <w:color w:val="2E5FA3"/>
          <w:sz w:val="24"/>
          <w:szCs w:val="24"/>
        </w:rPr>
        <w:t xml:space="preserve">3.3  Segregation of Duties</w:t>
      </w:r>
    </w:p>
    <w:p>
      <w:pPr>
        <w:spacing w:after="80" w:before="80"/>
        <w:jc w:val="left"/>
      </w:pPr>
      <w:r>
        <w:rPr>
          <w:rFonts w:ascii="Arial" w:cs="Arial" w:eastAsia="Arial" w:hAnsi="Arial"/>
          <w:b w:val="false"/>
          <w:bCs w:val="false"/>
          <w:i w:val="false"/>
          <w:iCs w:val="false"/>
          <w:color w:val="444444"/>
          <w:sz w:val="20"/>
          <w:szCs w:val="20"/>
        </w:rPr>
        <w:t xml:space="preserve">Critical or sensitive functions shall be divided among multiple individuals to prevent fraud, error, and misuse. No single user shall have end-to-end control over a sensitive transaction or process without compensating controls.</w:t>
      </w:r>
    </w:p>
    <w:p>
      <w:pPr>
        <w:pStyle w:val="Heading1"/>
        <w:pBdr>
          <w:bottom w:val="single" w:color="2E5FA3" w:sz="6" w:space="1"/>
        </w:pBdr>
        <w:spacing w:after="120" w:before="320"/>
      </w:pPr>
      <w:r>
        <w:rPr>
          <w:rFonts w:ascii="Arial" w:cs="Arial" w:eastAsia="Arial" w:hAnsi="Arial"/>
          <w:b/>
          <w:bCs/>
          <w:color w:val="1F3864"/>
          <w:sz w:val="28"/>
          <w:szCs w:val="28"/>
        </w:rPr>
        <w:t xml:space="preserve">4.  User Provisioning and Deprovisioning</w:t>
      </w:r>
    </w:p>
    <w:p>
      <w:pPr>
        <w:pStyle w:val="Heading2"/>
        <w:spacing w:after="80" w:before="200"/>
      </w:pPr>
      <w:r>
        <w:rPr>
          <w:rFonts w:ascii="Arial" w:cs="Arial" w:eastAsia="Arial" w:hAnsi="Arial"/>
          <w:b/>
          <w:bCs/>
          <w:color w:val="2E5FA3"/>
          <w:sz w:val="24"/>
          <w:szCs w:val="24"/>
        </w:rPr>
        <w:t xml:space="preserve">4.1  New User Access</w:t>
      </w:r>
    </w:p>
    <w:p>
      <w:pPr>
        <w:spacing w:after="80" w:before="80"/>
        <w:jc w:val="left"/>
      </w:pPr>
      <w:r>
        <w:rPr>
          <w:rFonts w:ascii="Arial" w:cs="Arial" w:eastAsia="Arial" w:hAnsi="Arial"/>
          <w:b w:val="false"/>
          <w:bCs w:val="false"/>
          <w:i w:val="false"/>
          <w:iCs w:val="false"/>
          <w:color w:val="444444"/>
          <w:sz w:val="20"/>
          <w:szCs w:val="20"/>
        </w:rPr>
        <w:t xml:space="preserve">Access provisioning shall follow a formal request and approval process:</w:t>
      </w:r>
    </w:p>
    <w:p>
      <w:pPr>
        <w:pStyle w:val="ListParagraph"/>
        <w:numPr>
          <w:ilvl w:val="0"/>
          <w:numId w:val="2"/>
        </w:numPr>
        <w:spacing w:after="60" w:before="60"/>
      </w:pPr>
      <w:r>
        <w:rPr>
          <w:rFonts w:ascii="Arial" w:cs="Arial" w:eastAsia="Arial" w:hAnsi="Arial"/>
          <w:color w:val="444444"/>
          <w:sz w:val="20"/>
          <w:szCs w:val="20"/>
        </w:rPr>
        <w:t xml:space="preserve">The user's line manager submits a formal access request specifying systems, data, and required access level.</w:t>
      </w:r>
    </w:p>
    <w:p>
      <w:pPr>
        <w:pStyle w:val="ListParagraph"/>
        <w:numPr>
          <w:ilvl w:val="0"/>
          <w:numId w:val="2"/>
        </w:numPr>
        <w:spacing w:after="60" w:before="60"/>
      </w:pPr>
      <w:r>
        <w:rPr>
          <w:rFonts w:ascii="Arial" w:cs="Arial" w:eastAsia="Arial" w:hAnsi="Arial"/>
          <w:color w:val="444444"/>
          <w:sz w:val="20"/>
          <w:szCs w:val="20"/>
        </w:rPr>
        <w:t xml:space="preserve">The IT/Security Team reviews the request against the principle of least privilege.</w:t>
      </w:r>
    </w:p>
    <w:p>
      <w:pPr>
        <w:pStyle w:val="ListParagraph"/>
        <w:numPr>
          <w:ilvl w:val="0"/>
          <w:numId w:val="2"/>
        </w:numPr>
        <w:spacing w:after="60" w:before="60"/>
      </w:pPr>
      <w:r>
        <w:rPr>
          <w:rFonts w:ascii="Arial" w:cs="Arial" w:eastAsia="Arial" w:hAnsi="Arial"/>
          <w:color w:val="444444"/>
          <w:sz w:val="20"/>
          <w:szCs w:val="20"/>
        </w:rPr>
        <w:t xml:space="preserve">The CISO (or delegate) approves access to Confidential or Restricted assets.</w:t>
      </w:r>
    </w:p>
    <w:p>
      <w:pPr>
        <w:pStyle w:val="ListParagraph"/>
        <w:numPr>
          <w:ilvl w:val="0"/>
          <w:numId w:val="2"/>
        </w:numPr>
        <w:spacing w:after="60" w:before="60"/>
      </w:pPr>
      <w:r>
        <w:rPr>
          <w:rFonts w:ascii="Arial" w:cs="Arial" w:eastAsia="Arial" w:hAnsi="Arial"/>
          <w:color w:val="444444"/>
          <w:sz w:val="20"/>
          <w:szCs w:val="20"/>
        </w:rPr>
        <w:t xml:space="preserve">Accounts are created, credentials issued, and access logged in the access register.</w:t>
      </w:r>
    </w:p>
    <w:p>
      <w:pPr>
        <w:pStyle w:val="ListParagraph"/>
        <w:numPr>
          <w:ilvl w:val="0"/>
          <w:numId w:val="2"/>
        </w:numPr>
        <w:spacing w:after="60" w:before="60"/>
      </w:pPr>
      <w:r>
        <w:rPr>
          <w:rFonts w:ascii="Arial" w:cs="Arial" w:eastAsia="Arial" w:hAnsi="Arial"/>
          <w:color w:val="444444"/>
          <w:sz w:val="20"/>
          <w:szCs w:val="20"/>
        </w:rPr>
        <w:t xml:space="preserve">New users complete security awareness training before accessing Restricted systems.</w:t>
      </w:r>
    </w:p>
    <w:p>
      <w:pPr>
        <w:pStyle w:val="Heading2"/>
        <w:spacing w:after="80" w:before="200"/>
      </w:pPr>
      <w:r>
        <w:rPr>
          <w:rFonts w:ascii="Arial" w:cs="Arial" w:eastAsia="Arial" w:hAnsi="Arial"/>
          <w:b/>
          <w:bCs/>
          <w:color w:val="2E5FA3"/>
          <w:sz w:val="24"/>
          <w:szCs w:val="24"/>
        </w:rPr>
        <w:t xml:space="preserve">4.2  Access Changes</w:t>
      </w:r>
    </w:p>
    <w:p>
      <w:pPr>
        <w:spacing w:after="80" w:before="80"/>
        <w:jc w:val="left"/>
      </w:pPr>
      <w:r>
        <w:rPr>
          <w:rFonts w:ascii="Arial" w:cs="Arial" w:eastAsia="Arial" w:hAnsi="Arial"/>
          <w:b w:val="false"/>
          <w:bCs w:val="false"/>
          <w:i w:val="false"/>
          <w:iCs w:val="false"/>
          <w:color w:val="444444"/>
          <w:sz w:val="20"/>
          <w:szCs w:val="20"/>
        </w:rPr>
        <w:t xml:space="preserve">When an employee changes role, access rights shall be reviewed within five (5) business days. Unnecessary access from the previous role shall be revoked immediately. Elevated privileges shall not carry over without explicit re-approval.</w:t>
      </w:r>
    </w:p>
    <w:p>
      <w:pPr>
        <w:pStyle w:val="Heading2"/>
        <w:spacing w:after="80" w:before="200"/>
      </w:pPr>
      <w:r>
        <w:rPr>
          <w:rFonts w:ascii="Arial" w:cs="Arial" w:eastAsia="Arial" w:hAnsi="Arial"/>
          <w:b/>
          <w:bCs/>
          <w:color w:val="2E5FA3"/>
          <w:sz w:val="24"/>
          <w:szCs w:val="24"/>
        </w:rPr>
        <w:t xml:space="preserve">4.3  Deprovisioning</w:t>
      </w:r>
    </w:p>
    <w:p>
      <w:pPr>
        <w:spacing w:after="80" w:before="80"/>
        <w:jc w:val="left"/>
      </w:pPr>
      <w:r>
        <w:rPr>
          <w:rFonts w:ascii="Arial" w:cs="Arial" w:eastAsia="Arial" w:hAnsi="Arial"/>
          <w:b w:val="false"/>
          <w:bCs w:val="false"/>
          <w:i w:val="false"/>
          <w:iCs w:val="false"/>
          <w:color w:val="444444"/>
          <w:sz w:val="20"/>
          <w:szCs w:val="20"/>
        </w:rPr>
        <w:t xml:space="preserve">Upon termination, resignation, or contract end:</w:t>
      </w:r>
    </w:p>
    <w:p>
      <w:pPr>
        <w:pStyle w:val="ListParagraph"/>
        <w:numPr>
          <w:ilvl w:val="0"/>
          <w:numId w:val="2"/>
        </w:numPr>
        <w:spacing w:after="60" w:before="60"/>
      </w:pPr>
      <w:r>
        <w:rPr>
          <w:rFonts w:ascii="Arial" w:cs="Arial" w:eastAsia="Arial" w:hAnsi="Arial"/>
          <w:color w:val="444444"/>
          <w:sz w:val="20"/>
          <w:szCs w:val="20"/>
        </w:rPr>
        <w:t xml:space="preserve">All system accounts shall be disabled on the last day of employment / contract.</w:t>
      </w:r>
    </w:p>
    <w:p>
      <w:pPr>
        <w:pStyle w:val="ListParagraph"/>
        <w:numPr>
          <w:ilvl w:val="0"/>
          <w:numId w:val="2"/>
        </w:numPr>
        <w:spacing w:after="60" w:before="60"/>
      </w:pPr>
      <w:r>
        <w:rPr>
          <w:rFonts w:ascii="Arial" w:cs="Arial" w:eastAsia="Arial" w:hAnsi="Arial"/>
          <w:color w:val="444444"/>
          <w:sz w:val="20"/>
          <w:szCs w:val="20"/>
        </w:rPr>
        <w:t xml:space="preserve">Accounts shall be permanently deleted within 30 days unless retained for audit or legal purposes.</w:t>
      </w:r>
    </w:p>
    <w:p>
      <w:pPr>
        <w:pStyle w:val="ListParagraph"/>
        <w:numPr>
          <w:ilvl w:val="0"/>
          <w:numId w:val="2"/>
        </w:numPr>
        <w:spacing w:after="60" w:before="60"/>
      </w:pPr>
      <w:r>
        <w:rPr>
          <w:rFonts w:ascii="Arial" w:cs="Arial" w:eastAsia="Arial" w:hAnsi="Arial"/>
          <w:color w:val="444444"/>
          <w:sz w:val="20"/>
          <w:szCs w:val="20"/>
        </w:rPr>
        <w:t xml:space="preserve">Physical access credentials (cards, keys) shall be returned immediately.</w:t>
      </w:r>
    </w:p>
    <w:p>
      <w:pPr>
        <w:pStyle w:val="ListParagraph"/>
        <w:numPr>
          <w:ilvl w:val="0"/>
          <w:numId w:val="2"/>
        </w:numPr>
        <w:spacing w:after="60" w:before="60"/>
      </w:pPr>
      <w:r>
        <w:rPr>
          <w:rFonts w:ascii="Arial" w:cs="Arial" w:eastAsia="Arial" w:hAnsi="Arial"/>
          <w:color w:val="444444"/>
          <w:sz w:val="20"/>
          <w:szCs w:val="20"/>
        </w:rPr>
        <w:t xml:space="preserve">Remote access (VPN, cloud SSO) shall be revoked before the end of the final working day.</w:t>
      </w:r>
    </w:p>
    <w:p>
      <w:pPr>
        <w:pStyle w:val="ListParagraph"/>
        <w:numPr>
          <w:ilvl w:val="0"/>
          <w:numId w:val="2"/>
        </w:numPr>
        <w:spacing w:after="60" w:before="60"/>
      </w:pPr>
      <w:r>
        <w:rPr>
          <w:rFonts w:ascii="Arial" w:cs="Arial" w:eastAsia="Arial" w:hAnsi="Arial"/>
          <w:color w:val="444444"/>
          <w:sz w:val="20"/>
          <w:szCs w:val="20"/>
        </w:rPr>
        <w:t xml:space="preserve">HR shall notify IT/Security at least 24 hours before planned departure where possible.</w:t>
      </w:r>
    </w:p>
    <w:p>
      <w:pPr>
        <w:pStyle w:val="Heading1"/>
        <w:pBdr>
          <w:bottom w:val="single" w:color="2E5FA3" w:sz="6" w:space="1"/>
        </w:pBdr>
        <w:spacing w:after="120" w:before="320"/>
      </w:pPr>
      <w:r>
        <w:rPr>
          <w:rFonts w:ascii="Arial" w:cs="Arial" w:eastAsia="Arial" w:hAnsi="Arial"/>
          <w:b/>
          <w:bCs/>
          <w:color w:val="1F3864"/>
          <w:sz w:val="28"/>
          <w:szCs w:val="28"/>
        </w:rPr>
        <w:t xml:space="preserve">5.  Authentication Requirements</w:t>
      </w:r>
    </w:p>
    <w:p>
      <w:pPr>
        <w:pStyle w:val="Heading2"/>
        <w:spacing w:after="80" w:before="200"/>
      </w:pPr>
      <w:r>
        <w:rPr>
          <w:rFonts w:ascii="Arial" w:cs="Arial" w:eastAsia="Arial" w:hAnsi="Arial"/>
          <w:b/>
          <w:bCs/>
          <w:color w:val="2E5FA3"/>
          <w:sz w:val="24"/>
          <w:szCs w:val="24"/>
        </w:rPr>
        <w:t xml:space="preserve">5.1  Multi-Factor Authentication (MFA)</w:t>
      </w:r>
    </w:p>
    <w:p>
      <w:pPr>
        <w:spacing w:after="80" w:before="80"/>
        <w:jc w:val="left"/>
      </w:pPr>
      <w:r>
        <w:rPr>
          <w:rFonts w:ascii="Arial" w:cs="Arial" w:eastAsia="Arial" w:hAnsi="Arial"/>
          <w:b w:val="false"/>
          <w:bCs w:val="false"/>
          <w:i w:val="false"/>
          <w:iCs w:val="false"/>
          <w:color w:val="444444"/>
          <w:sz w:val="20"/>
          <w:szCs w:val="20"/>
        </w:rPr>
        <w:t xml:space="preserve">MFA is mandatory for:</w:t>
      </w:r>
    </w:p>
    <w:p>
      <w:pPr>
        <w:pStyle w:val="ListParagraph"/>
        <w:numPr>
          <w:ilvl w:val="0"/>
          <w:numId w:val="2"/>
        </w:numPr>
        <w:spacing w:after="60" w:before="60"/>
      </w:pPr>
      <w:r>
        <w:rPr>
          <w:rFonts w:ascii="Arial" w:cs="Arial" w:eastAsia="Arial" w:hAnsi="Arial"/>
          <w:color w:val="444444"/>
          <w:sz w:val="20"/>
          <w:szCs w:val="20"/>
        </w:rPr>
        <w:t xml:space="preserve">All remote access to Stark Industries systems (VPN, cloud portals, remote desktop).</w:t>
      </w:r>
    </w:p>
    <w:p>
      <w:pPr>
        <w:pStyle w:val="ListParagraph"/>
        <w:numPr>
          <w:ilvl w:val="0"/>
          <w:numId w:val="2"/>
        </w:numPr>
        <w:spacing w:after="60" w:before="60"/>
      </w:pPr>
      <w:r>
        <w:rPr>
          <w:rFonts w:ascii="Arial" w:cs="Arial" w:eastAsia="Arial" w:hAnsi="Arial"/>
          <w:color w:val="444444"/>
          <w:sz w:val="20"/>
          <w:szCs w:val="20"/>
        </w:rPr>
        <w:t xml:space="preserve">All access to Confidential and Restricted data repositories.</w:t>
      </w:r>
    </w:p>
    <w:p>
      <w:pPr>
        <w:pStyle w:val="ListParagraph"/>
        <w:numPr>
          <w:ilvl w:val="0"/>
          <w:numId w:val="2"/>
        </w:numPr>
        <w:spacing w:after="60" w:before="60"/>
      </w:pPr>
      <w:r>
        <w:rPr>
          <w:rFonts w:ascii="Arial" w:cs="Arial" w:eastAsia="Arial" w:hAnsi="Arial"/>
          <w:color w:val="444444"/>
          <w:sz w:val="20"/>
          <w:szCs w:val="20"/>
        </w:rPr>
        <w:t xml:space="preserve">All privileged / administrative accounts without exception.</w:t>
      </w:r>
    </w:p>
    <w:p>
      <w:pPr>
        <w:pStyle w:val="ListParagraph"/>
        <w:numPr>
          <w:ilvl w:val="0"/>
          <w:numId w:val="2"/>
        </w:numPr>
        <w:spacing w:after="60" w:before="60"/>
      </w:pPr>
      <w:r>
        <w:rPr>
          <w:rFonts w:ascii="Arial" w:cs="Arial" w:eastAsia="Arial" w:hAnsi="Arial"/>
          <w:color w:val="444444"/>
          <w:sz w:val="20"/>
          <w:szCs w:val="20"/>
        </w:rPr>
        <w:t xml:space="preserve">All cloud-hosted services (Microsoft 365, SaaS platforms, IaaS consoles).</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Acceptable MFA methods: authenticator app (TOTP), hardware security key (FIDO2). SMS-based OTP is discouraged and should only be used as a fallback.</w:t>
      </w:r>
    </w:p>
    <w:p>
      <w:pPr>
        <w:pStyle w:val="Heading2"/>
        <w:spacing w:after="80" w:before="200"/>
      </w:pPr>
      <w:r>
        <w:rPr>
          <w:rFonts w:ascii="Arial" w:cs="Arial" w:eastAsia="Arial" w:hAnsi="Arial"/>
          <w:b/>
          <w:bCs/>
          <w:color w:val="2E5FA3"/>
          <w:sz w:val="24"/>
          <w:szCs w:val="24"/>
        </w:rPr>
        <w:t xml:space="preserve">5.2  Password Policy</w:t>
      </w:r>
    </w:p>
    <w:p>
      <w:pPr>
        <w:spacing w:after="80" w:before="80"/>
        <w:jc w:val="left"/>
      </w:pPr>
      <w:r>
        <w:rPr>
          <w:rFonts w:ascii="Arial" w:cs="Arial" w:eastAsia="Arial" w:hAnsi="Arial"/>
          <w:b w:val="false"/>
          <w:bCs w:val="false"/>
          <w:i w:val="false"/>
          <w:iCs w:val="false"/>
          <w:color w:val="444444"/>
          <w:sz w:val="20"/>
          <w:szCs w:val="20"/>
        </w:rPr>
        <w:t xml:space="preserve">Password requirements align with NIST SP 800-63B: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Requirement</w:t>
            </w:r>
          </w:p>
        </w:tc>
        <w:tc>
          <w:tcPr>
            <w:tcW w:type="dxa" w:w="5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Minimum length</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15+ characters (or 8+ with MFA enforced)</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Complexity</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No mandatory complexity rules (NIST SP 800-63B); block known compromised passwords</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Password expiry</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No mandatory rotation unless compromise suspected</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Password history</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Retain last 12 passwords; prevent reuse</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Failed attempts</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Lock account after 10 consecutive failures</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Password storage</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Salted hash (bcrypt / Argon2); never plaintext</w:t>
            </w:r>
          </w:p>
        </w:tc>
      </w:tr>
      <w:tr>
        <w:tc>
          <w:tcPr>
            <w:tcW w:type="dxa" w:w="3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Shared accounts</w:t>
            </w:r>
          </w:p>
        </w:tc>
        <w:tc>
          <w:tcPr>
            <w:tcW w:type="dxa" w:w="57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Prohibited. All accounts must be individually attributed</w:t>
            </w:r>
          </w:p>
        </w:tc>
      </w:tr>
    </w:tbl>
    <w:p>
      <w:pPr>
        <w:pStyle w:val="Heading1"/>
        <w:pBdr>
          <w:bottom w:val="single" w:color="2E5FA3" w:sz="6" w:space="1"/>
        </w:pBdr>
        <w:spacing w:after="120" w:before="320"/>
      </w:pPr>
      <w:r>
        <w:rPr>
          <w:rFonts w:ascii="Arial" w:cs="Arial" w:eastAsia="Arial" w:hAnsi="Arial"/>
          <w:b/>
          <w:bCs/>
          <w:color w:val="1F3864"/>
          <w:sz w:val="28"/>
          <w:szCs w:val="28"/>
        </w:rPr>
        <w:t xml:space="preserve">6.  Privileged Access Management (PAM)</w:t>
      </w:r>
    </w:p>
    <w:p>
      <w:pPr>
        <w:spacing w:after="80" w:before="80"/>
        <w:jc w:val="left"/>
      </w:pPr>
      <w:r>
        <w:rPr>
          <w:rFonts w:ascii="Arial" w:cs="Arial" w:eastAsia="Arial" w:hAnsi="Arial"/>
          <w:b w:val="false"/>
          <w:bCs w:val="false"/>
          <w:i w:val="false"/>
          <w:iCs w:val="false"/>
          <w:color w:val="444444"/>
          <w:sz w:val="20"/>
          <w:szCs w:val="20"/>
        </w:rPr>
        <w:t xml:space="preserve">Privileged accounts (domain administrators, database administrators, cloud root accounts) require additional controls:</w:t>
      </w:r>
    </w:p>
    <w:p>
      <w:pPr>
        <w:pStyle w:val="ListParagraph"/>
        <w:numPr>
          <w:ilvl w:val="0"/>
          <w:numId w:val="2"/>
        </w:numPr>
        <w:spacing w:after="60" w:before="60"/>
      </w:pPr>
      <w:r>
        <w:rPr>
          <w:rFonts w:ascii="Arial" w:cs="Arial" w:eastAsia="Arial" w:hAnsi="Arial"/>
          <w:color w:val="444444"/>
          <w:sz w:val="20"/>
          <w:szCs w:val="20"/>
        </w:rPr>
        <w:t xml:space="preserve">Privileged access shall be granted only to named individuals with a documented business justification.</w:t>
      </w:r>
    </w:p>
    <w:p>
      <w:pPr>
        <w:pStyle w:val="ListParagraph"/>
        <w:numPr>
          <w:ilvl w:val="0"/>
          <w:numId w:val="2"/>
        </w:numPr>
        <w:spacing w:after="60" w:before="60"/>
      </w:pPr>
      <w:r>
        <w:rPr>
          <w:rFonts w:ascii="Arial" w:cs="Arial" w:eastAsia="Arial" w:hAnsi="Arial"/>
          <w:color w:val="444444"/>
          <w:sz w:val="20"/>
          <w:szCs w:val="20"/>
        </w:rPr>
        <w:t xml:space="preserve">Privileged accounts shall be separate from standard user accounts (no dual-use accounts).</w:t>
      </w:r>
    </w:p>
    <w:p>
      <w:pPr>
        <w:pStyle w:val="ListParagraph"/>
        <w:numPr>
          <w:ilvl w:val="0"/>
          <w:numId w:val="2"/>
        </w:numPr>
        <w:spacing w:after="60" w:before="60"/>
      </w:pPr>
      <w:r>
        <w:rPr>
          <w:rFonts w:ascii="Arial" w:cs="Arial" w:eastAsia="Arial" w:hAnsi="Arial"/>
          <w:color w:val="444444"/>
          <w:sz w:val="20"/>
          <w:szCs w:val="20"/>
        </w:rPr>
        <w:t xml:space="preserve">All privileged sessions shall be logged and retained for a minimum of 12 months.</w:t>
      </w:r>
    </w:p>
    <w:p>
      <w:pPr>
        <w:pStyle w:val="ListParagraph"/>
        <w:numPr>
          <w:ilvl w:val="0"/>
          <w:numId w:val="2"/>
        </w:numPr>
        <w:spacing w:after="60" w:before="60"/>
      </w:pPr>
      <w:r>
        <w:rPr>
          <w:rFonts w:ascii="Arial" w:cs="Arial" w:eastAsia="Arial" w:hAnsi="Arial"/>
          <w:color w:val="444444"/>
          <w:sz w:val="20"/>
          <w:szCs w:val="20"/>
        </w:rPr>
        <w:t xml:space="preserve">Cloud root / break-glass accounts shall be secured with hardware MFA and credentials stored in a PAM vault.</w:t>
      </w:r>
    </w:p>
    <w:p>
      <w:pPr>
        <w:pStyle w:val="ListParagraph"/>
        <w:numPr>
          <w:ilvl w:val="0"/>
          <w:numId w:val="2"/>
        </w:numPr>
        <w:spacing w:after="60" w:before="60"/>
      </w:pPr>
      <w:r>
        <w:rPr>
          <w:rFonts w:ascii="Arial" w:cs="Arial" w:eastAsia="Arial" w:hAnsi="Arial"/>
          <w:color w:val="444444"/>
          <w:sz w:val="20"/>
          <w:szCs w:val="20"/>
        </w:rPr>
        <w:t xml:space="preserve">Standing privileged access shall be reviewed quarterly; just-in-time (JIT) access is the preferred model.</w:t>
      </w:r>
    </w:p>
    <w:p>
      <w:pPr>
        <w:pStyle w:val="ListParagraph"/>
        <w:numPr>
          <w:ilvl w:val="0"/>
          <w:numId w:val="2"/>
        </w:numPr>
        <w:spacing w:after="60" w:before="60"/>
      </w:pPr>
      <w:r>
        <w:rPr>
          <w:rFonts w:ascii="Arial" w:cs="Arial" w:eastAsia="Arial" w:hAnsi="Arial"/>
          <w:color w:val="444444"/>
          <w:sz w:val="20"/>
          <w:szCs w:val="20"/>
        </w:rPr>
        <w:t xml:space="preserve">Shared administrative credentials are prohibited. Individual accountability is mandatory.</w:t>
      </w:r>
    </w:p>
    <w:p>
      <w:pPr>
        <w:pStyle w:val="Heading1"/>
        <w:pBdr>
          <w:bottom w:val="single" w:color="2E5FA3" w:sz="6" w:space="1"/>
        </w:pBdr>
        <w:spacing w:after="120" w:before="320"/>
      </w:pPr>
      <w:r>
        <w:rPr>
          <w:rFonts w:ascii="Arial" w:cs="Arial" w:eastAsia="Arial" w:hAnsi="Arial"/>
          <w:b/>
          <w:bCs/>
          <w:color w:val="1F3864"/>
          <w:sz w:val="28"/>
          <w:szCs w:val="28"/>
        </w:rPr>
        <w:t xml:space="preserve">7.  Remote Access</w:t>
      </w:r>
    </w:p>
    <w:p>
      <w:pPr>
        <w:spacing w:after="80" w:before="80"/>
        <w:jc w:val="left"/>
      </w:pPr>
      <w:r>
        <w:rPr>
          <w:rFonts w:ascii="Arial" w:cs="Arial" w:eastAsia="Arial" w:hAnsi="Arial"/>
          <w:b w:val="false"/>
          <w:bCs w:val="false"/>
          <w:i w:val="false"/>
          <w:iCs w:val="false"/>
          <w:color w:val="444444"/>
          <w:sz w:val="20"/>
          <w:szCs w:val="20"/>
        </w:rPr>
        <w:t xml:space="preserve">Remote access to Stark Industries systems shall:</w:t>
      </w:r>
    </w:p>
    <w:p>
      <w:pPr>
        <w:pStyle w:val="ListParagraph"/>
        <w:numPr>
          <w:ilvl w:val="0"/>
          <w:numId w:val="2"/>
        </w:numPr>
        <w:spacing w:after="60" w:before="60"/>
      </w:pPr>
      <w:r>
        <w:rPr>
          <w:rFonts w:ascii="Arial" w:cs="Arial" w:eastAsia="Arial" w:hAnsi="Arial"/>
          <w:color w:val="444444"/>
          <w:sz w:val="20"/>
          <w:szCs w:val="20"/>
        </w:rPr>
        <w:t xml:space="preserve">Be provided exclusively via approved, encrypted channels (corporate VPN or zero-trust network access solution).</w:t>
      </w:r>
    </w:p>
    <w:p>
      <w:pPr>
        <w:pStyle w:val="ListParagraph"/>
        <w:numPr>
          <w:ilvl w:val="0"/>
          <w:numId w:val="2"/>
        </w:numPr>
        <w:spacing w:after="60" w:before="60"/>
      </w:pPr>
      <w:r>
        <w:rPr>
          <w:rFonts w:ascii="Arial" w:cs="Arial" w:eastAsia="Arial" w:hAnsi="Arial"/>
          <w:color w:val="444444"/>
          <w:sz w:val="20"/>
          <w:szCs w:val="20"/>
        </w:rPr>
        <w:t xml:space="preserve">Require MFA at authentication.</w:t>
      </w:r>
    </w:p>
    <w:p>
      <w:pPr>
        <w:pStyle w:val="ListParagraph"/>
        <w:numPr>
          <w:ilvl w:val="0"/>
          <w:numId w:val="2"/>
        </w:numPr>
        <w:spacing w:after="60" w:before="60"/>
      </w:pPr>
      <w:r>
        <w:rPr>
          <w:rFonts w:ascii="Arial" w:cs="Arial" w:eastAsia="Arial" w:hAnsi="Arial"/>
          <w:color w:val="444444"/>
          <w:sz w:val="20"/>
          <w:szCs w:val="20"/>
        </w:rPr>
        <w:t xml:space="preserve">Be limited to company-managed or MDM-enrolled devices where Confidential or Restricted data is accessed.</w:t>
      </w:r>
    </w:p>
    <w:p>
      <w:pPr>
        <w:pStyle w:val="ListParagraph"/>
        <w:numPr>
          <w:ilvl w:val="0"/>
          <w:numId w:val="2"/>
        </w:numPr>
        <w:spacing w:after="60" w:before="60"/>
      </w:pPr>
      <w:r>
        <w:rPr>
          <w:rFonts w:ascii="Arial" w:cs="Arial" w:eastAsia="Arial" w:hAnsi="Arial"/>
          <w:color w:val="444444"/>
          <w:sz w:val="20"/>
          <w:szCs w:val="20"/>
        </w:rPr>
        <w:t xml:space="preserve">Terminate automatically after 30 minutes of inactivity.</w:t>
      </w:r>
    </w:p>
    <w:p>
      <w:pPr>
        <w:pStyle w:val="ListParagraph"/>
        <w:numPr>
          <w:ilvl w:val="0"/>
          <w:numId w:val="2"/>
        </w:numPr>
        <w:spacing w:after="60" w:before="60"/>
      </w:pPr>
      <w:r>
        <w:rPr>
          <w:rFonts w:ascii="Arial" w:cs="Arial" w:eastAsia="Arial" w:hAnsi="Arial"/>
          <w:color w:val="444444"/>
          <w:sz w:val="20"/>
          <w:szCs w:val="20"/>
        </w:rPr>
        <w:t xml:space="preserve">Be logged centrally; access logs reviewed monthly by the IT/Security Team.</w:t>
      </w:r>
    </w:p>
    <w:p>
      <w:pPr>
        <w:pStyle w:val="Heading1"/>
        <w:pBdr>
          <w:bottom w:val="single" w:color="2E5FA3" w:sz="6" w:space="1"/>
        </w:pBdr>
        <w:spacing w:after="120" w:before="320"/>
      </w:pPr>
      <w:r>
        <w:rPr>
          <w:rFonts w:ascii="Arial" w:cs="Arial" w:eastAsia="Arial" w:hAnsi="Arial"/>
          <w:b/>
          <w:bCs/>
          <w:color w:val="1F3864"/>
          <w:sz w:val="28"/>
          <w:szCs w:val="28"/>
        </w:rPr>
        <w:t xml:space="preserve">8.  Third-Party Access</w:t>
      </w:r>
    </w:p>
    <w:p>
      <w:pPr>
        <w:spacing w:after="80" w:before="80"/>
        <w:jc w:val="left"/>
      </w:pPr>
      <w:r>
        <w:rPr>
          <w:rFonts w:ascii="Arial" w:cs="Arial" w:eastAsia="Arial" w:hAnsi="Arial"/>
          <w:b w:val="false"/>
          <w:bCs w:val="false"/>
          <w:i w:val="false"/>
          <w:iCs w:val="false"/>
          <w:color w:val="444444"/>
          <w:sz w:val="20"/>
          <w:szCs w:val="20"/>
        </w:rPr>
        <w:t xml:space="preserve">Third-party and supplier access to Stark Industries systems shall:</w:t>
      </w:r>
    </w:p>
    <w:p>
      <w:pPr>
        <w:pStyle w:val="ListParagraph"/>
        <w:numPr>
          <w:ilvl w:val="0"/>
          <w:numId w:val="2"/>
        </w:numPr>
        <w:spacing w:after="60" w:before="60"/>
      </w:pPr>
      <w:r>
        <w:rPr>
          <w:rFonts w:ascii="Arial" w:cs="Arial" w:eastAsia="Arial" w:hAnsi="Arial"/>
          <w:color w:val="444444"/>
          <w:sz w:val="20"/>
          <w:szCs w:val="20"/>
        </w:rPr>
        <w:t xml:space="preserve">Be formally requested, scoped, and time-limited.</w:t>
      </w:r>
    </w:p>
    <w:p>
      <w:pPr>
        <w:pStyle w:val="ListParagraph"/>
        <w:numPr>
          <w:ilvl w:val="0"/>
          <w:numId w:val="2"/>
        </w:numPr>
        <w:spacing w:after="60" w:before="60"/>
      </w:pPr>
      <w:r>
        <w:rPr>
          <w:rFonts w:ascii="Arial" w:cs="Arial" w:eastAsia="Arial" w:hAnsi="Arial"/>
          <w:color w:val="444444"/>
          <w:sz w:val="20"/>
          <w:szCs w:val="20"/>
        </w:rPr>
        <w:t xml:space="preserve">Be governed by contractual security obligations (refer to Supplier Security Policy MS-ISMS-SUP-008).</w:t>
      </w:r>
    </w:p>
    <w:p>
      <w:pPr>
        <w:pStyle w:val="ListParagraph"/>
        <w:numPr>
          <w:ilvl w:val="0"/>
          <w:numId w:val="2"/>
        </w:numPr>
        <w:spacing w:after="60" w:before="60"/>
      </w:pPr>
      <w:r>
        <w:rPr>
          <w:rFonts w:ascii="Arial" w:cs="Arial" w:eastAsia="Arial" w:hAnsi="Arial"/>
          <w:color w:val="444444"/>
          <w:sz w:val="20"/>
          <w:szCs w:val="20"/>
        </w:rPr>
        <w:t xml:space="preserve">Require MFA regardless of access level.</w:t>
      </w:r>
    </w:p>
    <w:p>
      <w:pPr>
        <w:pStyle w:val="ListParagraph"/>
        <w:numPr>
          <w:ilvl w:val="0"/>
          <w:numId w:val="2"/>
        </w:numPr>
        <w:spacing w:after="60" w:before="60"/>
      </w:pPr>
      <w:r>
        <w:rPr>
          <w:rFonts w:ascii="Arial" w:cs="Arial" w:eastAsia="Arial" w:hAnsi="Arial"/>
          <w:color w:val="444444"/>
          <w:sz w:val="20"/>
          <w:szCs w:val="20"/>
        </w:rPr>
        <w:t xml:space="preserve">Be revoked immediately upon completion of the engagement or contract termination.</w:t>
      </w:r>
    </w:p>
    <w:p>
      <w:pPr>
        <w:pStyle w:val="ListParagraph"/>
        <w:numPr>
          <w:ilvl w:val="0"/>
          <w:numId w:val="2"/>
        </w:numPr>
        <w:spacing w:after="60" w:before="60"/>
      </w:pPr>
      <w:r>
        <w:rPr>
          <w:rFonts w:ascii="Arial" w:cs="Arial" w:eastAsia="Arial" w:hAnsi="Arial"/>
          <w:color w:val="444444"/>
          <w:sz w:val="20"/>
          <w:szCs w:val="20"/>
        </w:rPr>
        <w:t xml:space="preserve">Be monitored and audited on a quarterly basis by the IT/Security Team.</w:t>
      </w:r>
    </w:p>
    <w:p>
      <w:pPr>
        <w:pStyle w:val="Heading1"/>
        <w:pBdr>
          <w:bottom w:val="single" w:color="2E5FA3" w:sz="6" w:space="1"/>
        </w:pBdr>
        <w:spacing w:after="120" w:before="320"/>
      </w:pPr>
      <w:r>
        <w:rPr>
          <w:rFonts w:ascii="Arial" w:cs="Arial" w:eastAsia="Arial" w:hAnsi="Arial"/>
          <w:b/>
          <w:bCs/>
          <w:color w:val="1F3864"/>
          <w:sz w:val="28"/>
          <w:szCs w:val="28"/>
        </w:rPr>
        <w:t xml:space="preserve">9.  Access Reviews</w:t>
      </w:r>
    </w:p>
    <w:p>
      <w:pPr>
        <w:spacing w:after="80" w:before="80"/>
        <w:jc w:val="left"/>
      </w:pPr>
      <w:r>
        <w:rPr>
          <w:rFonts w:ascii="Arial" w:cs="Arial" w:eastAsia="Arial" w:hAnsi="Arial"/>
          <w:b w:val="false"/>
          <w:bCs w:val="false"/>
          <w:i w:val="false"/>
          <w:iCs w:val="false"/>
          <w:color w:val="444444"/>
          <w:sz w:val="20"/>
          <w:szCs w:val="20"/>
        </w:rPr>
        <w:t xml:space="preserve">Formal access reviews shall be conducted:</w:t>
      </w:r>
    </w:p>
    <w:p>
      <w:pPr>
        <w:pStyle w:val="ListParagraph"/>
        <w:numPr>
          <w:ilvl w:val="0"/>
          <w:numId w:val="2"/>
        </w:numPr>
        <w:spacing w:after="60" w:before="60"/>
      </w:pPr>
      <w:r>
        <w:rPr>
          <w:rFonts w:ascii="Arial" w:cs="Arial" w:eastAsia="Arial" w:hAnsi="Arial"/>
          <w:color w:val="444444"/>
          <w:sz w:val="20"/>
          <w:szCs w:val="20"/>
        </w:rPr>
        <w:t xml:space="preserve">Quarterly — for all privileged and administrative accounts.</w:t>
      </w:r>
    </w:p>
    <w:p>
      <w:pPr>
        <w:pStyle w:val="ListParagraph"/>
        <w:numPr>
          <w:ilvl w:val="0"/>
          <w:numId w:val="2"/>
        </w:numPr>
        <w:spacing w:after="60" w:before="60"/>
      </w:pPr>
      <w:r>
        <w:rPr>
          <w:rFonts w:ascii="Arial" w:cs="Arial" w:eastAsia="Arial" w:hAnsi="Arial"/>
          <w:color w:val="444444"/>
          <w:sz w:val="20"/>
          <w:szCs w:val="20"/>
        </w:rPr>
        <w:t xml:space="preserve">Semi-annually — for all Confidential and Restricted data access.</w:t>
      </w:r>
    </w:p>
    <w:p>
      <w:pPr>
        <w:pStyle w:val="ListParagraph"/>
        <w:numPr>
          <w:ilvl w:val="0"/>
          <w:numId w:val="2"/>
        </w:numPr>
        <w:spacing w:after="60" w:before="60"/>
      </w:pPr>
      <w:r>
        <w:rPr>
          <w:rFonts w:ascii="Arial" w:cs="Arial" w:eastAsia="Arial" w:hAnsi="Arial"/>
          <w:color w:val="444444"/>
          <w:sz w:val="20"/>
          <w:szCs w:val="20"/>
        </w:rPr>
        <w:t xml:space="preserve">Annually — for all standard user accounts across all systems.</w:t>
      </w:r>
    </w:p>
    <w:p>
      <w:pPr>
        <w:pStyle w:val="ListParagraph"/>
        <w:numPr>
          <w:ilvl w:val="0"/>
          <w:numId w:val="2"/>
        </w:numPr>
        <w:spacing w:after="60" w:before="60"/>
      </w:pPr>
      <w:r>
        <w:rPr>
          <w:rFonts w:ascii="Arial" w:cs="Arial" w:eastAsia="Arial" w:hAnsi="Arial"/>
          <w:color w:val="444444"/>
          <w:sz w:val="20"/>
          <w:szCs w:val="20"/>
        </w:rPr>
        <w:t xml:space="preserve">On role change or departure — as part of the provisioning / deprovisioning process.</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Access reviews shall be documented. Any access identified as excessive, inappropriate, or unexplained shall be revoked within five (5) business days of the review.</w:t>
      </w:r>
    </w:p>
    <w:p>
      <w:pPr>
        <w:pStyle w:val="Heading1"/>
        <w:pBdr>
          <w:bottom w:val="single" w:color="2E5FA3" w:sz="6" w:space="1"/>
        </w:pBdr>
        <w:spacing w:after="120" w:before="320"/>
      </w:pPr>
      <w:r>
        <w:rPr>
          <w:rFonts w:ascii="Arial" w:cs="Arial" w:eastAsia="Arial" w:hAnsi="Arial"/>
          <w:b/>
          <w:bCs/>
          <w:color w:val="1F3864"/>
          <w:sz w:val="28"/>
          <w:szCs w:val="28"/>
        </w:rPr>
        <w:t xml:space="preserve">10.  Logging and Monitoring</w:t>
      </w:r>
    </w:p>
    <w:p>
      <w:pPr>
        <w:spacing w:after="80" w:before="80"/>
        <w:jc w:val="left"/>
      </w:pPr>
      <w:r>
        <w:rPr>
          <w:rFonts w:ascii="Arial" w:cs="Arial" w:eastAsia="Arial" w:hAnsi="Arial"/>
          <w:b w:val="false"/>
          <w:bCs w:val="false"/>
          <w:i w:val="false"/>
          <w:iCs w:val="false"/>
          <w:color w:val="444444"/>
          <w:sz w:val="20"/>
          <w:szCs w:val="20"/>
        </w:rPr>
        <w:t xml:space="preserve">The following access events shall be logged and monitored:</w:t>
      </w:r>
    </w:p>
    <w:p>
      <w:pPr>
        <w:pStyle w:val="ListParagraph"/>
        <w:numPr>
          <w:ilvl w:val="0"/>
          <w:numId w:val="2"/>
        </w:numPr>
        <w:spacing w:after="60" w:before="60"/>
      </w:pPr>
      <w:r>
        <w:rPr>
          <w:rFonts w:ascii="Arial" w:cs="Arial" w:eastAsia="Arial" w:hAnsi="Arial"/>
          <w:color w:val="444444"/>
          <w:sz w:val="20"/>
          <w:szCs w:val="20"/>
        </w:rPr>
        <w:t xml:space="preserve">Successful and failed authentication attempts.</w:t>
      </w:r>
    </w:p>
    <w:p>
      <w:pPr>
        <w:pStyle w:val="ListParagraph"/>
        <w:numPr>
          <w:ilvl w:val="0"/>
          <w:numId w:val="2"/>
        </w:numPr>
        <w:spacing w:after="60" w:before="60"/>
      </w:pPr>
      <w:r>
        <w:rPr>
          <w:rFonts w:ascii="Arial" w:cs="Arial" w:eastAsia="Arial" w:hAnsi="Arial"/>
          <w:color w:val="444444"/>
          <w:sz w:val="20"/>
          <w:szCs w:val="20"/>
        </w:rPr>
        <w:t xml:space="preserve">Privileged account usage and administrative actions.</w:t>
      </w:r>
    </w:p>
    <w:p>
      <w:pPr>
        <w:pStyle w:val="ListParagraph"/>
        <w:numPr>
          <w:ilvl w:val="0"/>
          <w:numId w:val="2"/>
        </w:numPr>
        <w:spacing w:after="60" w:before="60"/>
      </w:pPr>
      <w:r>
        <w:rPr>
          <w:rFonts w:ascii="Arial" w:cs="Arial" w:eastAsia="Arial" w:hAnsi="Arial"/>
          <w:color w:val="444444"/>
          <w:sz w:val="20"/>
          <w:szCs w:val="20"/>
        </w:rPr>
        <w:t xml:space="preserve">Access to Restricted data assets.</w:t>
      </w:r>
    </w:p>
    <w:p>
      <w:pPr>
        <w:pStyle w:val="ListParagraph"/>
        <w:numPr>
          <w:ilvl w:val="0"/>
          <w:numId w:val="2"/>
        </w:numPr>
        <w:spacing w:after="60" w:before="60"/>
      </w:pPr>
      <w:r>
        <w:rPr>
          <w:rFonts w:ascii="Arial" w:cs="Arial" w:eastAsia="Arial" w:hAnsi="Arial"/>
          <w:color w:val="444444"/>
          <w:sz w:val="20"/>
          <w:szCs w:val="20"/>
        </w:rPr>
        <w:t xml:space="preserve">Remote access sessions (connection time, duration, source IP).</w:t>
      </w:r>
    </w:p>
    <w:p>
      <w:pPr>
        <w:pStyle w:val="ListParagraph"/>
        <w:numPr>
          <w:ilvl w:val="0"/>
          <w:numId w:val="2"/>
        </w:numPr>
        <w:spacing w:after="60" w:before="60"/>
      </w:pPr>
      <w:r>
        <w:rPr>
          <w:rFonts w:ascii="Arial" w:cs="Arial" w:eastAsia="Arial" w:hAnsi="Arial"/>
          <w:color w:val="444444"/>
          <w:sz w:val="20"/>
          <w:szCs w:val="20"/>
        </w:rPr>
        <w:t xml:space="preserve">Account creation, modification, and deletion events.</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Logs shall be retained for a minimum of 12 months and stored in a tamper-evident system. Anomalous access patterns shall trigger alerts routed to Michael's Security (MSSP) for investigation.</w:t>
      </w:r>
    </w:p>
    <w:p>
      <w:pPr>
        <w:pStyle w:val="Heading1"/>
        <w:pBdr>
          <w:bottom w:val="single" w:color="2E5FA3" w:sz="6" w:space="1"/>
        </w:pBdr>
        <w:spacing w:after="120" w:before="320"/>
      </w:pPr>
      <w:r>
        <w:rPr>
          <w:rFonts w:ascii="Arial" w:cs="Arial" w:eastAsia="Arial" w:hAnsi="Arial"/>
          <w:b/>
          <w:bCs/>
          <w:color w:val="1F3864"/>
          <w:sz w:val="28"/>
          <w:szCs w:val="28"/>
        </w:rPr>
        <w:t xml:space="preserve">11.  Policy Violations</w:t>
      </w:r>
    </w:p>
    <w:p>
      <w:pPr>
        <w:spacing w:after="80" w:before="80"/>
        <w:jc w:val="left"/>
      </w:pPr>
      <w:r>
        <w:rPr>
          <w:rFonts w:ascii="Arial" w:cs="Arial" w:eastAsia="Arial" w:hAnsi="Arial"/>
          <w:b w:val="false"/>
          <w:bCs w:val="false"/>
          <w:i w:val="false"/>
          <w:iCs w:val="false"/>
          <w:color w:val="444444"/>
          <w:sz w:val="20"/>
          <w:szCs w:val="20"/>
        </w:rPr>
        <w:t xml:space="preserve">Violations of this policy — including sharing credentials, bypassing access controls, or accessing systems beyond authorised scope — shall be treated as a serious information security incident. Consequences may include suspension of access, disciplinary action, or legal referral depending on severity.</w:t>
      </w:r>
    </w:p>
    <w:p>
      <w:pPr>
        <w:pStyle w:val="Heading1"/>
        <w:pBdr>
          <w:bottom w:val="single" w:color="2E5FA3" w:sz="6" w:space="1"/>
        </w:pBdr>
        <w:spacing w:after="120" w:before="320"/>
      </w:pPr>
      <w:r>
        <w:rPr>
          <w:rFonts w:ascii="Arial" w:cs="Arial" w:eastAsia="Arial" w:hAnsi="Arial"/>
          <w:b/>
          <w:bCs/>
          <w:color w:val="1F3864"/>
          <w:sz w:val="28"/>
          <w:szCs w:val="28"/>
        </w:rPr>
        <w:t xml:space="preserve">12.  Policy Review</w:t>
      </w:r>
    </w:p>
    <w:p>
      <w:pPr>
        <w:spacing w:after="80" w:before="80"/>
        <w:jc w:val="left"/>
      </w:pPr>
      <w:r>
        <w:rPr>
          <w:rFonts w:ascii="Arial" w:cs="Arial" w:eastAsia="Arial" w:hAnsi="Arial"/>
          <w:b w:val="false"/>
          <w:bCs w:val="false"/>
          <w:i w:val="false"/>
          <w:iCs w:val="false"/>
          <w:color w:val="444444"/>
          <w:sz w:val="20"/>
          <w:szCs w:val="20"/>
        </w:rPr>
        <w:t xml:space="preserve">This policy shall be reviewed annually or following a significant incident, system change, or audit finding. The CISO is responsible for maintaining this policy and communicating updates to all affected personnel.</w:t>
      </w:r>
    </w:p>
    <w:p>
      <w:pPr>
        <w:spacing w:after="0" w:before="200"/>
      </w:pPr>
      <w:r>
        <w:t xml:space="preserve"/>
      </w:r>
    </w:p>
    <w:p>
      <w:pPr>
        <w:spacing w:after="80" w:before="80"/>
        <w:jc w:val="center"/>
      </w:pPr>
      <w:r>
        <w:rPr>
          <w:rFonts w:ascii="Arial" w:cs="Arial" w:eastAsia="Arial" w:hAnsi="Arial"/>
          <w:b w:val="false"/>
          <w:bCs w:val="false"/>
          <w:i/>
          <w:iCs/>
          <w:color w:val="AAAAAA"/>
          <w:sz w:val="20"/>
          <w:szCs w:val="20"/>
        </w:rPr>
        <w:t xml:space="preserve">End of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888888"/>
        <w:sz w:val="16"/>
        <w:szCs w:val="16"/>
      </w:rPr>
      <w:t xml:space="preserve">Prepared by Michael's Security  |  ISO/IEC 27001:2022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before="0"/>
    </w:pPr>
    <w:r>
      <w:rPr>
        <w:rFonts w:ascii="Arial" w:cs="Arial" w:eastAsia="Arial" w:hAnsi="Arial"/>
        <w:b/>
        <w:bCs/>
        <w:color w:val="1F3864"/>
        <w:sz w:val="18"/>
        <w:szCs w:val="18"/>
      </w:rPr>
      <w:t xml:space="preserve">Stark Industries</w:t>
    </w:r>
    <w:r>
      <w:rPr>
        <w:rFonts w:ascii="Arial" w:cs="Arial" w:eastAsia="Arial" w:hAnsi="Arial"/>
        <w:color w:val="888888"/>
        <w:sz w:val="16"/>
        <w:szCs w:val="16"/>
      </w:rPr>
      <w:t xml:space="preserve">	Access Control Policy  |  MS-ISMS-ACP-006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2026-05-09T11:56:37.438Z</dcterms:created>
  <dcterms:modified xsi:type="dcterms:W3CDTF">2026-05-09T11:56:37.439Z</dcterms:modified>
</cp:coreProperties>
</file>

<file path=docProps/custom.xml><?xml version="1.0" encoding="utf-8"?>
<Properties xmlns="http://schemas.openxmlformats.org/officeDocument/2006/custom-properties" xmlns:vt="http://schemas.openxmlformats.org/officeDocument/2006/docPropsVTypes"/>
</file>