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pBdr>
          <w:top w:val="single" w:color="E8B84B" w:sz="24" w:space="0"/>
        </w:pBdr>
        <w:spacing w:after="0" w:before="0"/>
        <w:jc w:val="center"/>
      </w:pPr>
      <w:r>
        <w:rPr>
          <w:sz w:val="8"/>
          <w:szCs w:val="8"/>
        </w:rPr>
        <w:t xml:space="preserve"/>
      </w:r>
    </w:p>
    <w:p>
      <w:pPr>
        <w:spacing w:after="0" w:before="160"/>
      </w:pPr>
      <w:r>
        <w:t xml:space="preserve"/>
      </w:r>
    </w:p>
    <w:p>
      <w:pPr>
        <w:spacing w:after="60" w:before="0"/>
        <w:jc w:val="center"/>
      </w:pPr>
      <w:r>
        <w:rPr>
          <w:rFonts w:ascii="Arial" w:cs="Arial" w:eastAsia="Arial" w:hAnsi="Arial"/>
          <w:b/>
          <w:bCs/>
          <w:color w:val="1F3864"/>
          <w:sz w:val="60"/>
          <w:szCs w:val="60"/>
        </w:rPr>
        <w:t xml:space="preserve">STARK INDUSTRIES</w:t>
      </w:r>
    </w:p>
    <w:p>
      <w:pPr>
        <w:spacing w:after="60" w:before="0"/>
        <w:jc w:val="center"/>
      </w:pPr>
      <w:r>
        <w:rPr>
          <w:rFonts w:ascii="Arial" w:cs="Arial" w:eastAsia="Arial" w:hAnsi="Arial"/>
          <w:b/>
          <w:bCs/>
          <w:color w:val="2E5FA3"/>
          <w:sz w:val="40"/>
          <w:szCs w:val="40"/>
        </w:rPr>
        <w:t xml:space="preserve">Supplier Security Policy</w:t>
      </w:r>
    </w:p>
    <w:p>
      <w:pPr>
        <w:pBdr>
          <w:bottom w:val="single" w:color="E8B84B" w:sz="24" w:space="0"/>
        </w:pBdr>
        <w:spacing w:after="0" w:before="0"/>
        <w:jc w:val="center"/>
      </w:pPr>
      <w:r>
        <w:rPr>
          <w:sz w:val="8"/>
          <w:szCs w:val="8"/>
        </w:rPr>
        <w:t xml:space="preserve"/>
      </w:r>
    </w:p>
    <w:p>
      <w:pPr>
        <w:spacing w:after="0" w:before="140"/>
      </w:pPr>
      <w:r>
        <w:t xml:space="preserve"/>
      </w:r>
    </w:p>
    <w:p>
      <w:pPr>
        <w:jc w:val="center"/>
      </w:pPr>
      <w:r>
        <w:rPr>
          <w:rFonts w:ascii="Arial" w:cs="Arial" w:eastAsia="Arial" w:hAnsi="Arial"/>
          <w:i/>
          <w:iCs/>
          <w:color w:val="777777"/>
          <w:sz w:val="19"/>
          <w:szCs w:val="19"/>
        </w:rPr>
        <w:t xml:space="preserve">ISO/IEC 27001:2022  •  MS-ISMS-SUP-008  •  Version 1.0  •  May 2026</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Title</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Supplier Security Policy</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ID</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MS-ISMS-SUP-008</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Version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1.0</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Owner</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Stark Industries</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Prepared by</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Michael's Security</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Standard</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ISO/IEC 27001:2022</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Annex A Controls</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5.19, 5.20, 5.21, 5.22</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Applicable Regulation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Kenya Data Protection Act 2019</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Classification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Internal</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Effective Date</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2026</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Next Review</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2027</w:t>
            </w:r>
          </w:p>
        </w:tc>
      </w:tr>
    </w:tbl>
    <w:p>
      <w:pPr>
        <w:spacing w:after="0" w:before="360"/>
      </w:pPr>
      <w:r>
        <w:t xml:space="preserve"/>
      </w:r>
    </w:p>
    <w:p>
      <w:pPr>
        <w:pBdr>
          <w:top w:val="single" w:color="2E5FA3" w:sz="4" w:space="6"/>
        </w:pBdr>
        <w:spacing w:after="0" w:before="120"/>
        <w:jc w:val="center"/>
      </w:pPr>
      <w:r>
        <w:rPr>
          <w:rFonts w:ascii="Arial" w:cs="Arial" w:eastAsia="Arial" w:hAnsi="Arial"/>
          <w:i/>
          <w:iCs/>
          <w:color w:val="888888"/>
          <w:sz w:val="18"/>
          <w:szCs w:val="18"/>
        </w:rPr>
        <w:t xml:space="preserve">Prepared by Michael's Security  •  Managed Security Services</w:t>
      </w:r>
    </w:p>
    <w:p>
      <w:pPr>
        <w:sectPr>
          <w:pgSz w:w="12240" w:h="15840" w:orient="portrait"/>
          <w:pgMar w:top="1440" w:right="1440" w:bottom="1440" w:left="1440" w:header="708" w:footer="708" w:gutter="0"/>
          <w:pgNumType/>
          <w:docGrid w:linePitch="360"/>
        </w:sectPr>
      </w:pPr>
    </w:p>
    <w:p>
      <w:pPr>
        <w:pStyle w:val="Heading1"/>
        <w:pBdr>
          <w:bottom w:val="single" w:color="2E5FA3" w:sz="6" w:space="1"/>
        </w:pBdr>
        <w:spacing w:after="120" w:before="320"/>
      </w:pPr>
      <w:r>
        <w:rPr>
          <w:rFonts w:ascii="Arial" w:cs="Arial" w:eastAsia="Arial" w:hAnsi="Arial"/>
          <w:b/>
          <w:bCs/>
          <w:color w:val="1F3864"/>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Version</w:t>
            </w:r>
          </w:p>
        </w:tc>
        <w:tc>
          <w:tcPr>
            <w:tcW w:type="dxa" w:w="1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Author</w:t>
            </w:r>
          </w:p>
        </w:tc>
        <w:tc>
          <w:tcPr>
            <w:tcW w:type="dxa" w:w="312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Changes</w:t>
            </w:r>
          </w:p>
        </w:tc>
      </w:tr>
      <w:tr>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1.0</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2026</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Michael's Security</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Initial release</w:t>
            </w:r>
          </w:p>
        </w:tc>
      </w:tr>
    </w:tbl>
    <w:p>
      <w:pPr>
        <w:spacing w:after="0" w:before="160"/>
      </w:pPr>
      <w:r>
        <w:t xml:space="preserve"/>
      </w:r>
    </w:p>
    <w:p>
      <w:pPr>
        <w:pStyle w:val="Heading1"/>
        <w:pBdr>
          <w:bottom w:val="single" w:color="2E5FA3" w:sz="6" w:space="1"/>
        </w:pBdr>
        <w:spacing w:after="120" w:before="320"/>
      </w:pPr>
      <w:r>
        <w:rPr>
          <w:rFonts w:ascii="Arial" w:cs="Arial" w:eastAsia="Arial" w:hAnsi="Arial"/>
          <w:b/>
          <w:bCs/>
          <w:color w:val="1F3864"/>
          <w:sz w:val="28"/>
          <w:szCs w:val="28"/>
        </w:rPr>
        <w:t xml:space="preserve">1.  Purpose</w:t>
      </w:r>
    </w:p>
    <w:p>
      <w:pPr>
        <w:spacing w:after="80" w:before="80"/>
        <w:jc w:val="left"/>
      </w:pPr>
      <w:r>
        <w:rPr>
          <w:rFonts w:ascii="Arial" w:cs="Arial" w:eastAsia="Arial" w:hAnsi="Arial"/>
          <w:b w:val="false"/>
          <w:bCs w:val="false"/>
          <w:i w:val="false"/>
          <w:iCs w:val="false"/>
          <w:color w:val="444444"/>
          <w:sz w:val="20"/>
          <w:szCs w:val="20"/>
        </w:rPr>
        <w:t xml:space="preserve">This Supplier Security Policy establishes the requirements for managing information security risks arising from Stark Industries' relationships with third-party suppliers, vendors, and service providers. It ensures that suppliers who access, process, store, or transmit Stark Industries information assets are subject to appropriate security controls, aligned with ISO/IEC 27001:2022 Annex A controls 5.19 to 5.22 and the Kenya Data Protection Act 2019.</w:t>
      </w:r>
    </w:p>
    <w:p>
      <w:pPr>
        <w:pStyle w:val="Heading1"/>
        <w:pBdr>
          <w:bottom w:val="single" w:color="2E5FA3" w:sz="6" w:space="1"/>
        </w:pBdr>
        <w:spacing w:after="120" w:before="320"/>
      </w:pPr>
      <w:r>
        <w:rPr>
          <w:rFonts w:ascii="Arial" w:cs="Arial" w:eastAsia="Arial" w:hAnsi="Arial"/>
          <w:b/>
          <w:bCs/>
          <w:color w:val="1F3864"/>
          <w:sz w:val="28"/>
          <w:szCs w:val="28"/>
        </w:rPr>
        <w:t xml:space="preserve">2.  Scope</w:t>
      </w:r>
    </w:p>
    <w:p>
      <w:pPr>
        <w:spacing w:after="80" w:before="80"/>
        <w:jc w:val="left"/>
      </w:pPr>
      <w:r>
        <w:rPr>
          <w:rFonts w:ascii="Arial" w:cs="Arial" w:eastAsia="Arial" w:hAnsi="Arial"/>
          <w:b w:val="false"/>
          <w:bCs w:val="false"/>
          <w:i w:val="false"/>
          <w:iCs w:val="false"/>
          <w:color w:val="444444"/>
          <w:sz w:val="20"/>
          <w:szCs w:val="20"/>
        </w:rPr>
        <w:t xml:space="preserve">This policy applies to:</w:t>
      </w:r>
    </w:p>
    <w:p>
      <w:pPr>
        <w:pStyle w:val="ListParagraph"/>
        <w:numPr>
          <w:ilvl w:val="0"/>
          <w:numId w:val="2"/>
        </w:numPr>
        <w:spacing w:after="60" w:before="60"/>
      </w:pPr>
      <w:r>
        <w:rPr>
          <w:rFonts w:ascii="Arial" w:cs="Arial" w:eastAsia="Arial" w:hAnsi="Arial"/>
          <w:color w:val="444444"/>
          <w:sz w:val="20"/>
          <w:szCs w:val="20"/>
        </w:rPr>
        <w:t xml:space="preserve">All third-party suppliers, vendors, contractors, and managed service providers that access Stark Industries systems, networks, or data.</w:t>
      </w:r>
    </w:p>
    <w:p>
      <w:pPr>
        <w:pStyle w:val="ListParagraph"/>
        <w:numPr>
          <w:ilvl w:val="0"/>
          <w:numId w:val="2"/>
        </w:numPr>
        <w:spacing w:after="60" w:before="60"/>
      </w:pPr>
      <w:r>
        <w:rPr>
          <w:rFonts w:ascii="Arial" w:cs="Arial" w:eastAsia="Arial" w:hAnsi="Arial"/>
          <w:color w:val="444444"/>
          <w:sz w:val="20"/>
          <w:szCs w:val="20"/>
        </w:rPr>
        <w:t xml:space="preserve">All procurement and contract management activities involving information systems or data.</w:t>
      </w:r>
    </w:p>
    <w:p>
      <w:pPr>
        <w:pStyle w:val="ListParagraph"/>
        <w:numPr>
          <w:ilvl w:val="0"/>
          <w:numId w:val="2"/>
        </w:numPr>
        <w:spacing w:after="60" w:before="60"/>
      </w:pPr>
      <w:r>
        <w:rPr>
          <w:rFonts w:ascii="Arial" w:cs="Arial" w:eastAsia="Arial" w:hAnsi="Arial"/>
          <w:color w:val="444444"/>
          <w:sz w:val="20"/>
          <w:szCs w:val="20"/>
        </w:rPr>
        <w:t xml:space="preserve">Sub-processors and fourth parties engaged by Tier 1 and Tier 2 suppliers.</w:t>
      </w:r>
    </w:p>
    <w:p>
      <w:pPr>
        <w:pStyle w:val="ListParagraph"/>
        <w:numPr>
          <w:ilvl w:val="0"/>
          <w:numId w:val="2"/>
        </w:numPr>
        <w:spacing w:after="60" w:before="60"/>
      </w:pPr>
      <w:r>
        <w:rPr>
          <w:rFonts w:ascii="Arial" w:cs="Arial" w:eastAsia="Arial" w:hAnsi="Arial"/>
          <w:color w:val="444444"/>
          <w:sz w:val="20"/>
          <w:szCs w:val="20"/>
        </w:rPr>
        <w:t xml:space="preserve">Michael's Security as the appointed MSSP — governed by a separate service agreement incorporating the requirements of this policy.</w:t>
      </w:r>
    </w:p>
    <w:p>
      <w:pPr>
        <w:pStyle w:val="Heading1"/>
        <w:pBdr>
          <w:bottom w:val="single" w:color="2E5FA3" w:sz="6" w:space="1"/>
        </w:pBdr>
        <w:spacing w:after="120" w:before="320"/>
      </w:pPr>
      <w:r>
        <w:rPr>
          <w:rFonts w:ascii="Arial" w:cs="Arial" w:eastAsia="Arial" w:hAnsi="Arial"/>
          <w:b/>
          <w:bCs/>
          <w:color w:val="1F3864"/>
          <w:sz w:val="28"/>
          <w:szCs w:val="28"/>
        </w:rPr>
        <w:t xml:space="preserve">3.  Supplier Risk Classification</w:t>
      </w:r>
    </w:p>
    <w:p>
      <w:pPr>
        <w:spacing w:after="80" w:before="80"/>
        <w:jc w:val="left"/>
      </w:pPr>
      <w:r>
        <w:rPr>
          <w:rFonts w:ascii="Arial" w:cs="Arial" w:eastAsia="Arial" w:hAnsi="Arial"/>
          <w:b w:val="false"/>
          <w:bCs w:val="false"/>
          <w:i w:val="false"/>
          <w:iCs w:val="false"/>
          <w:color w:val="444444"/>
          <w:sz w:val="20"/>
          <w:szCs w:val="20"/>
        </w:rPr>
        <w:t xml:space="preserve">All suppliers shall be classified into risk tiers based on the nature and sensitivity of their access to Stark Industries information assets: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2560"/>
      </w:tblGrid>
      <w:tr>
        <w:tc>
          <w:tcPr>
            <w:tcW w:type="dxa" w:w="1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Tier</w:t>
            </w:r>
          </w:p>
        </w:tc>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Supplier Type</w:t>
            </w:r>
          </w:p>
        </w:tc>
        <w:tc>
          <w:tcPr>
            <w:tcW w:type="dxa" w:w="3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Definition</w:t>
            </w:r>
          </w:p>
        </w:tc>
        <w:tc>
          <w:tcPr>
            <w:tcW w:type="dxa" w:w="2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Review Frequency</w:t>
            </w:r>
          </w:p>
        </w:tc>
      </w:tr>
      <w:tr>
        <w:tc>
          <w:tcPr>
            <w:tcW w:type="dxa" w:w="1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Tier 1 — Critical</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Cloud IaaS/SaaS, MSSP, Payment processors</w:t>
            </w:r>
          </w:p>
        </w:tc>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Direct access to Restricted or Confidential data; hosts critical systems</w:t>
            </w:r>
          </w:p>
        </w:tc>
        <w:tc>
          <w:tcPr>
            <w:tcW w:type="dxa" w:w="2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Annually + on contract renewal</w:t>
            </w:r>
          </w:p>
        </w:tc>
      </w:tr>
      <w:tr>
        <w:tc>
          <w:tcPr>
            <w:tcW w:type="dxa" w:w="1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Tier 2 — High</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IT hardware/software vendors, HR platforms</w:t>
            </w:r>
          </w:p>
        </w:tc>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Access to Internal data; significant operational dependency</w:t>
            </w:r>
          </w:p>
        </w:tc>
        <w:tc>
          <w:tcPr>
            <w:tcW w:type="dxa" w:w="2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Annually</w:t>
            </w:r>
          </w:p>
        </w:tc>
      </w:tr>
      <w:tr>
        <w:tc>
          <w:tcPr>
            <w:tcW w:type="dxa" w:w="1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Tier 3 — Standard</w:t>
            </w:r>
          </w:p>
        </w:tc>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Facilities, logistics, non-IT service providers</w:t>
            </w:r>
          </w:p>
        </w:tc>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No direct system access; limited data exposure</w:t>
            </w:r>
          </w:p>
        </w:tc>
        <w:tc>
          <w:tcPr>
            <w:tcW w:type="dxa" w:w="2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Every 2 years or on significant change</w:t>
            </w:r>
          </w:p>
        </w:tc>
      </w:tr>
    </w:tbl>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Tier classification shall be determined by the IT/Security Team in consultation with the CISO and Procurement Manager at the point of onboarding, and reviewed on each contract renewal.</w:t>
      </w:r>
    </w:p>
    <w:p>
      <w:pPr>
        <w:pStyle w:val="Heading1"/>
        <w:pBdr>
          <w:bottom w:val="single" w:color="2E5FA3" w:sz="6" w:space="1"/>
        </w:pBdr>
        <w:spacing w:after="120" w:before="320"/>
      </w:pPr>
      <w:r>
        <w:rPr>
          <w:rFonts w:ascii="Arial" w:cs="Arial" w:eastAsia="Arial" w:hAnsi="Arial"/>
          <w:b/>
          <w:bCs/>
          <w:color w:val="1F3864"/>
          <w:sz w:val="28"/>
          <w:szCs w:val="28"/>
        </w:rPr>
        <w:t xml:space="preserve">4.  Supplier Onboarding — Security Assessment</w:t>
      </w:r>
    </w:p>
    <w:p>
      <w:pPr>
        <w:spacing w:after="80" w:before="80"/>
        <w:jc w:val="left"/>
      </w:pPr>
      <w:r>
        <w:rPr>
          <w:rFonts w:ascii="Arial" w:cs="Arial" w:eastAsia="Arial" w:hAnsi="Arial"/>
          <w:b w:val="false"/>
          <w:bCs w:val="false"/>
          <w:i w:val="false"/>
          <w:iCs w:val="false"/>
          <w:color w:val="444444"/>
          <w:sz w:val="20"/>
          <w:szCs w:val="20"/>
        </w:rPr>
        <w:t xml:space="preserve">No supplier shall be granted access to Stark Industries systems or data until the onboarding security assessment has been completed and approved. Assessment requirements by tier: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Assessment Requirement</w:t>
            </w:r>
          </w:p>
        </w:tc>
        <w:tc>
          <w:tcPr>
            <w:tcW w:type="dxa" w:w="23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Tier 1</w:t>
            </w:r>
          </w:p>
        </w:tc>
        <w:tc>
          <w:tcPr>
            <w:tcW w:type="dxa" w:w="23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Tier 2/3</w:t>
            </w:r>
          </w:p>
        </w:tc>
      </w:tr>
      <w:tr>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Completion of Stark Industries Supplier Security Questionnaire</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Mandatory</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Mandatory</w:t>
            </w:r>
          </w:p>
        </w:tc>
      </w:tr>
      <w:tr>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Evidence of ISO/IEC 27001 certification or equivalent</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Required</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Preferred</w:t>
            </w:r>
          </w:p>
        </w:tc>
      </w:tr>
      <w:tr>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Review of supplier's own information security policy</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Required</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Required</w:t>
            </w:r>
          </w:p>
        </w:tc>
      </w:tr>
      <w:tr>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Data Processing Agreement (DPA) under KDPA 2019</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Required (if personal data processed)</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Required (if personal data processed)</w:t>
            </w:r>
          </w:p>
        </w:tc>
      </w:tr>
      <w:tr>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Sub-processor / fourth-party disclosure</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Required</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Required</w:t>
            </w:r>
          </w:p>
        </w:tc>
      </w:tr>
      <w:tr>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Right-to-audit clause in contract</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Required</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Recommended</w:t>
            </w:r>
          </w:p>
        </w:tc>
      </w:tr>
      <w:tr>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Penetration test report (last 12 months)</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Required</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On request</w:t>
            </w:r>
          </w:p>
        </w:tc>
      </w:tr>
      <w:tr>
        <w:tc>
          <w:tcPr>
            <w:tcW w:type="dxa" w:w="468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Business continuity / disaster recovery capability evidence</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Required</w:t>
            </w:r>
          </w:p>
        </w:tc>
        <w:tc>
          <w:tcPr>
            <w:tcW w:type="dxa" w:w="234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Preferred</w:t>
            </w:r>
          </w:p>
        </w:tc>
      </w:tr>
    </w:tbl>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Assessment outcomes shall be documented and stored in the Supplier Security Register. Where a supplier fails to meet minimum requirements, engagement shall be deferred until deficiencies are remediated, or risk-accepted in writing by the CISO.</w:t>
      </w:r>
    </w:p>
    <w:p>
      <w:pPr>
        <w:pStyle w:val="Heading1"/>
        <w:pBdr>
          <w:bottom w:val="single" w:color="2E5FA3" w:sz="6" w:space="1"/>
        </w:pBdr>
        <w:spacing w:after="120" w:before="320"/>
      </w:pPr>
      <w:r>
        <w:rPr>
          <w:rFonts w:ascii="Arial" w:cs="Arial" w:eastAsia="Arial" w:hAnsi="Arial"/>
          <w:b/>
          <w:bCs/>
          <w:color w:val="1F3864"/>
          <w:sz w:val="28"/>
          <w:szCs w:val="28"/>
        </w:rPr>
        <w:t xml:space="preserve">5.  Contractual Security Requirements</w:t>
      </w:r>
    </w:p>
    <w:p>
      <w:pPr>
        <w:spacing w:after="80" w:before="80"/>
        <w:jc w:val="left"/>
      </w:pPr>
      <w:r>
        <w:rPr>
          <w:rFonts w:ascii="Arial" w:cs="Arial" w:eastAsia="Arial" w:hAnsi="Arial"/>
          <w:b w:val="false"/>
          <w:bCs w:val="false"/>
          <w:i w:val="false"/>
          <w:iCs w:val="false"/>
          <w:color w:val="444444"/>
          <w:sz w:val="20"/>
          <w:szCs w:val="20"/>
        </w:rPr>
        <w:t xml:space="preserve">All supplier contracts involving access to Stark Industries information assets shall incorporate the following minimum security clauses: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Contractual Clause</w:t>
            </w:r>
          </w:p>
        </w:tc>
        <w:tc>
          <w:tcPr>
            <w:tcW w:type="dxa" w:w="6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Requirement</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Data Protection</w:t>
            </w:r>
          </w:p>
        </w:tc>
        <w:tc>
          <w:tcPr>
            <w:tcW w:type="dxa" w:w="6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Supplier shall comply with KDPA 2019 and process personal data only as instructed by Stark Industries. A signed DPA is required where personal data is processed.</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Confidentiality</w:t>
            </w:r>
          </w:p>
        </w:tc>
        <w:tc>
          <w:tcPr>
            <w:tcW w:type="dxa" w:w="6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Supplier personnel shall sign NDAs. Confidential information shall not be disclosed to third parties without written consent.</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Security Standards</w:t>
            </w:r>
          </w:p>
        </w:tc>
        <w:tc>
          <w:tcPr>
            <w:tcW w:type="dxa" w:w="6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Supplier shall maintain security controls aligned with ISO/IEC 27001 or equivalent. Certification evidence shall be provided annually.</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Incident Notification</w:t>
            </w:r>
          </w:p>
        </w:tc>
        <w:tc>
          <w:tcPr>
            <w:tcW w:type="dxa" w:w="6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Supplier shall notify Stark Industries of any security incident affecting Stark Industries data within 24 hours of discovery.</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Sub-contracting</w:t>
            </w:r>
          </w:p>
        </w:tc>
        <w:tc>
          <w:tcPr>
            <w:tcW w:type="dxa" w:w="6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Supplier shall not sub-contract work involving Stark Industries data without prior written approval. Approved sub-processors must meet equivalent security standards.</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Right to Audit</w:t>
            </w:r>
          </w:p>
        </w:tc>
        <w:tc>
          <w:tcPr>
            <w:tcW w:type="dxa" w:w="6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Stark Industries (or appointed auditor) reserves the right to audit supplier security controls with 30 days' written notice. Tier 1 suppliers are subject to annual audit rights.</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Access Termination</w:t>
            </w:r>
          </w:p>
        </w:tc>
        <w:tc>
          <w:tcPr>
            <w:tcW w:type="dxa" w:w="6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Upon contract termination, supplier shall return or securely destroy all Stark Industries data within 30 days and provide written confirmation.</w:t>
            </w:r>
          </w:p>
        </w:tc>
      </w:tr>
      <w:tr>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Regulatory Changes</w:t>
            </w:r>
          </w:p>
        </w:tc>
        <w:tc>
          <w:tcPr>
            <w:tcW w:type="dxa" w:w="6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Supplier shall notify Stark Industries of any changes to their regulatory or certification status within 10 business days.</w:t>
            </w:r>
          </w:p>
        </w:tc>
      </w:tr>
    </w:tbl>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Contracts shall be reviewed by Legal Counsel and the CISO before execution. Non-standard terms or deviations from the above must be approved in writing by the CISO.</w:t>
      </w:r>
    </w:p>
    <w:p>
      <w:pPr>
        <w:pStyle w:val="Heading1"/>
        <w:pBdr>
          <w:bottom w:val="single" w:color="2E5FA3" w:sz="6" w:space="1"/>
        </w:pBdr>
        <w:spacing w:after="120" w:before="320"/>
      </w:pPr>
      <w:r>
        <w:rPr>
          <w:rFonts w:ascii="Arial" w:cs="Arial" w:eastAsia="Arial" w:hAnsi="Arial"/>
          <w:b/>
          <w:bCs/>
          <w:color w:val="1F3864"/>
          <w:sz w:val="28"/>
          <w:szCs w:val="28"/>
        </w:rPr>
        <w:t xml:space="preserve">6.  Third-Party Access Controls</w:t>
      </w:r>
    </w:p>
    <w:p>
      <w:pPr>
        <w:spacing w:after="80" w:before="80"/>
        <w:jc w:val="left"/>
      </w:pPr>
      <w:r>
        <w:rPr>
          <w:rFonts w:ascii="Arial" w:cs="Arial" w:eastAsia="Arial" w:hAnsi="Arial"/>
          <w:b w:val="false"/>
          <w:bCs w:val="false"/>
          <w:i w:val="false"/>
          <w:iCs w:val="false"/>
          <w:color w:val="444444"/>
          <w:sz w:val="20"/>
          <w:szCs w:val="20"/>
        </w:rPr>
        <w:t xml:space="preserve">Supplier access to Stark Industries systems shall be controlled as follows:</w:t>
      </w:r>
    </w:p>
    <w:p>
      <w:pPr>
        <w:pStyle w:val="ListParagraph"/>
        <w:numPr>
          <w:ilvl w:val="0"/>
          <w:numId w:val="2"/>
        </w:numPr>
        <w:spacing w:after="60" w:before="60"/>
      </w:pPr>
      <w:r>
        <w:rPr>
          <w:rFonts w:ascii="Arial" w:cs="Arial" w:eastAsia="Arial" w:hAnsi="Arial"/>
          <w:color w:val="444444"/>
          <w:sz w:val="20"/>
          <w:szCs w:val="20"/>
        </w:rPr>
        <w:t xml:space="preserve">Access shall be provisioned only for the duration required and scoped to the minimum necessary systems and data (least privilege).</w:t>
      </w:r>
    </w:p>
    <w:p>
      <w:pPr>
        <w:pStyle w:val="ListParagraph"/>
        <w:numPr>
          <w:ilvl w:val="0"/>
          <w:numId w:val="2"/>
        </w:numPr>
        <w:spacing w:after="60" w:before="60"/>
      </w:pPr>
      <w:r>
        <w:rPr>
          <w:rFonts w:ascii="Arial" w:cs="Arial" w:eastAsia="Arial" w:hAnsi="Arial"/>
          <w:color w:val="444444"/>
          <w:sz w:val="20"/>
          <w:szCs w:val="20"/>
        </w:rPr>
        <w:t xml:space="preserve">All supplier accounts shall require Multi-Factor Authentication (MFA) regardless of tier.</w:t>
      </w:r>
    </w:p>
    <w:p>
      <w:pPr>
        <w:pStyle w:val="ListParagraph"/>
        <w:numPr>
          <w:ilvl w:val="0"/>
          <w:numId w:val="2"/>
        </w:numPr>
        <w:spacing w:after="60" w:before="60"/>
      </w:pPr>
      <w:r>
        <w:rPr>
          <w:rFonts w:ascii="Arial" w:cs="Arial" w:eastAsia="Arial" w:hAnsi="Arial"/>
          <w:color w:val="444444"/>
          <w:sz w:val="20"/>
          <w:szCs w:val="20"/>
        </w:rPr>
        <w:t xml:space="preserve">Supplier access shall be provisioned through a named account — no shared or generic credentials.</w:t>
      </w:r>
    </w:p>
    <w:p>
      <w:pPr>
        <w:pStyle w:val="ListParagraph"/>
        <w:numPr>
          <w:ilvl w:val="0"/>
          <w:numId w:val="2"/>
        </w:numPr>
        <w:spacing w:after="60" w:before="60"/>
      </w:pPr>
      <w:r>
        <w:rPr>
          <w:rFonts w:ascii="Arial" w:cs="Arial" w:eastAsia="Arial" w:hAnsi="Arial"/>
          <w:color w:val="444444"/>
          <w:sz w:val="20"/>
          <w:szCs w:val="20"/>
        </w:rPr>
        <w:t xml:space="preserve">Remote access shall be via approved, encrypted channels (corporate VPN or ZTNA solution) only.</w:t>
      </w:r>
    </w:p>
    <w:p>
      <w:pPr>
        <w:pStyle w:val="ListParagraph"/>
        <w:numPr>
          <w:ilvl w:val="0"/>
          <w:numId w:val="2"/>
        </w:numPr>
        <w:spacing w:after="60" w:before="60"/>
      </w:pPr>
      <w:r>
        <w:rPr>
          <w:rFonts w:ascii="Arial" w:cs="Arial" w:eastAsia="Arial" w:hAnsi="Arial"/>
          <w:color w:val="444444"/>
          <w:sz w:val="20"/>
          <w:szCs w:val="20"/>
        </w:rPr>
        <w:t xml:space="preserve">Supplier access sessions shall be logged and retained for a minimum of 12 months.</w:t>
      </w:r>
    </w:p>
    <w:p>
      <w:pPr>
        <w:pStyle w:val="ListParagraph"/>
        <w:numPr>
          <w:ilvl w:val="0"/>
          <w:numId w:val="2"/>
        </w:numPr>
        <w:spacing w:after="60" w:before="60"/>
      </w:pPr>
      <w:r>
        <w:rPr>
          <w:rFonts w:ascii="Arial" w:cs="Arial" w:eastAsia="Arial" w:hAnsi="Arial"/>
          <w:color w:val="444444"/>
          <w:sz w:val="20"/>
          <w:szCs w:val="20"/>
        </w:rPr>
        <w:t xml:space="preserve">Privileged supplier access (Tier 1) shall be reviewed quarterly and managed through the PAM process (refer to MS-ISMS-ACP-006).</w:t>
      </w:r>
    </w:p>
    <w:p>
      <w:pPr>
        <w:pStyle w:val="ListParagraph"/>
        <w:numPr>
          <w:ilvl w:val="0"/>
          <w:numId w:val="2"/>
        </w:numPr>
        <w:spacing w:after="60" w:before="60"/>
      </w:pPr>
      <w:r>
        <w:rPr>
          <w:rFonts w:ascii="Arial" w:cs="Arial" w:eastAsia="Arial" w:hAnsi="Arial"/>
          <w:color w:val="444444"/>
          <w:sz w:val="20"/>
          <w:szCs w:val="20"/>
        </w:rPr>
        <w:t xml:space="preserve">All supplier access shall be immediately revoked upon contract termination or incident involving the supplier.</w:t>
      </w:r>
    </w:p>
    <w:p>
      <w:pPr>
        <w:pStyle w:val="Heading1"/>
        <w:pBdr>
          <w:bottom w:val="single" w:color="2E5FA3" w:sz="6" w:space="1"/>
        </w:pBdr>
        <w:spacing w:after="120" w:before="320"/>
      </w:pPr>
      <w:r>
        <w:rPr>
          <w:rFonts w:ascii="Arial" w:cs="Arial" w:eastAsia="Arial" w:hAnsi="Arial"/>
          <w:b/>
          <w:bCs/>
          <w:color w:val="1F3864"/>
          <w:sz w:val="28"/>
          <w:szCs w:val="28"/>
        </w:rPr>
        <w:t xml:space="preserve">7.  Ongoing Supplier Monitoring</w:t>
      </w:r>
    </w:p>
    <w:p>
      <w:pPr>
        <w:spacing w:after="80" w:before="80"/>
        <w:jc w:val="left"/>
      </w:pPr>
      <w:r>
        <w:rPr>
          <w:rFonts w:ascii="Arial" w:cs="Arial" w:eastAsia="Arial" w:hAnsi="Arial"/>
          <w:b w:val="false"/>
          <w:bCs w:val="false"/>
          <w:i w:val="false"/>
          <w:iCs w:val="false"/>
          <w:color w:val="444444"/>
          <w:sz w:val="20"/>
          <w:szCs w:val="20"/>
        </w:rPr>
        <w:t xml:space="preserve">Stark Industries shall conduct ongoing monitoring of supplier security performance throughout the contract lifecycle:</w:t>
      </w:r>
    </w:p>
    <w:p>
      <w:pPr>
        <w:pStyle w:val="ListParagraph"/>
        <w:numPr>
          <w:ilvl w:val="0"/>
          <w:numId w:val="2"/>
        </w:numPr>
        <w:spacing w:after="60" w:before="60"/>
      </w:pPr>
      <w:r>
        <w:rPr>
          <w:rFonts w:ascii="Arial" w:cs="Arial" w:eastAsia="Arial" w:hAnsi="Arial"/>
          <w:color w:val="444444"/>
          <w:sz w:val="20"/>
          <w:szCs w:val="20"/>
        </w:rPr>
        <w:t xml:space="preserve">Annual security review for Tier 1 and Tier 2 suppliers — including review of updated security questionnaire, certification evidence, and incident history.</w:t>
      </w:r>
    </w:p>
    <w:p>
      <w:pPr>
        <w:pStyle w:val="ListParagraph"/>
        <w:numPr>
          <w:ilvl w:val="0"/>
          <w:numId w:val="2"/>
        </w:numPr>
        <w:spacing w:after="60" w:before="60"/>
      </w:pPr>
      <w:r>
        <w:rPr>
          <w:rFonts w:ascii="Arial" w:cs="Arial" w:eastAsia="Arial" w:hAnsi="Arial"/>
          <w:color w:val="444444"/>
          <w:sz w:val="20"/>
          <w:szCs w:val="20"/>
        </w:rPr>
        <w:t xml:space="preserve">Monitoring of supplier-reported security incidents and regulatory actions through industry sources.</w:t>
      </w:r>
    </w:p>
    <w:p>
      <w:pPr>
        <w:pStyle w:val="ListParagraph"/>
        <w:numPr>
          <w:ilvl w:val="0"/>
          <w:numId w:val="2"/>
        </w:numPr>
        <w:spacing w:after="60" w:before="60"/>
      </w:pPr>
      <w:r>
        <w:rPr>
          <w:rFonts w:ascii="Arial" w:cs="Arial" w:eastAsia="Arial" w:hAnsi="Arial"/>
          <w:color w:val="444444"/>
          <w:sz w:val="20"/>
          <w:szCs w:val="20"/>
        </w:rPr>
        <w:t xml:space="preserve">Review of access logs for unusual supplier activity on a monthly basis by the IT/Security Team.</w:t>
      </w:r>
    </w:p>
    <w:p>
      <w:pPr>
        <w:pStyle w:val="ListParagraph"/>
        <w:numPr>
          <w:ilvl w:val="0"/>
          <w:numId w:val="2"/>
        </w:numPr>
        <w:spacing w:after="60" w:before="60"/>
      </w:pPr>
      <w:r>
        <w:rPr>
          <w:rFonts w:ascii="Arial" w:cs="Arial" w:eastAsia="Arial" w:hAnsi="Arial"/>
          <w:color w:val="444444"/>
          <w:sz w:val="20"/>
          <w:szCs w:val="20"/>
        </w:rPr>
        <w:t xml:space="preserve">Formal contract review meetings (minimum annual) shall include a standing agenda item for security performance.</w:t>
      </w:r>
    </w:p>
    <w:p>
      <w:pPr>
        <w:pStyle w:val="ListParagraph"/>
        <w:numPr>
          <w:ilvl w:val="0"/>
          <w:numId w:val="2"/>
        </w:numPr>
        <w:spacing w:after="60" w:before="60"/>
      </w:pPr>
      <w:r>
        <w:rPr>
          <w:rFonts w:ascii="Arial" w:cs="Arial" w:eastAsia="Arial" w:hAnsi="Arial"/>
          <w:color w:val="444444"/>
          <w:sz w:val="20"/>
          <w:szCs w:val="20"/>
        </w:rPr>
        <w:t xml:space="preserve">Supplier security ratings shall be maintained in the Supplier Security Register and updated following each review.</w:t>
      </w:r>
    </w:p>
    <w:p>
      <w:pPr>
        <w:pStyle w:val="Heading1"/>
        <w:pBdr>
          <w:bottom w:val="single" w:color="2E5FA3" w:sz="6" w:space="1"/>
        </w:pBdr>
        <w:spacing w:after="120" w:before="320"/>
      </w:pPr>
      <w:r>
        <w:rPr>
          <w:rFonts w:ascii="Arial" w:cs="Arial" w:eastAsia="Arial" w:hAnsi="Arial"/>
          <w:b/>
          <w:bCs/>
          <w:color w:val="1F3864"/>
          <w:sz w:val="28"/>
          <w:szCs w:val="28"/>
        </w:rPr>
        <w:t xml:space="preserve">8.  Incident Notification and Response</w:t>
      </w:r>
    </w:p>
    <w:p>
      <w:pPr>
        <w:spacing w:after="80" w:before="80"/>
        <w:jc w:val="left"/>
      </w:pPr>
      <w:r>
        <w:rPr>
          <w:rFonts w:ascii="Arial" w:cs="Arial" w:eastAsia="Arial" w:hAnsi="Arial"/>
          <w:b w:val="false"/>
          <w:bCs w:val="false"/>
          <w:i w:val="false"/>
          <w:iCs w:val="false"/>
          <w:color w:val="444444"/>
          <w:sz w:val="20"/>
          <w:szCs w:val="20"/>
        </w:rPr>
        <w:t xml:space="preserve">Where a supplier experiences a security incident affecting Stark Industries data or systems:</w:t>
      </w:r>
    </w:p>
    <w:p>
      <w:pPr>
        <w:pStyle w:val="ListParagraph"/>
        <w:numPr>
          <w:ilvl w:val="0"/>
          <w:numId w:val="2"/>
        </w:numPr>
        <w:spacing w:after="60" w:before="60"/>
      </w:pPr>
      <w:r>
        <w:rPr>
          <w:rFonts w:ascii="Arial" w:cs="Arial" w:eastAsia="Arial" w:hAnsi="Arial"/>
          <w:color w:val="444444"/>
          <w:sz w:val="20"/>
          <w:szCs w:val="20"/>
        </w:rPr>
        <w:t xml:space="preserve">The supplier shall notify the Stark Industries CISO within 24 hours of discovery, regardless of the incident's confirmed impact.</w:t>
      </w:r>
    </w:p>
    <w:p>
      <w:pPr>
        <w:pStyle w:val="ListParagraph"/>
        <w:numPr>
          <w:ilvl w:val="0"/>
          <w:numId w:val="2"/>
        </w:numPr>
        <w:spacing w:after="60" w:before="60"/>
      </w:pPr>
      <w:r>
        <w:rPr>
          <w:rFonts w:ascii="Arial" w:cs="Arial" w:eastAsia="Arial" w:hAnsi="Arial"/>
          <w:color w:val="444444"/>
          <w:sz w:val="20"/>
          <w:szCs w:val="20"/>
        </w:rPr>
        <w:t xml:space="preserve">Notification shall include: nature of the incident, systems and data potentially affected, containment actions taken, and an initial assessment of impact to Stark Industries.</w:t>
      </w:r>
    </w:p>
    <w:p>
      <w:pPr>
        <w:pStyle w:val="ListParagraph"/>
        <w:numPr>
          <w:ilvl w:val="0"/>
          <w:numId w:val="2"/>
        </w:numPr>
        <w:spacing w:after="60" w:before="60"/>
      </w:pPr>
      <w:r>
        <w:rPr>
          <w:rFonts w:ascii="Arial" w:cs="Arial" w:eastAsia="Arial" w:hAnsi="Arial"/>
          <w:color w:val="444444"/>
          <w:sz w:val="20"/>
          <w:szCs w:val="20"/>
        </w:rPr>
        <w:t xml:space="preserve">Stark Industries shall determine whether the incident constitutes a personal data breach under KDPA 2019, and if so, initiate the breach notification process per the Incident Response Plan (MS-ISMS-IRP-005).</w:t>
      </w:r>
    </w:p>
    <w:p>
      <w:pPr>
        <w:pStyle w:val="ListParagraph"/>
        <w:numPr>
          <w:ilvl w:val="0"/>
          <w:numId w:val="2"/>
        </w:numPr>
        <w:spacing w:after="60" w:before="60"/>
      </w:pPr>
      <w:r>
        <w:rPr>
          <w:rFonts w:ascii="Arial" w:cs="Arial" w:eastAsia="Arial" w:hAnsi="Arial"/>
          <w:color w:val="444444"/>
          <w:sz w:val="20"/>
          <w:szCs w:val="20"/>
        </w:rPr>
        <w:t xml:space="preserve">Michael's Security (MSSP) shall be engaged to support technical assessment of the supplier incident's impact on Stark Industries.</w:t>
      </w:r>
    </w:p>
    <w:p>
      <w:pPr>
        <w:pStyle w:val="ListParagraph"/>
        <w:numPr>
          <w:ilvl w:val="0"/>
          <w:numId w:val="2"/>
        </w:numPr>
        <w:spacing w:after="60" w:before="60"/>
      </w:pPr>
      <w:r>
        <w:rPr>
          <w:rFonts w:ascii="Arial" w:cs="Arial" w:eastAsia="Arial" w:hAnsi="Arial"/>
          <w:color w:val="444444"/>
          <w:sz w:val="20"/>
          <w:szCs w:val="20"/>
        </w:rPr>
        <w:t xml:space="preserve">The supplier shall provide a full incident report within five (5) business days of resolution.</w:t>
      </w:r>
    </w:p>
    <w:p>
      <w:pPr>
        <w:pStyle w:val="Heading1"/>
        <w:pBdr>
          <w:bottom w:val="single" w:color="2E5FA3" w:sz="6" w:space="1"/>
        </w:pBdr>
        <w:spacing w:after="120" w:before="320"/>
      </w:pPr>
      <w:r>
        <w:rPr>
          <w:rFonts w:ascii="Arial" w:cs="Arial" w:eastAsia="Arial" w:hAnsi="Arial"/>
          <w:b/>
          <w:bCs/>
          <w:color w:val="1F3864"/>
          <w:sz w:val="28"/>
          <w:szCs w:val="28"/>
        </w:rPr>
        <w:t xml:space="preserve">9.  Supplier Offboarding</w:t>
      </w:r>
    </w:p>
    <w:p>
      <w:pPr>
        <w:spacing w:after="80" w:before="80"/>
        <w:jc w:val="left"/>
      </w:pPr>
      <w:r>
        <w:rPr>
          <w:rFonts w:ascii="Arial" w:cs="Arial" w:eastAsia="Arial" w:hAnsi="Arial"/>
          <w:b w:val="false"/>
          <w:bCs w:val="false"/>
          <w:i w:val="false"/>
          <w:iCs w:val="false"/>
          <w:color w:val="444444"/>
          <w:sz w:val="20"/>
          <w:szCs w:val="20"/>
        </w:rPr>
        <w:t xml:space="preserve">Upon contract termination or non-renewal:</w:t>
      </w:r>
    </w:p>
    <w:p>
      <w:pPr>
        <w:pStyle w:val="ListParagraph"/>
        <w:numPr>
          <w:ilvl w:val="0"/>
          <w:numId w:val="2"/>
        </w:numPr>
        <w:spacing w:after="60" w:before="60"/>
      </w:pPr>
      <w:r>
        <w:rPr>
          <w:rFonts w:ascii="Arial" w:cs="Arial" w:eastAsia="Arial" w:hAnsi="Arial"/>
          <w:color w:val="444444"/>
          <w:sz w:val="20"/>
          <w:szCs w:val="20"/>
        </w:rPr>
        <w:t xml:space="preserve">All supplier access to Stark Industries systems shall be revoked on or before the contract end date.</w:t>
      </w:r>
    </w:p>
    <w:p>
      <w:pPr>
        <w:pStyle w:val="ListParagraph"/>
        <w:numPr>
          <w:ilvl w:val="0"/>
          <w:numId w:val="2"/>
        </w:numPr>
        <w:spacing w:after="60" w:before="60"/>
      </w:pPr>
      <w:r>
        <w:rPr>
          <w:rFonts w:ascii="Arial" w:cs="Arial" w:eastAsia="Arial" w:hAnsi="Arial"/>
          <w:color w:val="444444"/>
          <w:sz w:val="20"/>
          <w:szCs w:val="20"/>
        </w:rPr>
        <w:t xml:space="preserve">The supplier shall return or securely destroy all Stark Industries data (including personal data) within 30 days and provide written confirmation with the destruction method used.</w:t>
      </w:r>
    </w:p>
    <w:p>
      <w:pPr>
        <w:pStyle w:val="ListParagraph"/>
        <w:numPr>
          <w:ilvl w:val="0"/>
          <w:numId w:val="2"/>
        </w:numPr>
        <w:spacing w:after="60" w:before="60"/>
      </w:pPr>
      <w:r>
        <w:rPr>
          <w:rFonts w:ascii="Arial" w:cs="Arial" w:eastAsia="Arial" w:hAnsi="Arial"/>
          <w:color w:val="444444"/>
          <w:sz w:val="20"/>
          <w:szCs w:val="20"/>
        </w:rPr>
        <w:t xml:space="preserve">A final security review shall be conducted by the IT/Security Team to confirm access removal and data return.</w:t>
      </w:r>
    </w:p>
    <w:p>
      <w:pPr>
        <w:pStyle w:val="ListParagraph"/>
        <w:numPr>
          <w:ilvl w:val="0"/>
          <w:numId w:val="2"/>
        </w:numPr>
        <w:spacing w:after="60" w:before="60"/>
      </w:pPr>
      <w:r>
        <w:rPr>
          <w:rFonts w:ascii="Arial" w:cs="Arial" w:eastAsia="Arial" w:hAnsi="Arial"/>
          <w:color w:val="444444"/>
          <w:sz w:val="20"/>
          <w:szCs w:val="20"/>
        </w:rPr>
        <w:t xml:space="preserve">The Supplier Security Register shall be updated to reflect the offboarding date and outcome.</w:t>
      </w:r>
    </w:p>
    <w:p>
      <w:pPr>
        <w:pStyle w:val="Heading1"/>
        <w:pBdr>
          <w:bottom w:val="single" w:color="2E5FA3" w:sz="6" w:space="1"/>
        </w:pBdr>
        <w:spacing w:after="120" w:before="320"/>
      </w:pPr>
      <w:r>
        <w:rPr>
          <w:rFonts w:ascii="Arial" w:cs="Arial" w:eastAsia="Arial" w:hAnsi="Arial"/>
          <w:b/>
          <w:bCs/>
          <w:color w:val="1F3864"/>
          <w:sz w:val="28"/>
          <w:szCs w:val="28"/>
        </w:rPr>
        <w:t xml:space="preserve">10.  Supplier Security Register</w:t>
      </w:r>
    </w:p>
    <w:p>
      <w:pPr>
        <w:spacing w:after="80" w:before="80"/>
        <w:jc w:val="left"/>
      </w:pPr>
      <w:r>
        <w:rPr>
          <w:rFonts w:ascii="Arial" w:cs="Arial" w:eastAsia="Arial" w:hAnsi="Arial"/>
          <w:b w:val="false"/>
          <w:bCs w:val="false"/>
          <w:i w:val="false"/>
          <w:iCs w:val="false"/>
          <w:color w:val="444444"/>
          <w:sz w:val="20"/>
          <w:szCs w:val="20"/>
        </w:rPr>
        <w:t xml:space="preserve">The IT/Security Team shall maintain a Supplier Security Register containing:</w:t>
      </w:r>
    </w:p>
    <w:p>
      <w:pPr>
        <w:pStyle w:val="ListParagraph"/>
        <w:numPr>
          <w:ilvl w:val="0"/>
          <w:numId w:val="2"/>
        </w:numPr>
        <w:spacing w:after="60" w:before="60"/>
      </w:pPr>
      <w:r>
        <w:rPr>
          <w:rFonts w:ascii="Arial" w:cs="Arial" w:eastAsia="Arial" w:hAnsi="Arial"/>
          <w:color w:val="444444"/>
          <w:sz w:val="20"/>
          <w:szCs w:val="20"/>
        </w:rPr>
        <w:t xml:space="preserve">Supplier name, tier classification, contract start and end dates.</w:t>
      </w:r>
    </w:p>
    <w:p>
      <w:pPr>
        <w:pStyle w:val="ListParagraph"/>
        <w:numPr>
          <w:ilvl w:val="0"/>
          <w:numId w:val="2"/>
        </w:numPr>
        <w:spacing w:after="60" w:before="60"/>
      </w:pPr>
      <w:r>
        <w:rPr>
          <w:rFonts w:ascii="Arial" w:cs="Arial" w:eastAsia="Arial" w:hAnsi="Arial"/>
          <w:color w:val="444444"/>
          <w:sz w:val="20"/>
          <w:szCs w:val="20"/>
        </w:rPr>
        <w:t xml:space="preserve">Systems and data the supplier accesses.</w:t>
      </w:r>
    </w:p>
    <w:p>
      <w:pPr>
        <w:pStyle w:val="ListParagraph"/>
        <w:numPr>
          <w:ilvl w:val="0"/>
          <w:numId w:val="2"/>
        </w:numPr>
        <w:spacing w:after="60" w:before="60"/>
      </w:pPr>
      <w:r>
        <w:rPr>
          <w:rFonts w:ascii="Arial" w:cs="Arial" w:eastAsia="Arial" w:hAnsi="Arial"/>
          <w:color w:val="444444"/>
          <w:sz w:val="20"/>
          <w:szCs w:val="20"/>
        </w:rPr>
        <w:t xml:space="preserve">Assessment completion status and outcomes.</w:t>
      </w:r>
    </w:p>
    <w:p>
      <w:pPr>
        <w:pStyle w:val="ListParagraph"/>
        <w:numPr>
          <w:ilvl w:val="0"/>
          <w:numId w:val="2"/>
        </w:numPr>
        <w:spacing w:after="60" w:before="60"/>
      </w:pPr>
      <w:r>
        <w:rPr>
          <w:rFonts w:ascii="Arial" w:cs="Arial" w:eastAsia="Arial" w:hAnsi="Arial"/>
          <w:color w:val="444444"/>
          <w:sz w:val="20"/>
          <w:szCs w:val="20"/>
        </w:rPr>
        <w:t xml:space="preserve">Certification details (ISO 27001, SOC 2, etc.) and expiry dates.</w:t>
      </w:r>
    </w:p>
    <w:p>
      <w:pPr>
        <w:pStyle w:val="ListParagraph"/>
        <w:numPr>
          <w:ilvl w:val="0"/>
          <w:numId w:val="2"/>
        </w:numPr>
        <w:spacing w:after="60" w:before="60"/>
      </w:pPr>
      <w:r>
        <w:rPr>
          <w:rFonts w:ascii="Arial" w:cs="Arial" w:eastAsia="Arial" w:hAnsi="Arial"/>
          <w:color w:val="444444"/>
          <w:sz w:val="20"/>
          <w:szCs w:val="20"/>
        </w:rPr>
        <w:t xml:space="preserve">Incident history and monitoring review dates.</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The register shall be reviewed quarterly by the CISO and annually as part of the ISMS management review.</w:t>
      </w:r>
    </w:p>
    <w:p>
      <w:pPr>
        <w:pStyle w:val="Heading1"/>
        <w:pBdr>
          <w:bottom w:val="single" w:color="2E5FA3" w:sz="6" w:space="1"/>
        </w:pBdr>
        <w:spacing w:after="120" w:before="320"/>
      </w:pPr>
      <w:r>
        <w:rPr>
          <w:rFonts w:ascii="Arial" w:cs="Arial" w:eastAsia="Arial" w:hAnsi="Arial"/>
          <w:b/>
          <w:bCs/>
          <w:color w:val="1F3864"/>
          <w:sz w:val="28"/>
          <w:szCs w:val="28"/>
        </w:rPr>
        <w:t xml:space="preserve">11.  Policy Review</w:t>
      </w:r>
    </w:p>
    <w:p>
      <w:pPr>
        <w:spacing w:after="80" w:before="80"/>
        <w:jc w:val="left"/>
      </w:pPr>
      <w:r>
        <w:rPr>
          <w:rFonts w:ascii="Arial" w:cs="Arial" w:eastAsia="Arial" w:hAnsi="Arial"/>
          <w:b w:val="false"/>
          <w:bCs w:val="false"/>
          <w:i w:val="false"/>
          <w:iCs w:val="false"/>
          <w:color w:val="444444"/>
          <w:sz w:val="20"/>
          <w:szCs w:val="20"/>
        </w:rPr>
        <w:t xml:space="preserve">This policy shall be reviewed annually by the CISO, or following a significant supplier security incident, contract breach, or material change to the supplier landscape. Updates shall be communicated to the Procurement Manager and all affected contract owners within 10 business days of approval.</w:t>
      </w:r>
    </w:p>
    <w:p>
      <w:pPr>
        <w:spacing w:after="0" w:before="200"/>
      </w:pPr>
      <w:r>
        <w:t xml:space="preserve"/>
      </w:r>
    </w:p>
    <w:p>
      <w:pPr>
        <w:spacing w:after="80" w:before="80"/>
        <w:jc w:val="center"/>
      </w:pPr>
      <w:r>
        <w:rPr>
          <w:rFonts w:ascii="Arial" w:cs="Arial" w:eastAsia="Arial" w:hAnsi="Arial"/>
          <w:b w:val="false"/>
          <w:bCs w:val="false"/>
          <w:i/>
          <w:iCs/>
          <w:color w:val="AAAAAA"/>
          <w:sz w:val="20"/>
          <w:szCs w:val="20"/>
        </w:rPr>
        <w:t xml:space="preserve">End of Document</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360"/>
      </w:tabs>
      <w:spacing w:after="0" w:before="120"/>
    </w:pPr>
    <w:r>
      <w:rPr>
        <w:rFonts w:ascii="Arial" w:cs="Arial" w:eastAsia="Arial" w:hAnsi="Arial"/>
        <w:color w:val="888888"/>
        <w:sz w:val="16"/>
        <w:szCs w:val="16"/>
      </w:rPr>
      <w:t xml:space="preserve">Prepared by Michael's Security  |  ISO/IEC 27001:2022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360"/>
      </w:tabs>
      <w:spacing w:after="120" w:before="0"/>
    </w:pPr>
    <w:r>
      <w:rPr>
        <w:rFonts w:ascii="Arial" w:cs="Arial" w:eastAsia="Arial" w:hAnsi="Arial"/>
        <w:b/>
        <w:bCs/>
        <w:color w:val="1F3864"/>
        <w:sz w:val="18"/>
        <w:szCs w:val="18"/>
      </w:rPr>
      <w:t xml:space="preserve">Stark Industries</w:t>
    </w:r>
    <w:r>
      <w:rPr>
        <w:rFonts w:ascii="Arial" w:cs="Arial" w:eastAsia="Arial" w:hAnsi="Arial"/>
        <w:color w:val="888888"/>
        <w:sz w:val="16"/>
        <w:szCs w:val="16"/>
      </w:rPr>
      <w:t xml:space="preserve">	Supplier Security Policy  |  MS-ISMS-SUP-008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2026-05-09T11:50:16.594Z</dcterms:created>
  <dcterms:modified xsi:type="dcterms:W3CDTF">2026-05-09T11:50:16.621Z</dcterms:modified>
</cp:coreProperties>
</file>

<file path=docProps/custom.xml><?xml version="1.0" encoding="utf-8"?>
<Properties xmlns="http://schemas.openxmlformats.org/officeDocument/2006/custom-properties" xmlns:vt="http://schemas.openxmlformats.org/officeDocument/2006/docPropsVTypes"/>
</file>