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pBdr>
          <w:top w:val="single" w:color="E8B84B" w:sz="24" w:space="0"/>
        </w:pBdr>
        <w:spacing w:after="0" w:before="0"/>
        <w:jc w:val="center"/>
      </w:pPr>
      <w:r>
        <w:rPr>
          <w:sz w:val="8"/>
          <w:szCs w:val="8"/>
        </w:rPr>
        <w:t xml:space="preserve"/>
      </w:r>
    </w:p>
    <w:p>
      <w:pPr>
        <w:spacing w:after="0" w:before="160"/>
      </w:pPr>
      <w:r>
        <w:t xml:space="preserve"/>
      </w:r>
    </w:p>
    <w:p>
      <w:pPr>
        <w:spacing w:after="60" w:before="0"/>
        <w:jc w:val="center"/>
      </w:pPr>
      <w:r>
        <w:rPr>
          <w:rFonts w:ascii="Arial" w:cs="Arial" w:eastAsia="Arial" w:hAnsi="Arial"/>
          <w:b/>
          <w:bCs/>
          <w:color w:val="1F3864"/>
          <w:sz w:val="60"/>
          <w:szCs w:val="60"/>
        </w:rPr>
        <w:t xml:space="preserve">STARK INDUSTRIES</w:t>
      </w:r>
    </w:p>
    <w:p>
      <w:pPr>
        <w:spacing w:after="60" w:before="0"/>
        <w:jc w:val="center"/>
      </w:pPr>
      <w:r>
        <w:rPr>
          <w:rFonts w:ascii="Arial" w:cs="Arial" w:eastAsia="Arial" w:hAnsi="Arial"/>
          <w:b/>
          <w:bCs/>
          <w:color w:val="2E5FA3"/>
          <w:sz w:val="40"/>
          <w:szCs w:val="40"/>
        </w:rPr>
        <w:t xml:space="preserve">Security Awareness Training Policy</w:t>
      </w:r>
    </w:p>
    <w:p>
      <w:pPr>
        <w:pBdr>
          <w:bottom w:val="single" w:color="E8B84B" w:sz="24" w:space="0"/>
        </w:pBdr>
        <w:spacing w:after="0" w:before="0"/>
        <w:jc w:val="center"/>
      </w:pPr>
      <w:r>
        <w:rPr>
          <w:sz w:val="8"/>
          <w:szCs w:val="8"/>
        </w:rPr>
        <w:t xml:space="preserve"/>
      </w:r>
    </w:p>
    <w:p>
      <w:pPr>
        <w:spacing w:after="0" w:before="140"/>
      </w:pPr>
      <w:r>
        <w:t xml:space="preserve"/>
      </w:r>
    </w:p>
    <w:p>
      <w:pPr>
        <w:jc w:val="center"/>
      </w:pPr>
      <w:r>
        <w:rPr>
          <w:rFonts w:ascii="Arial" w:cs="Arial" w:eastAsia="Arial" w:hAnsi="Arial"/>
          <w:i/>
          <w:iCs/>
          <w:color w:val="777777"/>
          <w:sz w:val="19"/>
          <w:szCs w:val="19"/>
        </w:rPr>
        <w:t xml:space="preserve">ISO/IEC 27001:2022  •  MS-ISMS-TRAIN-009  •  Version 1.0  •  May 2026</w:t>
      </w:r>
    </w:p>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Title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Security Awareness Training Policy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ID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MS-ISMS-TRAIN-009</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Document Owner</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Stark Industries</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Prepared by</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Standard</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ISO/IEC 27001:2022</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Annex A Controls</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6.3, 7.2, 7.3</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Applicable Regulation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Kenya Data Protection Act 2019</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Classification</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Internal</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Effective Date</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r>
      <w:tr>
        <w:tc>
          <w:tcPr>
            <w:tcW w:type="dxa" w:w="264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Next Review</w:t>
            </w:r>
          </w:p>
        </w:tc>
        <w:tc>
          <w:tcPr>
            <w:tcW w:type="dxa" w:w="67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2027</w:t>
            </w:r>
          </w:p>
        </w:tc>
      </w:tr>
    </w:tbl>
    <w:p>
      <w:pPr>
        <w:spacing w:after="0" w:before="360"/>
      </w:pPr>
      <w:r>
        <w:t xml:space="preserve"/>
      </w:r>
    </w:p>
    <w:p>
      <w:pPr>
        <w:pBdr>
          <w:top w:val="single" w:color="2E5FA3" w:sz="4" w:space="6"/>
        </w:pBdr>
        <w:spacing w:after="0" w:before="120"/>
        <w:jc w:val="center"/>
      </w:pPr>
      <w:r>
        <w:rPr>
          <w:rFonts w:ascii="Arial" w:cs="Arial" w:eastAsia="Arial" w:hAnsi="Arial"/>
          <w:i/>
          <w:iCs/>
          <w:color w:val="888888"/>
          <w:sz w:val="18"/>
          <w:szCs w:val="18"/>
        </w:rPr>
        <w:t xml:space="preserve">Prepared by Michael's Security  •  Managed Security Services</w:t>
      </w:r>
    </w:p>
    <w:p>
      <w:pPr>
        <w:sectPr>
          <w:pgSz w:w="12240" w:h="15840" w:orient="portrait"/>
          <w:pgMar w:top="1440" w:right="1440" w:bottom="1440" w:left="1440" w:header="708" w:footer="708" w:gutter="0"/>
          <w:pgNumType/>
          <w:docGrid w:linePitch="360"/>
        </w:sectPr>
      </w:pPr>
    </w:p>
    <w:p>
      <w:pPr>
        <w:pStyle w:val="Heading1"/>
        <w:pBdr>
          <w:bottom w:val="single" w:color="2E5FA3" w:sz="6" w:space="1"/>
        </w:pBdr>
        <w:spacing w:after="120" w:before="320"/>
      </w:pPr>
      <w:r>
        <w:rPr>
          <w:rFonts w:ascii="Arial" w:cs="Arial" w:eastAsia="Arial" w:hAnsi="Arial"/>
          <w:b/>
          <w:bCs/>
          <w:color w:val="1F3864"/>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1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Author</w:t>
            </w:r>
          </w:p>
        </w:tc>
        <w:tc>
          <w:tcPr>
            <w:tcW w:type="dxa" w:w="312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Changes</w:t>
            </w:r>
          </w:p>
        </w:tc>
      </w:tr>
      <w:tr>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1.0</w:t>
            </w:r>
          </w:p>
        </w:tc>
        <w:tc>
          <w:tcPr>
            <w:tcW w:type="dxa" w:w="15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May 2026</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Michael's Security</w:t>
            </w:r>
          </w:p>
        </w:tc>
        <w:tc>
          <w:tcPr>
            <w:tcW w:type="dxa" w:w="312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Initial release</w:t>
            </w:r>
          </w:p>
        </w:tc>
      </w:tr>
    </w:tbl>
    <w:p>
      <w:pPr>
        <w:spacing w:after="0" w:before="160"/>
      </w:pPr>
      <w:r>
        <w:t xml:space="preserve"/>
      </w:r>
    </w:p>
    <w:p>
      <w:pPr>
        <w:pStyle w:val="Heading1"/>
        <w:pBdr>
          <w:bottom w:val="single" w:color="2E5FA3" w:sz="6" w:space="1"/>
        </w:pBdr>
        <w:spacing w:after="120" w:before="320"/>
      </w:pPr>
      <w:r>
        <w:rPr>
          <w:rFonts w:ascii="Arial" w:cs="Arial" w:eastAsia="Arial" w:hAnsi="Arial"/>
          <w:b/>
          <w:bCs/>
          <w:color w:val="1F3864"/>
          <w:sz w:val="28"/>
          <w:szCs w:val="28"/>
        </w:rPr>
        <w:t xml:space="preserve">1.  Purpose</w:t>
      </w:r>
    </w:p>
    <w:p>
      <w:pPr>
        <w:spacing w:after="80" w:before="80"/>
        <w:jc w:val="left"/>
      </w:pPr>
      <w:r>
        <w:rPr>
          <w:rFonts w:ascii="Arial" w:cs="Arial" w:eastAsia="Arial" w:hAnsi="Arial"/>
          <w:b w:val="false"/>
          <w:bCs w:val="false"/>
          <w:i w:val="false"/>
          <w:iCs w:val="false"/>
          <w:color w:val="444444"/>
          <w:sz w:val="20"/>
          <w:szCs w:val="20"/>
        </w:rPr>
        <w:t xml:space="preserve">This Security Awareness Training Policy establishes the requirements for information security awareness, education, and training at Stark Industries. It ensures that all personnel understand their information security responsibilities and are equipped to recognise and respond to security threats, in alignment with ISO/IEC 27001:2022 controls 6.3, 7.2, and 7.3, and the Kenya Data Protection Act 2019.</w:t>
      </w:r>
    </w:p>
    <w:p>
      <w:pPr>
        <w:pStyle w:val="Heading1"/>
        <w:pBdr>
          <w:bottom w:val="single" w:color="2E5FA3" w:sz="6" w:space="1"/>
        </w:pBdr>
        <w:spacing w:after="120" w:before="320"/>
      </w:pPr>
      <w:r>
        <w:rPr>
          <w:rFonts w:ascii="Arial" w:cs="Arial" w:eastAsia="Arial" w:hAnsi="Arial"/>
          <w:b/>
          <w:bCs/>
          <w:color w:val="1F3864"/>
          <w:sz w:val="28"/>
          <w:szCs w:val="28"/>
        </w:rPr>
        <w:t xml:space="preserve">2.  Scope</w:t>
      </w:r>
    </w:p>
    <w:p>
      <w:pPr>
        <w:spacing w:after="80" w:before="80"/>
        <w:jc w:val="left"/>
      </w:pPr>
      <w:r>
        <w:rPr>
          <w:rFonts w:ascii="Arial" w:cs="Arial" w:eastAsia="Arial" w:hAnsi="Arial"/>
          <w:b w:val="false"/>
          <w:bCs w:val="false"/>
          <w:i w:val="false"/>
          <w:iCs w:val="false"/>
          <w:color w:val="444444"/>
          <w:sz w:val="20"/>
          <w:szCs w:val="20"/>
        </w:rPr>
        <w:t xml:space="preserve">This policy applies to:</w:t>
      </w:r>
    </w:p>
    <w:p>
      <w:pPr>
        <w:pStyle w:val="ListParagraph"/>
        <w:numPr>
          <w:ilvl w:val="0"/>
          <w:numId w:val="2"/>
        </w:numPr>
        <w:spacing w:after="60" w:before="60"/>
      </w:pPr>
      <w:r>
        <w:rPr>
          <w:rFonts w:ascii="Arial" w:cs="Arial" w:eastAsia="Arial" w:hAnsi="Arial"/>
          <w:color w:val="444444"/>
          <w:sz w:val="20"/>
          <w:szCs w:val="20"/>
        </w:rPr>
        <w:t xml:space="preserve">All permanent employees, part-time staff, and fixed-term employees of Stark Industries.</w:t>
      </w:r>
    </w:p>
    <w:p>
      <w:pPr>
        <w:pStyle w:val="ListParagraph"/>
        <w:numPr>
          <w:ilvl w:val="0"/>
          <w:numId w:val="2"/>
        </w:numPr>
        <w:spacing w:after="60" w:before="60"/>
      </w:pPr>
      <w:r>
        <w:rPr>
          <w:rFonts w:ascii="Arial" w:cs="Arial" w:eastAsia="Arial" w:hAnsi="Arial"/>
          <w:color w:val="444444"/>
          <w:sz w:val="20"/>
          <w:szCs w:val="20"/>
        </w:rPr>
        <w:t xml:space="preserve">All contractors, consultants, and third-party personnel with ongoing access to Stark Industries systems or data.</w:t>
      </w:r>
    </w:p>
    <w:p>
      <w:pPr>
        <w:pStyle w:val="ListParagraph"/>
        <w:numPr>
          <w:ilvl w:val="0"/>
          <w:numId w:val="2"/>
        </w:numPr>
        <w:spacing w:after="60" w:before="60"/>
      </w:pPr>
      <w:r>
        <w:rPr>
          <w:rFonts w:ascii="Arial" w:cs="Arial" w:eastAsia="Arial" w:hAnsi="Arial"/>
          <w:color w:val="444444"/>
          <w:sz w:val="20"/>
          <w:szCs w:val="20"/>
        </w:rPr>
        <w:t xml:space="preserve">Senior management and board-level personnel.</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Specific training modules may be tailored by role, system access level, or data classification exposure as detailed in Section 5.</w:t>
      </w:r>
    </w:p>
    <w:p>
      <w:pPr>
        <w:pStyle w:val="Heading1"/>
        <w:pBdr>
          <w:bottom w:val="single" w:color="2E5FA3" w:sz="6" w:space="1"/>
        </w:pBdr>
        <w:spacing w:after="120" w:before="320"/>
      </w:pPr>
      <w:r>
        <w:rPr>
          <w:rFonts w:ascii="Arial" w:cs="Arial" w:eastAsia="Arial" w:hAnsi="Arial"/>
          <w:b/>
          <w:bCs/>
          <w:color w:val="1F3864"/>
          <w:sz w:val="28"/>
          <w:szCs w:val="28"/>
        </w:rPr>
        <w:t xml:space="preserve">3.  Policy Objectives</w:t>
      </w:r>
    </w:p>
    <w:p>
      <w:pPr>
        <w:spacing w:after="80" w:before="80"/>
        <w:jc w:val="left"/>
      </w:pPr>
      <w:r>
        <w:rPr>
          <w:rFonts w:ascii="Arial" w:cs="Arial" w:eastAsia="Arial" w:hAnsi="Arial"/>
          <w:b w:val="false"/>
          <w:bCs w:val="false"/>
          <w:i w:val="false"/>
          <w:iCs w:val="false"/>
          <w:color w:val="444444"/>
          <w:sz w:val="20"/>
          <w:szCs w:val="20"/>
        </w:rPr>
        <w:t xml:space="preserve">The objectives of this policy are to:</w:t>
      </w:r>
    </w:p>
    <w:p>
      <w:pPr>
        <w:pStyle w:val="ListParagraph"/>
        <w:numPr>
          <w:ilvl w:val="0"/>
          <w:numId w:val="2"/>
        </w:numPr>
        <w:spacing w:after="60" w:before="60"/>
      </w:pPr>
      <w:r>
        <w:rPr>
          <w:rFonts w:ascii="Arial" w:cs="Arial" w:eastAsia="Arial" w:hAnsi="Arial"/>
          <w:color w:val="444444"/>
          <w:sz w:val="20"/>
          <w:szCs w:val="20"/>
        </w:rPr>
        <w:t xml:space="preserve">Ensure all personnel are aware of information security risks relevant to their role.</w:t>
      </w:r>
    </w:p>
    <w:p>
      <w:pPr>
        <w:pStyle w:val="ListParagraph"/>
        <w:numPr>
          <w:ilvl w:val="0"/>
          <w:numId w:val="2"/>
        </w:numPr>
        <w:spacing w:after="60" w:before="60"/>
      </w:pPr>
      <w:r>
        <w:rPr>
          <w:rFonts w:ascii="Arial" w:cs="Arial" w:eastAsia="Arial" w:hAnsi="Arial"/>
          <w:color w:val="444444"/>
          <w:sz w:val="20"/>
          <w:szCs w:val="20"/>
        </w:rPr>
        <w:t xml:space="preserve">Reduce human-factor risk through consistent, measurable awareness programmes.</w:t>
      </w:r>
    </w:p>
    <w:p>
      <w:pPr>
        <w:pStyle w:val="ListParagraph"/>
        <w:numPr>
          <w:ilvl w:val="0"/>
          <w:numId w:val="2"/>
        </w:numPr>
        <w:spacing w:after="60" w:before="60"/>
      </w:pPr>
      <w:r>
        <w:rPr>
          <w:rFonts w:ascii="Arial" w:cs="Arial" w:eastAsia="Arial" w:hAnsi="Arial"/>
          <w:color w:val="444444"/>
          <w:sz w:val="20"/>
          <w:szCs w:val="20"/>
        </w:rPr>
        <w:t xml:space="preserve">Satisfy legal and regulatory obligations under the Kenya Data Protection Act 2019 (Section 41 — appropriate organisational measures).</w:t>
      </w:r>
    </w:p>
    <w:p>
      <w:pPr>
        <w:pStyle w:val="ListParagraph"/>
        <w:numPr>
          <w:ilvl w:val="0"/>
          <w:numId w:val="2"/>
        </w:numPr>
        <w:spacing w:after="60" w:before="60"/>
      </w:pPr>
      <w:r>
        <w:rPr>
          <w:rFonts w:ascii="Arial" w:cs="Arial" w:eastAsia="Arial" w:hAnsi="Arial"/>
          <w:color w:val="444444"/>
          <w:sz w:val="20"/>
          <w:szCs w:val="20"/>
        </w:rPr>
        <w:t xml:space="preserve">Support a security-conscious culture across all levels of the organisation.</w:t>
      </w:r>
    </w:p>
    <w:p>
      <w:pPr>
        <w:pStyle w:val="ListParagraph"/>
        <w:numPr>
          <w:ilvl w:val="0"/>
          <w:numId w:val="2"/>
        </w:numPr>
        <w:spacing w:after="60" w:before="60"/>
      </w:pPr>
      <w:r>
        <w:rPr>
          <w:rFonts w:ascii="Arial" w:cs="Arial" w:eastAsia="Arial" w:hAnsi="Arial"/>
          <w:color w:val="444444"/>
          <w:sz w:val="20"/>
          <w:szCs w:val="20"/>
        </w:rPr>
        <w:t xml:space="preserve">Demonstrate due diligence to clients, auditors, and regulators.</w:t>
      </w:r>
    </w:p>
    <w:p>
      <w:pPr>
        <w:pStyle w:val="Heading1"/>
        <w:pBdr>
          <w:bottom w:val="single" w:color="2E5FA3" w:sz="6" w:space="1"/>
        </w:pBdr>
        <w:spacing w:after="120" w:before="320"/>
      </w:pPr>
      <w:r>
        <w:rPr>
          <w:rFonts w:ascii="Arial" w:cs="Arial" w:eastAsia="Arial" w:hAnsi="Arial"/>
          <w:b/>
          <w:bCs/>
          <w:color w:val="1F3864"/>
          <w:sz w:val="28"/>
          <w:szCs w:val="28"/>
        </w:rPr>
        <w:t xml:space="preserve">4.  Training Requirements</w:t>
      </w:r>
    </w:p>
    <w:p>
      <w:pPr>
        <w:pStyle w:val="Heading2"/>
        <w:spacing w:after="80" w:before="200"/>
      </w:pPr>
      <w:r>
        <w:rPr>
          <w:rFonts w:ascii="Arial" w:cs="Arial" w:eastAsia="Arial" w:hAnsi="Arial"/>
          <w:b/>
          <w:bCs/>
          <w:color w:val="2E5FA3"/>
          <w:sz w:val="24"/>
          <w:szCs w:val="24"/>
        </w:rPr>
        <w:t xml:space="preserve">4.1  Onboarding Training</w:t>
      </w:r>
    </w:p>
    <w:p>
      <w:pPr>
        <w:spacing w:after="80" w:before="80"/>
        <w:jc w:val="left"/>
      </w:pPr>
      <w:r>
        <w:rPr>
          <w:rFonts w:ascii="Arial" w:cs="Arial" w:eastAsia="Arial" w:hAnsi="Arial"/>
          <w:b w:val="false"/>
          <w:bCs w:val="false"/>
          <w:i w:val="false"/>
          <w:iCs w:val="false"/>
          <w:color w:val="444444"/>
          <w:sz w:val="20"/>
          <w:szCs w:val="20"/>
        </w:rPr>
        <w:t xml:space="preserve">All new employees and contractors must complete mandatory security awareness training before or within five (5) business days of being granted access to Stark Industries systems. Onboarding training must cover:</w:t>
      </w:r>
    </w:p>
    <w:p>
      <w:pPr>
        <w:pStyle w:val="ListParagraph"/>
        <w:numPr>
          <w:ilvl w:val="0"/>
          <w:numId w:val="2"/>
        </w:numPr>
        <w:spacing w:after="60" w:before="60"/>
      </w:pPr>
      <w:r>
        <w:rPr>
          <w:rFonts w:ascii="Arial" w:cs="Arial" w:eastAsia="Arial" w:hAnsi="Arial"/>
          <w:color w:val="444444"/>
          <w:sz w:val="20"/>
          <w:szCs w:val="20"/>
        </w:rPr>
        <w:t xml:space="preserve">The Stark Industries Information Security Policy (MS-ISMS-POL-001) and employee obligations.</w:t>
      </w:r>
    </w:p>
    <w:p>
      <w:pPr>
        <w:pStyle w:val="ListParagraph"/>
        <w:numPr>
          <w:ilvl w:val="0"/>
          <w:numId w:val="2"/>
        </w:numPr>
        <w:spacing w:after="60" w:before="60"/>
      </w:pPr>
      <w:r>
        <w:rPr>
          <w:rFonts w:ascii="Arial" w:cs="Arial" w:eastAsia="Arial" w:hAnsi="Arial"/>
          <w:color w:val="444444"/>
          <w:sz w:val="20"/>
          <w:szCs w:val="20"/>
        </w:rPr>
        <w:t xml:space="preserve">Data classification and acceptable use of information assets.</w:t>
      </w:r>
    </w:p>
    <w:p>
      <w:pPr>
        <w:pStyle w:val="ListParagraph"/>
        <w:numPr>
          <w:ilvl w:val="0"/>
          <w:numId w:val="2"/>
        </w:numPr>
        <w:spacing w:after="60" w:before="60"/>
      </w:pPr>
      <w:r>
        <w:rPr>
          <w:rFonts w:ascii="Arial" w:cs="Arial" w:eastAsia="Arial" w:hAnsi="Arial"/>
          <w:color w:val="444444"/>
          <w:sz w:val="20"/>
          <w:szCs w:val="20"/>
        </w:rPr>
        <w:t xml:space="preserve">Password hygiene and MFA requirements.</w:t>
      </w:r>
    </w:p>
    <w:p>
      <w:pPr>
        <w:pStyle w:val="ListParagraph"/>
        <w:numPr>
          <w:ilvl w:val="0"/>
          <w:numId w:val="2"/>
        </w:numPr>
        <w:spacing w:after="60" w:before="60"/>
      </w:pPr>
      <w:r>
        <w:rPr>
          <w:rFonts w:ascii="Arial" w:cs="Arial" w:eastAsia="Arial" w:hAnsi="Arial"/>
          <w:color w:val="444444"/>
          <w:sz w:val="20"/>
          <w:szCs w:val="20"/>
        </w:rPr>
        <w:t xml:space="preserve">How to identify and report phishing, social engineering, and suspicious activity.</w:t>
      </w:r>
    </w:p>
    <w:p>
      <w:pPr>
        <w:pStyle w:val="ListParagraph"/>
        <w:numPr>
          <w:ilvl w:val="0"/>
          <w:numId w:val="2"/>
        </w:numPr>
        <w:spacing w:after="60" w:before="60"/>
      </w:pPr>
      <w:r>
        <w:rPr>
          <w:rFonts w:ascii="Arial" w:cs="Arial" w:eastAsia="Arial" w:hAnsi="Arial"/>
          <w:color w:val="444444"/>
          <w:sz w:val="20"/>
          <w:szCs w:val="20"/>
        </w:rPr>
        <w:t xml:space="preserve">Data protection obligations under the Kenya Data Protection Act 2019.</w:t>
      </w:r>
    </w:p>
    <w:p>
      <w:pPr>
        <w:pStyle w:val="ListParagraph"/>
        <w:numPr>
          <w:ilvl w:val="0"/>
          <w:numId w:val="2"/>
        </w:numPr>
        <w:spacing w:after="60" w:before="60"/>
      </w:pPr>
      <w:r>
        <w:rPr>
          <w:rFonts w:ascii="Arial" w:cs="Arial" w:eastAsia="Arial" w:hAnsi="Arial"/>
          <w:color w:val="444444"/>
          <w:sz w:val="20"/>
          <w:szCs w:val="20"/>
        </w:rPr>
        <w:t xml:space="preserve">Incident reporting procedures (refer to MS-ISMS-IRP-005).</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Access to Restricted systems shall be withheld until onboarding training is confirmed complete.</w:t>
      </w:r>
    </w:p>
    <w:p>
      <w:pPr>
        <w:pStyle w:val="Heading2"/>
        <w:spacing w:after="80" w:before="200"/>
      </w:pPr>
      <w:r>
        <w:rPr>
          <w:rFonts w:ascii="Arial" w:cs="Arial" w:eastAsia="Arial" w:hAnsi="Arial"/>
          <w:b/>
          <w:bCs/>
          <w:color w:val="2E5FA3"/>
          <w:sz w:val="24"/>
          <w:szCs w:val="24"/>
        </w:rPr>
        <w:t xml:space="preserve">4.2  Annual Mandatory Training</w:t>
      </w:r>
    </w:p>
    <w:p>
      <w:pPr>
        <w:spacing w:after="80" w:before="80"/>
        <w:jc w:val="left"/>
      </w:pPr>
      <w:r>
        <w:rPr>
          <w:rFonts w:ascii="Arial" w:cs="Arial" w:eastAsia="Arial" w:hAnsi="Arial"/>
          <w:b w:val="false"/>
          <w:bCs w:val="false"/>
          <w:i w:val="false"/>
          <w:iCs w:val="false"/>
          <w:color w:val="444444"/>
          <w:sz w:val="20"/>
          <w:szCs w:val="20"/>
        </w:rPr>
        <w:t xml:space="preserve">All personnel must complete the annual security awareness refresh training within the designated 30-day training window each year. Annual training incorporates updates reflecting:</w:t>
      </w:r>
    </w:p>
    <w:p>
      <w:pPr>
        <w:pStyle w:val="ListParagraph"/>
        <w:numPr>
          <w:ilvl w:val="0"/>
          <w:numId w:val="2"/>
        </w:numPr>
        <w:spacing w:after="60" w:before="60"/>
      </w:pPr>
      <w:r>
        <w:rPr>
          <w:rFonts w:ascii="Arial" w:cs="Arial" w:eastAsia="Arial" w:hAnsi="Arial"/>
          <w:color w:val="444444"/>
          <w:sz w:val="20"/>
          <w:szCs w:val="20"/>
        </w:rPr>
        <w:t xml:space="preserve">Changes to internal policies, procedures, or the ISMS.</w:t>
      </w:r>
    </w:p>
    <w:p>
      <w:pPr>
        <w:pStyle w:val="ListParagraph"/>
        <w:numPr>
          <w:ilvl w:val="0"/>
          <w:numId w:val="2"/>
        </w:numPr>
        <w:spacing w:after="60" w:before="60"/>
      </w:pPr>
      <w:r>
        <w:rPr>
          <w:rFonts w:ascii="Arial" w:cs="Arial" w:eastAsia="Arial" w:hAnsi="Arial"/>
          <w:color w:val="444444"/>
          <w:sz w:val="20"/>
          <w:szCs w:val="20"/>
        </w:rPr>
        <w:t xml:space="preserve">Emerging threats identified through threat intelligence (refer to Annex A control 5.7).</w:t>
      </w:r>
    </w:p>
    <w:p>
      <w:pPr>
        <w:pStyle w:val="ListParagraph"/>
        <w:numPr>
          <w:ilvl w:val="0"/>
          <w:numId w:val="2"/>
        </w:numPr>
        <w:spacing w:after="60" w:before="60"/>
      </w:pPr>
      <w:r>
        <w:rPr>
          <w:rFonts w:ascii="Arial" w:cs="Arial" w:eastAsia="Arial" w:hAnsi="Arial"/>
          <w:color w:val="444444"/>
          <w:sz w:val="20"/>
          <w:szCs w:val="20"/>
        </w:rPr>
        <w:t xml:space="preserve">Lessons learned from security incidents in the past 12 months.</w:t>
      </w:r>
    </w:p>
    <w:p>
      <w:pPr>
        <w:pStyle w:val="ListParagraph"/>
        <w:numPr>
          <w:ilvl w:val="0"/>
          <w:numId w:val="2"/>
        </w:numPr>
        <w:spacing w:after="60" w:before="60"/>
      </w:pPr>
      <w:r>
        <w:rPr>
          <w:rFonts w:ascii="Arial" w:cs="Arial" w:eastAsia="Arial" w:hAnsi="Arial"/>
          <w:color w:val="444444"/>
          <w:sz w:val="20"/>
          <w:szCs w:val="20"/>
        </w:rPr>
        <w:t xml:space="preserve">Regulatory updates (e.g., amendments to KDPA 2019 guidelines).</w:t>
      </w:r>
    </w:p>
    <w:p>
      <w:pPr>
        <w:pStyle w:val="Heading2"/>
        <w:spacing w:after="80" w:before="200"/>
      </w:pPr>
      <w:r>
        <w:rPr>
          <w:rFonts w:ascii="Arial" w:cs="Arial" w:eastAsia="Arial" w:hAnsi="Arial"/>
          <w:b/>
          <w:bCs/>
          <w:color w:val="2E5FA3"/>
          <w:sz w:val="24"/>
          <w:szCs w:val="24"/>
        </w:rPr>
        <w:t xml:space="preserve">4.3  Role-Specific Training</w:t>
      </w:r>
    </w:p>
    <w:p>
      <w:pPr>
        <w:spacing w:after="80" w:before="80"/>
        <w:jc w:val="left"/>
      </w:pPr>
      <w:r>
        <w:rPr>
          <w:rFonts w:ascii="Arial" w:cs="Arial" w:eastAsia="Arial" w:hAnsi="Arial"/>
          <w:b w:val="false"/>
          <w:bCs w:val="false"/>
          <w:i w:val="false"/>
          <w:iCs w:val="false"/>
          <w:color w:val="444444"/>
          <w:sz w:val="20"/>
          <w:szCs w:val="20"/>
        </w:rPr>
        <w:t xml:space="preserve">Personnel with elevated access or sensitive data responsibilities shall receive additional role-specific training, including:</w:t>
      </w:r>
    </w:p>
    <w:p>
      <w:pPr>
        <w:pStyle w:val="ListParagraph"/>
        <w:numPr>
          <w:ilvl w:val="0"/>
          <w:numId w:val="2"/>
        </w:numPr>
        <w:spacing w:after="60" w:before="60"/>
      </w:pPr>
      <w:r>
        <w:rPr>
          <w:rFonts w:ascii="Arial" w:cs="Arial" w:eastAsia="Arial" w:hAnsi="Arial"/>
          <w:color w:val="444444"/>
          <w:sz w:val="20"/>
          <w:szCs w:val="20"/>
        </w:rPr>
        <w:t xml:space="preserve">IT administrators and privileged users — privileged access management, secure configuration, and vulnerability management.</w:t>
      </w:r>
    </w:p>
    <w:p>
      <w:pPr>
        <w:pStyle w:val="ListParagraph"/>
        <w:numPr>
          <w:ilvl w:val="0"/>
          <w:numId w:val="2"/>
        </w:numPr>
        <w:spacing w:after="60" w:before="60"/>
      </w:pPr>
      <w:r>
        <w:rPr>
          <w:rFonts w:ascii="Arial" w:cs="Arial" w:eastAsia="Arial" w:hAnsi="Arial"/>
          <w:color w:val="444444"/>
          <w:sz w:val="20"/>
          <w:szCs w:val="20"/>
        </w:rPr>
        <w:t xml:space="preserve">Finance and payroll staff — financial fraud awareness, payment scam prevention.</w:t>
      </w:r>
    </w:p>
    <w:p>
      <w:pPr>
        <w:pStyle w:val="ListParagraph"/>
        <w:numPr>
          <w:ilvl w:val="0"/>
          <w:numId w:val="2"/>
        </w:numPr>
        <w:spacing w:after="60" w:before="60"/>
      </w:pPr>
      <w:r>
        <w:rPr>
          <w:rFonts w:ascii="Arial" w:cs="Arial" w:eastAsia="Arial" w:hAnsi="Arial"/>
          <w:color w:val="444444"/>
          <w:sz w:val="20"/>
          <w:szCs w:val="20"/>
        </w:rPr>
        <w:t xml:space="preserve">HR personnel — handling personal data under KDPA 2019, secure disposal of HR records.</w:t>
      </w:r>
    </w:p>
    <w:p>
      <w:pPr>
        <w:pStyle w:val="ListParagraph"/>
        <w:numPr>
          <w:ilvl w:val="0"/>
          <w:numId w:val="2"/>
        </w:numPr>
        <w:spacing w:after="60" w:before="60"/>
      </w:pPr>
      <w:r>
        <w:rPr>
          <w:rFonts w:ascii="Arial" w:cs="Arial" w:eastAsia="Arial" w:hAnsi="Arial"/>
          <w:color w:val="444444"/>
          <w:sz w:val="20"/>
          <w:szCs w:val="20"/>
        </w:rPr>
        <w:t xml:space="preserve">Senior management — cyber risk governance, executive spear-phishing awareness.</w:t>
      </w:r>
    </w:p>
    <w:p>
      <w:pPr>
        <w:pStyle w:val="Heading1"/>
        <w:pBdr>
          <w:bottom w:val="single" w:color="2E5FA3" w:sz="6" w:space="1"/>
        </w:pBdr>
        <w:spacing w:after="120" w:before="320"/>
      </w:pPr>
      <w:r>
        <w:rPr>
          <w:rFonts w:ascii="Arial" w:cs="Arial" w:eastAsia="Arial" w:hAnsi="Arial"/>
          <w:b/>
          <w:bCs/>
          <w:color w:val="1F3864"/>
          <w:sz w:val="28"/>
          <w:szCs w:val="28"/>
        </w:rPr>
        <w:t xml:space="preserve">5.  Training Programme Matrix</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Training Module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Frequency</w:t>
            </w:r>
          </w:p>
        </w:tc>
        <w:tc>
          <w:tcPr>
            <w:tcW w:type="dxa" w:w="2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Delivery Method</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Security Awareness Fundamentals</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staff</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Onboarding + Annual</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E-learning / LMS</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Phishing Simulation</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staff</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Quarterly</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Simulated phishing campaign</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Data Protection &amp; KDPA 2019</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staff</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E-learning</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Password &amp; MFA Best Practices</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staff</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Onboarding + Annual</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E-learning</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Incident Reporting Procedures</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All staff</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E-learning + Briefing</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Privileged Access Security</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IT / Admin staff</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Onboarding + Annual</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Instructor-led</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Secure Remote Working</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Remote / Hybrid staff</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E-learning</w:t>
            </w:r>
          </w:p>
        </w:tc>
      </w:tr>
      <w:tr>
        <w:tc>
          <w:tcPr>
            <w:tcW w:type="dxa" w:w="28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Executive Cyber Briefing</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Senior Management</w:t>
            </w:r>
          </w:p>
        </w:tc>
        <w:tc>
          <w:tcPr>
            <w:tcW w:type="dxa" w:w="22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Annual</w:t>
            </w:r>
          </w:p>
        </w:tc>
        <w:tc>
          <w:tcPr>
            <w:tcW w:type="dxa" w:w="21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Facilitated workshop</w:t>
            </w:r>
          </w:p>
        </w:tc>
      </w:tr>
    </w:tbl>
    <w:p>
      <w:pPr>
        <w:pStyle w:val="Heading1"/>
        <w:pBdr>
          <w:bottom w:val="single" w:color="2E5FA3" w:sz="6" w:space="1"/>
        </w:pBdr>
        <w:spacing w:after="120" w:before="320"/>
      </w:pPr>
      <w:r>
        <w:rPr>
          <w:rFonts w:ascii="Arial" w:cs="Arial" w:eastAsia="Arial" w:hAnsi="Arial"/>
          <w:b/>
          <w:bCs/>
          <w:color w:val="1F3864"/>
          <w:sz w:val="28"/>
          <w:szCs w:val="28"/>
        </w:rPr>
        <w:t xml:space="preserve">6.  Core Training Topics</w:t>
      </w:r>
    </w:p>
    <w:p>
      <w:pPr>
        <w:spacing w:after="80" w:before="80"/>
        <w:jc w:val="left"/>
      </w:pPr>
      <w:r>
        <w:rPr>
          <w:rFonts w:ascii="Arial" w:cs="Arial" w:eastAsia="Arial" w:hAnsi="Arial"/>
          <w:b w:val="false"/>
          <w:bCs w:val="false"/>
          <w:i w:val="false"/>
          <w:iCs w:val="false"/>
          <w:color w:val="444444"/>
          <w:sz w:val="20"/>
          <w:szCs w:val="20"/>
        </w:rPr>
        <w:t xml:space="preserve">All awareness training programmes shall cover, at minimum, the following topics:</w:t>
      </w:r>
    </w:p>
    <w:p>
      <w:pPr>
        <w:pStyle w:val="ListParagraph"/>
        <w:numPr>
          <w:ilvl w:val="0"/>
          <w:numId w:val="2"/>
        </w:numPr>
        <w:spacing w:after="60" w:before="60"/>
      </w:pPr>
      <w:r>
        <w:rPr>
          <w:rFonts w:ascii="Arial" w:cs="Arial" w:eastAsia="Arial" w:hAnsi="Arial"/>
          <w:color w:val="444444"/>
          <w:sz w:val="20"/>
          <w:szCs w:val="20"/>
        </w:rPr>
        <w:t xml:space="preserve">Phishing and social engineering — identification, examples, and reporting procedures.</w:t>
      </w:r>
    </w:p>
    <w:p>
      <w:pPr>
        <w:pStyle w:val="ListParagraph"/>
        <w:numPr>
          <w:ilvl w:val="0"/>
          <w:numId w:val="2"/>
        </w:numPr>
        <w:spacing w:after="60" w:before="60"/>
      </w:pPr>
      <w:r>
        <w:rPr>
          <w:rFonts w:ascii="Arial" w:cs="Arial" w:eastAsia="Arial" w:hAnsi="Arial"/>
          <w:color w:val="444444"/>
          <w:sz w:val="20"/>
          <w:szCs w:val="20"/>
        </w:rPr>
        <w:t xml:space="preserve">Password hygiene and MFA — creation of strong credentials, use of password managers, MFA enrolment.</w:t>
      </w:r>
    </w:p>
    <w:p>
      <w:pPr>
        <w:pStyle w:val="ListParagraph"/>
        <w:numPr>
          <w:ilvl w:val="0"/>
          <w:numId w:val="2"/>
        </w:numPr>
        <w:spacing w:after="60" w:before="60"/>
      </w:pPr>
      <w:r>
        <w:rPr>
          <w:rFonts w:ascii="Arial" w:cs="Arial" w:eastAsia="Arial" w:hAnsi="Arial"/>
          <w:color w:val="444444"/>
          <w:sz w:val="20"/>
          <w:szCs w:val="20"/>
        </w:rPr>
        <w:t xml:space="preserve">Data handling and classification — correct handling, storage, transfer, and disposal of data by classification level.</w:t>
      </w:r>
    </w:p>
    <w:p>
      <w:pPr>
        <w:pStyle w:val="ListParagraph"/>
        <w:numPr>
          <w:ilvl w:val="0"/>
          <w:numId w:val="2"/>
        </w:numPr>
        <w:spacing w:after="60" w:before="60"/>
      </w:pPr>
      <w:r>
        <w:rPr>
          <w:rFonts w:ascii="Arial" w:cs="Arial" w:eastAsia="Arial" w:hAnsi="Arial"/>
          <w:color w:val="444444"/>
          <w:sz w:val="20"/>
          <w:szCs w:val="20"/>
        </w:rPr>
        <w:t xml:space="preserve">Incident reporting — how, when, and to whom to report a suspected security incident.</w:t>
      </w:r>
    </w:p>
    <w:p>
      <w:pPr>
        <w:pStyle w:val="ListParagraph"/>
        <w:numPr>
          <w:ilvl w:val="0"/>
          <w:numId w:val="2"/>
        </w:numPr>
        <w:spacing w:after="60" w:before="60"/>
      </w:pPr>
      <w:r>
        <w:rPr>
          <w:rFonts w:ascii="Arial" w:cs="Arial" w:eastAsia="Arial" w:hAnsi="Arial"/>
          <w:color w:val="444444"/>
          <w:sz w:val="20"/>
          <w:szCs w:val="20"/>
        </w:rPr>
        <w:t xml:space="preserve">Acceptable use — permitted use of Stark Industries systems, devices, and networks.</w:t>
      </w:r>
    </w:p>
    <w:p>
      <w:pPr>
        <w:pStyle w:val="ListParagraph"/>
        <w:numPr>
          <w:ilvl w:val="0"/>
          <w:numId w:val="2"/>
        </w:numPr>
        <w:spacing w:after="60" w:before="60"/>
      </w:pPr>
      <w:r>
        <w:rPr>
          <w:rFonts w:ascii="Arial" w:cs="Arial" w:eastAsia="Arial" w:hAnsi="Arial"/>
          <w:color w:val="444444"/>
          <w:sz w:val="20"/>
          <w:szCs w:val="20"/>
        </w:rPr>
        <w:t xml:space="preserve">Physical security — clear desk policy, tailgating prevention, visitor management.</w:t>
      </w:r>
    </w:p>
    <w:p>
      <w:pPr>
        <w:pStyle w:val="ListParagraph"/>
        <w:numPr>
          <w:ilvl w:val="0"/>
          <w:numId w:val="2"/>
        </w:numPr>
        <w:spacing w:after="60" w:before="60"/>
      </w:pPr>
      <w:r>
        <w:rPr>
          <w:rFonts w:ascii="Arial" w:cs="Arial" w:eastAsia="Arial" w:hAnsi="Arial"/>
          <w:color w:val="444444"/>
          <w:sz w:val="20"/>
          <w:szCs w:val="20"/>
        </w:rPr>
        <w:t xml:space="preserve">Remote working security — VPN usage, public Wi-Fi risks, home network security.</w:t>
      </w:r>
    </w:p>
    <w:p>
      <w:pPr>
        <w:pStyle w:val="ListParagraph"/>
        <w:numPr>
          <w:ilvl w:val="0"/>
          <w:numId w:val="2"/>
        </w:numPr>
        <w:spacing w:after="60" w:before="60"/>
      </w:pPr>
      <w:r>
        <w:rPr>
          <w:rFonts w:ascii="Arial" w:cs="Arial" w:eastAsia="Arial" w:hAnsi="Arial"/>
          <w:color w:val="444444"/>
          <w:sz w:val="20"/>
          <w:szCs w:val="20"/>
        </w:rPr>
        <w:t xml:space="preserve">Data protection rights — individual rights under KDPA 2019 and how to handle data subject requests.</w:t>
      </w:r>
    </w:p>
    <w:p>
      <w:pPr>
        <w:pStyle w:val="Heading1"/>
        <w:pBdr>
          <w:bottom w:val="single" w:color="2E5FA3" w:sz="6" w:space="1"/>
        </w:pBdr>
        <w:spacing w:after="120" w:before="320"/>
      </w:pPr>
      <w:r>
        <w:rPr>
          <w:rFonts w:ascii="Arial" w:cs="Arial" w:eastAsia="Arial" w:hAnsi="Arial"/>
          <w:b/>
          <w:bCs/>
          <w:color w:val="1F3864"/>
          <w:sz w:val="28"/>
          <w:szCs w:val="28"/>
        </w:rPr>
        <w:t xml:space="preserve">7.  Phishing Simulation Programme</w:t>
      </w:r>
    </w:p>
    <w:p>
      <w:pPr>
        <w:spacing w:after="80" w:before="80"/>
        <w:jc w:val="left"/>
      </w:pPr>
      <w:r>
        <w:rPr>
          <w:rFonts w:ascii="Arial" w:cs="Arial" w:eastAsia="Arial" w:hAnsi="Arial"/>
          <w:b w:val="false"/>
          <w:bCs w:val="false"/>
          <w:i w:val="false"/>
          <w:iCs w:val="false"/>
          <w:color w:val="444444"/>
          <w:sz w:val="20"/>
          <w:szCs w:val="20"/>
        </w:rPr>
        <w:t xml:space="preserve">Stark Industries, in partnership with Michael's Security (MSSP), shall conduct simulated phishing campaigns on a quarterly basis. Simulation results shall be:</w:t>
      </w:r>
    </w:p>
    <w:p>
      <w:pPr>
        <w:pStyle w:val="ListParagraph"/>
        <w:numPr>
          <w:ilvl w:val="0"/>
          <w:numId w:val="2"/>
        </w:numPr>
        <w:spacing w:after="60" w:before="60"/>
      </w:pPr>
      <w:r>
        <w:rPr>
          <w:rFonts w:ascii="Arial" w:cs="Arial" w:eastAsia="Arial" w:hAnsi="Arial"/>
          <w:color w:val="444444"/>
          <w:sz w:val="20"/>
          <w:szCs w:val="20"/>
        </w:rPr>
        <w:t xml:space="preserve">Reviewed by the IT/Security Team and CISO within 10 business days of each campaign.</w:t>
      </w:r>
    </w:p>
    <w:p>
      <w:pPr>
        <w:pStyle w:val="ListParagraph"/>
        <w:numPr>
          <w:ilvl w:val="0"/>
          <w:numId w:val="2"/>
        </w:numPr>
        <w:spacing w:after="60" w:before="60"/>
      </w:pPr>
      <w:r>
        <w:rPr>
          <w:rFonts w:ascii="Arial" w:cs="Arial" w:eastAsia="Arial" w:hAnsi="Arial"/>
          <w:color w:val="444444"/>
          <w:sz w:val="20"/>
          <w:szCs w:val="20"/>
        </w:rPr>
        <w:t xml:space="preserve">Used to identify high-risk individuals or departments for targeted follow-up training.</w:t>
      </w:r>
    </w:p>
    <w:p>
      <w:pPr>
        <w:pStyle w:val="ListParagraph"/>
        <w:numPr>
          <w:ilvl w:val="0"/>
          <w:numId w:val="2"/>
        </w:numPr>
        <w:spacing w:after="60" w:before="60"/>
      </w:pPr>
      <w:r>
        <w:rPr>
          <w:rFonts w:ascii="Arial" w:cs="Arial" w:eastAsia="Arial" w:hAnsi="Arial"/>
          <w:color w:val="444444"/>
          <w:sz w:val="20"/>
          <w:szCs w:val="20"/>
        </w:rPr>
        <w:t xml:space="preserve">Reported in aggregate to senior management; individual results treated confidentially.</w:t>
      </w:r>
    </w:p>
    <w:p>
      <w:pPr>
        <w:pStyle w:val="ListParagraph"/>
        <w:numPr>
          <w:ilvl w:val="0"/>
          <w:numId w:val="2"/>
        </w:numPr>
        <w:spacing w:after="60" w:before="60"/>
      </w:pPr>
      <w:r>
        <w:rPr>
          <w:rFonts w:ascii="Arial" w:cs="Arial" w:eastAsia="Arial" w:hAnsi="Arial"/>
          <w:color w:val="444444"/>
          <w:sz w:val="20"/>
          <w:szCs w:val="20"/>
        </w:rPr>
        <w:t xml:space="preserve">Tracked over time to measure programme effectiveness and reduction in click rates.</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Individuals who repeatedly engage with simulated phishing shall be assigned mandatory remedial training.</w:t>
      </w:r>
    </w:p>
    <w:p>
      <w:pPr>
        <w:pStyle w:val="Heading1"/>
        <w:pBdr>
          <w:bottom w:val="single" w:color="2E5FA3" w:sz="6" w:space="1"/>
        </w:pBdr>
        <w:spacing w:after="120" w:before="320"/>
      </w:pPr>
      <w:r>
        <w:rPr>
          <w:rFonts w:ascii="Arial" w:cs="Arial" w:eastAsia="Arial" w:hAnsi="Arial"/>
          <w:b/>
          <w:bCs/>
          <w:color w:val="1F3864"/>
          <w:sz w:val="28"/>
          <w:szCs w:val="28"/>
        </w:rPr>
        <w:t xml:space="preserve">8.  Completion Tracking and Reporting</w:t>
      </w:r>
    </w:p>
    <w:p>
      <w:pPr>
        <w:spacing w:after="80" w:before="80"/>
        <w:jc w:val="left"/>
      </w:pPr>
      <w:r>
        <w:rPr>
          <w:rFonts w:ascii="Arial" w:cs="Arial" w:eastAsia="Arial" w:hAnsi="Arial"/>
          <w:b w:val="false"/>
          <w:bCs w:val="false"/>
          <w:i w:val="false"/>
          <w:iCs w:val="false"/>
          <w:color w:val="444444"/>
          <w:sz w:val="20"/>
          <w:szCs w:val="20"/>
        </w:rPr>
        <w:t xml:space="preserve">The IT/Security Team shall maintain a training completion register recording:</w:t>
      </w:r>
    </w:p>
    <w:p>
      <w:pPr>
        <w:pStyle w:val="ListParagraph"/>
        <w:numPr>
          <w:ilvl w:val="0"/>
          <w:numId w:val="2"/>
        </w:numPr>
        <w:spacing w:after="60" w:before="60"/>
      </w:pPr>
      <w:r>
        <w:rPr>
          <w:rFonts w:ascii="Arial" w:cs="Arial" w:eastAsia="Arial" w:hAnsi="Arial"/>
          <w:color w:val="444444"/>
          <w:sz w:val="20"/>
          <w:szCs w:val="20"/>
        </w:rPr>
        <w:t xml:space="preserve">Employee name, role, and department.</w:t>
      </w:r>
    </w:p>
    <w:p>
      <w:pPr>
        <w:pStyle w:val="ListParagraph"/>
        <w:numPr>
          <w:ilvl w:val="0"/>
          <w:numId w:val="2"/>
        </w:numPr>
        <w:spacing w:after="60" w:before="60"/>
      </w:pPr>
      <w:r>
        <w:rPr>
          <w:rFonts w:ascii="Arial" w:cs="Arial" w:eastAsia="Arial" w:hAnsi="Arial"/>
          <w:color w:val="444444"/>
          <w:sz w:val="20"/>
          <w:szCs w:val="20"/>
        </w:rPr>
        <w:t xml:space="preserve">Training modules completed, dates of completion, and assessment scores (where applicable).</w:t>
      </w:r>
    </w:p>
    <w:p>
      <w:pPr>
        <w:pStyle w:val="ListParagraph"/>
        <w:numPr>
          <w:ilvl w:val="0"/>
          <w:numId w:val="2"/>
        </w:numPr>
        <w:spacing w:after="60" w:before="60"/>
      </w:pPr>
      <w:r>
        <w:rPr>
          <w:rFonts w:ascii="Arial" w:cs="Arial" w:eastAsia="Arial" w:hAnsi="Arial"/>
          <w:color w:val="444444"/>
          <w:sz w:val="20"/>
          <w:szCs w:val="20"/>
        </w:rPr>
        <w:t xml:space="preserve">Outstanding or overdue training items.</w:t>
      </w:r>
    </w:p>
    <w:p>
      <w:pPr>
        <w:pStyle w:val="ListParagraph"/>
        <w:numPr>
          <w:ilvl w:val="0"/>
          <w:numId w:val="2"/>
        </w:numPr>
        <w:spacing w:after="60" w:before="60"/>
      </w:pPr>
      <w:r>
        <w:rPr>
          <w:rFonts w:ascii="Arial" w:cs="Arial" w:eastAsia="Arial" w:hAnsi="Arial"/>
          <w:color w:val="444444"/>
          <w:sz w:val="20"/>
          <w:szCs w:val="20"/>
        </w:rPr>
        <w:t xml:space="preserve">Phishing simulation results by individual and department.</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Training completion reports shall be generated monthly and reviewed by the CISO. Completion status shall be submitted to senior management quarterly. Overall completion rate target: 100% within each mandatory training cycle.</w:t>
      </w:r>
    </w:p>
    <w:p>
      <w:pPr>
        <w:pStyle w:val="Heading1"/>
        <w:pBdr>
          <w:bottom w:val="single" w:color="2E5FA3" w:sz="6" w:space="1"/>
        </w:pBdr>
        <w:spacing w:after="120" w:before="320"/>
      </w:pPr>
      <w:r>
        <w:rPr>
          <w:rFonts w:ascii="Arial" w:cs="Arial" w:eastAsia="Arial" w:hAnsi="Arial"/>
          <w:b/>
          <w:bCs/>
          <w:color w:val="1F3864"/>
          <w:sz w:val="28"/>
          <w:szCs w:val="28"/>
        </w:rPr>
        <w:t xml:space="preserve">9.  Non-Completion and Consequence Framework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Violation Type</w:t>
            </w:r>
          </w:p>
        </w:tc>
        <w:tc>
          <w:tcPr>
            <w:tcW w:type="dxa" w:w="3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Examples</w:t>
            </w:r>
          </w:p>
        </w:tc>
        <w:tc>
          <w:tcPr>
            <w:tcW w:type="dxa" w:w="3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Consequence</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Non-completion</w:t>
            </w:r>
          </w:p>
        </w:tc>
        <w:tc>
          <w:tcPr>
            <w:tcW w:type="dxa" w:w="39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Failure to complete mandatory training by deadline</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Escalation to line manager; access restrictions may apply</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Repeated non-completion</w:t>
            </w:r>
          </w:p>
        </w:tc>
        <w:tc>
          <w:tcPr>
            <w:tcW w:type="dxa" w:w="39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Two or more consecutive missed cycles</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Formal HR warning; access suspended until completion</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Deliberate disregard</w:t>
            </w:r>
          </w:p>
        </w:tc>
        <w:tc>
          <w:tcPr>
            <w:tcW w:type="dxa" w:w="39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Sharing training credentials; falsifying completion</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Disciplinary action up to termination</w:t>
            </w:r>
          </w:p>
        </w:tc>
      </w:tr>
      <w:tr>
        <w:tc>
          <w:tcPr>
            <w:tcW w:type="dxa" w:w="24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Post-training policy breach</w:t>
            </w:r>
          </w:p>
        </w:tc>
        <w:tc>
          <w:tcPr>
            <w:tcW w:type="dxa" w:w="396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Clicking phishing link after awareness training</w:t>
            </w:r>
          </w:p>
        </w:tc>
        <w:tc>
          <w:tcPr>
            <w:tcW w:type="dxa" w:w="3000"/>
            <w:tcBorders>
              <w:top w:val="single" w:color="BBBBBB" w:sz="1"/>
              <w:left w:val="single" w:color="BBBBBB" w:sz="1"/>
              <w:bottom w:val="single" w:color="BBBBBB" w:sz="1"/>
              <w:right w:val="single" w:color="BBBBBB" w:sz="1"/>
            </w:tcBorders>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Additional mandatory training; incident review</w:t>
            </w:r>
          </w:p>
        </w:tc>
      </w:tr>
    </w:tbl>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The CISO, in consultation with HR, shall determine the appropriate response to non-completion based on context and prior history.</w:t>
      </w:r>
    </w:p>
    <w:p>
      <w:pPr>
        <w:pStyle w:val="Heading1"/>
        <w:pBdr>
          <w:bottom w:val="single" w:color="2E5FA3" w:sz="6" w:space="1"/>
        </w:pBdr>
        <w:spacing w:after="120" w:before="320"/>
      </w:pPr>
      <w:r>
        <w:rPr>
          <w:rFonts w:ascii="Arial" w:cs="Arial" w:eastAsia="Arial" w:hAnsi="Arial"/>
          <w:b/>
          <w:bCs/>
          <w:color w:val="1F3864"/>
          <w:sz w:val="28"/>
          <w:szCs w:val="28"/>
        </w:rPr>
        <w:t xml:space="preserve">10.  Training Effectiveness Review</w:t>
      </w:r>
    </w:p>
    <w:p>
      <w:pPr>
        <w:spacing w:after="80" w:before="80"/>
        <w:jc w:val="left"/>
      </w:pPr>
      <w:r>
        <w:rPr>
          <w:rFonts w:ascii="Arial" w:cs="Arial" w:eastAsia="Arial" w:hAnsi="Arial"/>
          <w:b w:val="false"/>
          <w:bCs w:val="false"/>
          <w:i w:val="false"/>
          <w:iCs w:val="false"/>
          <w:color w:val="444444"/>
          <w:sz w:val="20"/>
          <w:szCs w:val="20"/>
        </w:rPr>
        <w:t xml:space="preserve">The effectiveness of the security awareness programme shall be assessed annually through:</w:t>
      </w:r>
    </w:p>
    <w:p>
      <w:pPr>
        <w:pStyle w:val="ListParagraph"/>
        <w:numPr>
          <w:ilvl w:val="0"/>
          <w:numId w:val="2"/>
        </w:numPr>
        <w:spacing w:after="60" w:before="60"/>
      </w:pPr>
      <w:r>
        <w:rPr>
          <w:rFonts w:ascii="Arial" w:cs="Arial" w:eastAsia="Arial" w:hAnsi="Arial"/>
          <w:color w:val="444444"/>
          <w:sz w:val="20"/>
          <w:szCs w:val="20"/>
        </w:rPr>
        <w:t xml:space="preserve">Training completion rates vs. target (100%).</w:t>
      </w:r>
    </w:p>
    <w:p>
      <w:pPr>
        <w:pStyle w:val="ListParagraph"/>
        <w:numPr>
          <w:ilvl w:val="0"/>
          <w:numId w:val="2"/>
        </w:numPr>
        <w:spacing w:after="60" w:before="60"/>
      </w:pPr>
      <w:r>
        <w:rPr>
          <w:rFonts w:ascii="Arial" w:cs="Arial" w:eastAsia="Arial" w:hAnsi="Arial"/>
          <w:color w:val="444444"/>
          <w:sz w:val="20"/>
          <w:szCs w:val="20"/>
        </w:rPr>
        <w:t xml:space="preserve">Phishing simulation click rates — trend analysis quarter-on-quarter.</w:t>
      </w:r>
    </w:p>
    <w:p>
      <w:pPr>
        <w:pStyle w:val="ListParagraph"/>
        <w:numPr>
          <w:ilvl w:val="0"/>
          <w:numId w:val="2"/>
        </w:numPr>
        <w:spacing w:after="60" w:before="60"/>
      </w:pPr>
      <w:r>
        <w:rPr>
          <w:rFonts w:ascii="Arial" w:cs="Arial" w:eastAsia="Arial" w:hAnsi="Arial"/>
          <w:color w:val="444444"/>
          <w:sz w:val="20"/>
          <w:szCs w:val="20"/>
        </w:rPr>
        <w:t xml:space="preserve">Number of security incidents attributable to human error — year-on-year comparison.</w:t>
      </w:r>
    </w:p>
    <w:p>
      <w:pPr>
        <w:pStyle w:val="ListParagraph"/>
        <w:numPr>
          <w:ilvl w:val="0"/>
          <w:numId w:val="2"/>
        </w:numPr>
        <w:spacing w:after="60" w:before="60"/>
      </w:pPr>
      <w:r>
        <w:rPr>
          <w:rFonts w:ascii="Arial" w:cs="Arial" w:eastAsia="Arial" w:hAnsi="Arial"/>
          <w:color w:val="444444"/>
          <w:sz w:val="20"/>
          <w:szCs w:val="20"/>
        </w:rPr>
        <w:t xml:space="preserve">Staff feedback collected via post-training survey.</w:t>
      </w:r>
    </w:p>
    <w:p>
      <w:pPr>
        <w:spacing w:after="0" w:before="80"/>
      </w:pPr>
      <w:r>
        <w:t xml:space="preserve"/>
      </w:r>
    </w:p>
    <w:p>
      <w:pPr>
        <w:spacing w:after="80" w:before="80"/>
        <w:jc w:val="left"/>
      </w:pPr>
      <w:r>
        <w:rPr>
          <w:rFonts w:ascii="Arial" w:cs="Arial" w:eastAsia="Arial" w:hAnsi="Arial"/>
          <w:b w:val="false"/>
          <w:bCs w:val="false"/>
          <w:i w:val="false"/>
          <w:iCs w:val="false"/>
          <w:color w:val="444444"/>
          <w:sz w:val="20"/>
          <w:szCs w:val="20"/>
        </w:rPr>
        <w:t xml:space="preserve">Results shall inform updates to training content and delivery methods for the following cycle. Michael's Security shall provide an annual training effectiveness report as part of MSSP deliverables.</w:t>
      </w:r>
    </w:p>
    <w:p>
      <w:pPr>
        <w:pStyle w:val="Heading1"/>
        <w:pBdr>
          <w:bottom w:val="single" w:color="2E5FA3" w:sz="6" w:space="1"/>
        </w:pBdr>
        <w:spacing w:after="120" w:before="320"/>
      </w:pPr>
      <w:r>
        <w:rPr>
          <w:rFonts w:ascii="Arial" w:cs="Arial" w:eastAsia="Arial" w:hAnsi="Arial"/>
          <w:b/>
          <w:bCs/>
          <w:color w:val="1F3864"/>
          <w:sz w:val="28"/>
          <w:szCs w:val="28"/>
        </w:rPr>
        <w:t xml:space="preserve">11.  Policy Review</w:t>
      </w:r>
    </w:p>
    <w:p>
      <w:pPr>
        <w:spacing w:after="80" w:before="80"/>
        <w:jc w:val="left"/>
      </w:pPr>
      <w:r>
        <w:rPr>
          <w:rFonts w:ascii="Arial" w:cs="Arial" w:eastAsia="Arial" w:hAnsi="Arial"/>
          <w:b w:val="false"/>
          <w:bCs w:val="false"/>
          <w:i w:val="false"/>
          <w:iCs w:val="false"/>
          <w:color w:val="444444"/>
          <w:sz w:val="20"/>
          <w:szCs w:val="20"/>
        </w:rPr>
        <w:t xml:space="preserve">This policy shall be reviewed annually by the CISO, or following a significant security incident, regulatory change, or organisational restructure. Approved revisions shall be communicated to all staff within 10 business days of approval.</w:t>
      </w:r>
    </w:p>
    <w:p>
      <w:pPr>
        <w:spacing w:after="0" w:before="200"/>
      </w:pPr>
      <w:r>
        <w:t xml:space="preserve"/>
      </w:r>
    </w:p>
    <w:p>
      <w:pPr>
        <w:spacing w:after="80" w:before="80"/>
        <w:jc w:val="center"/>
      </w:pPr>
      <w:r>
        <w:rPr>
          <w:rFonts w:ascii="Arial" w:cs="Arial" w:eastAsia="Arial" w:hAnsi="Arial"/>
          <w:b w:val="false"/>
          <w:bCs w:val="false"/>
          <w:i/>
          <w:iCs/>
          <w:color w:val="AAAAAA"/>
          <w:sz w:val="20"/>
          <w:szCs w:val="20"/>
        </w:rPr>
        <w:t xml:space="preserve">End of Document</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tabs>
        <w:tab w:val="right" w:pos="9360"/>
      </w:tabs>
      <w:spacing w:after="0" w:before="120"/>
    </w:pPr>
    <w:r>
      <w:rPr>
        <w:rFonts w:ascii="Arial" w:cs="Arial" w:eastAsia="Arial" w:hAnsi="Arial"/>
        <w:color w:val="888888"/>
        <w:sz w:val="16"/>
        <w:szCs w:val="16"/>
      </w:rPr>
      <w:t xml:space="preserve">Prepared by Michael's Security  |  ISO/IEC 27001:2022  |  CONFIDENTIAL</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tabs>
        <w:tab w:val="right" w:pos="9360"/>
      </w:tabs>
      <w:spacing w:after="120" w:before="0"/>
    </w:pPr>
    <w:r>
      <w:rPr>
        <w:rFonts w:ascii="Arial" w:cs="Arial" w:eastAsia="Arial" w:hAnsi="Arial"/>
        <w:b/>
        <w:bCs/>
        <w:color w:val="1F3864"/>
        <w:sz w:val="18"/>
        <w:szCs w:val="18"/>
      </w:rPr>
      <w:t xml:space="preserve">Stark Industries</w:t>
    </w:r>
    <w:r>
      <w:rPr>
        <w:rFonts w:ascii="Arial" w:cs="Arial" w:eastAsia="Arial" w:hAnsi="Arial"/>
        <w:color w:val="888888"/>
        <w:sz w:val="16"/>
        <w:szCs w:val="16"/>
      </w:rPr>
      <w:t xml:space="preserve">	Security Awareness Training Policy  |  MS-ISMS-TRAIN-009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2026-05-09T11:56:37.462Z</dcterms:created>
  <dcterms:modified xsi:type="dcterms:W3CDTF">2026-05-09T11:56:37.462Z</dcterms:modified>
</cp:coreProperties>
</file>

<file path=docProps/custom.xml><?xml version="1.0" encoding="utf-8"?>
<Properties xmlns="http://schemas.openxmlformats.org/officeDocument/2006/custom-properties" xmlns:vt="http://schemas.openxmlformats.org/officeDocument/2006/docPropsVTypes"/>
</file>