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“粤顺盈118”船（1）“粤顺盈118”船</w:t>
      </w:r>
      <w:r>
        <w:rPr>
          <w:rFonts w:hint="default" w:ascii="宋体" w:hAnsi="宋体" w:eastAsia="宋体" w:cs="宋体"/>
        </w:rPr>
        <w:t>未保持正规瞭望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据该船船长陈述，事故前晴天能见度良好，在通航环境复杂航行中雷达未开启。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未开启电子助航设备，</w:t>
      </w:r>
      <w:r>
        <w:rPr>
          <w:rFonts w:hint="eastAsia" w:ascii="宋体" w:hAnsi="宋体" w:eastAsia="宋体" w:cs="宋体"/>
        </w:rPr>
        <w:t>在碰撞前一直没有看到“粤番渔01169”船，直至碰撞后才看到渔船。因此，该船在能见度良好的情况下，没有看到在其正前方航行的船舶，</w:t>
      </w:r>
      <w:r>
        <w:rPr>
          <w:rFonts w:hint="default" w:ascii="宋体" w:hAnsi="宋体" w:eastAsia="宋体" w:cs="宋体"/>
        </w:rPr>
        <w:t>未保持正规瞭望</w:t>
      </w:r>
      <w:r>
        <w:rPr>
          <w:rFonts w:hint="eastAsia" w:ascii="宋体" w:hAnsi="宋体" w:eastAsia="宋体" w:cs="宋体"/>
        </w:rPr>
        <w:t>违反了《1972年国际海上避碰规则》第五条的规定。（2）“粤顺盈118”船未给他船让路过虎门大桥后，“粤顺盈118”船在追越他船时,应给被追越船让路。该船作为追越船，本应遵守避碰规则第十三条的相关规定履行让路义务，以及第十六条的规定尽可能及早地采取大幅度的行动,宽裕地让清他船，但直至碰撞，该船的航向及航速均无明显的变化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未采取避让措施，</w:t>
      </w:r>
      <w:r>
        <w:rPr>
          <w:rFonts w:hint="eastAsia" w:ascii="宋体" w:hAnsi="宋体" w:eastAsia="宋体" w:cs="宋体"/>
        </w:rPr>
        <w:t>未采取任何有效措施来避免碰撞。因此，该船在追越他船时未给被追越船让路，违反了《1972年国际海上避碰规则》第十三条、第十六条的相关规定。（3）“粤顺盈118”船驾驶值班人员不符合规定事故发生时，“粤顺盈118”船船长和管理刘某俊在驾驶台值班。按照《内河船舶船员值班规则》第七条规定，3000总吨及以上内河货船，驾驶值班每班至少2人，其中至少1人是船长或者是大副、二副、三副。该船驾驶台值班人员1人为船长，另外1名协助了望人员刘某俊，他未经船员注册取得船员服务簿，</w:t>
      </w:r>
      <w:r>
        <w:rPr>
          <w:rFonts w:hint="default" w:ascii="宋体" w:hAnsi="宋体" w:eastAsia="宋体" w:cs="宋体"/>
          <w:lang w:eastAsia="zh-Hans"/>
        </w:rPr>
        <w:t>船员不适任，</w:t>
      </w:r>
      <w:r>
        <w:rPr>
          <w:rFonts w:hint="eastAsia" w:ascii="宋体" w:hAnsi="宋体" w:eastAsia="宋体" w:cs="宋体"/>
        </w:rPr>
        <w:t>按照《中华人民共和国船员条例》第四条、第九条规定，刘某俊不符合值班人员要求。所以事故发生期间，该船驾驶台缺少1名适任值班人员，</w:t>
      </w:r>
      <w:r>
        <w:rPr>
          <w:rFonts w:hint="default" w:ascii="宋体" w:hAnsi="宋体" w:eastAsia="宋体" w:cs="宋体"/>
          <w:lang w:eastAsia="zh-Hans"/>
        </w:rPr>
        <w:t>未安排人员值班，</w:t>
      </w:r>
      <w:r>
        <w:rPr>
          <w:rFonts w:hint="eastAsia" w:ascii="宋体" w:hAnsi="宋体" w:eastAsia="宋体" w:cs="宋体"/>
        </w:rPr>
        <w:t>不符合规则规定。</w:t>
      </w:r>
      <w:r>
        <w:rPr>
          <w:rFonts w:hint="default" w:ascii="宋体" w:hAnsi="宋体" w:eastAsia="宋体" w:cs="宋体"/>
          <w:lang w:eastAsia="zh-Hans"/>
        </w:rPr>
        <w:t>船员配备不足。</w:t>
      </w:r>
      <w:r>
        <w:rPr>
          <w:rFonts w:hint="eastAsia" w:ascii="宋体" w:hAnsi="宋体" w:eastAsia="宋体" w:cs="宋体"/>
        </w:rPr>
        <w:t>2.“粤番渔01169”船（1）“粤番渔01169”船</w:t>
      </w:r>
      <w:r>
        <w:rPr>
          <w:rFonts w:hint="default" w:ascii="宋体" w:hAnsi="宋体" w:eastAsia="宋体" w:cs="宋体"/>
        </w:rPr>
        <w:t>未保持正规瞭望</w:t>
      </w:r>
      <w:r>
        <w:rPr>
          <w:rFonts w:hint="eastAsia" w:ascii="宋体" w:hAnsi="宋体" w:eastAsia="宋体" w:cs="宋体"/>
        </w:rPr>
        <w:t>该船在出港航行过程中，没有留意后面的船舶，未能发现有船追越本船，直至碰撞时才发现船尾有一艘大船撞过来。“粤番渔01169”船</w:t>
      </w:r>
      <w:r>
        <w:rPr>
          <w:rFonts w:hint="default" w:ascii="宋体" w:hAnsi="宋体" w:eastAsia="宋体" w:cs="宋体"/>
        </w:rPr>
        <w:t>未保持正规瞭望</w:t>
      </w:r>
      <w:r>
        <w:rPr>
          <w:rFonts w:hint="eastAsia" w:ascii="宋体" w:hAnsi="宋体" w:eastAsia="宋体" w:cs="宋体"/>
        </w:rPr>
        <w:t>，违反了《1972年国际海上避碰规则》第五条规定。（2）“粤番渔01169”船未采取最有助于避碰的行动该船未及早发现追越船，在两船逼近到单凭追越船的行动无法避免碰撞时，没有采取最有助于避碰的行动，违反了《1972年国际海上避碰规则》第十七条第二款规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E299F"/>
    <w:multiLevelType w:val="singleLevel"/>
    <w:tmpl w:val="2D7E29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2268E"/>
    <w:rsid w:val="37D2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2023-02-10T20:26:00Z</dcterms:created>
  <dc:creator>喵小呜</dc:creator>
  <cp:lastModifiedBy>喵小呜</cp:lastModifiedBy>
  <dcterms:modified xsi:type="dcterms:W3CDTF">2023-02-10T20:26:45Z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1F7096B8515FB3C6E637E663E1C303E9</vt:lpwstr>
  </property>
</Properties>
</file>